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6.png" ContentType="image/png"/>
  <Override PartName="/word/media/rId25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40.png" ContentType="image/png"/>
  <Override PartName="/word/media/rId29.png" ContentType="image/png"/>
  <Override PartName="/word/media/rId144.png" ContentType="image/png"/>
  <Override PartName="/word/media/rId149.png" ContentType="image/png"/>
  <Override PartName="/word/media/rId153.png" ContentType="image/png"/>
  <Override PartName="/word/media/rId158.png" ContentType="image/png"/>
  <Override PartName="/word/media/rId162.png" ContentType="image/png"/>
  <Override PartName="/word/media/rId166.png" ContentType="image/png"/>
  <Override PartName="/word/media/rId172.png" ContentType="image/png"/>
  <Override PartName="/word/media/rId176.png" ContentType="image/png"/>
  <Override PartName="/word/media/rId180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Кибербезопасность предприятия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Создать на контроллере домена пользователя hacker и добавить его в группу локальных администраторов. Получить в результате выполнения флаг в одном из полей созданного пользователя.</w:t>
      </w:r>
    </w:p>
    <w:bookmarkEnd w:id="20"/>
    <w:bookmarkStart w:id="18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69" w:name="поиск-почтового-сервера.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Поиск почтового сервера.</w:t>
      </w:r>
    </w:p>
    <w:p>
      <w:pPr>
        <w:pStyle w:val="FirstParagraph"/>
      </w:pPr>
      <w:r>
        <w:t xml:space="preserve">Подключимся к удаленному рабочему столу атакующего и откроем терминал(рис. 1).</w:t>
      </w:r>
    </w:p>
    <w:bookmarkStart w:id="24" w:name="fig:001"/>
    <w:p>
      <w:pPr>
        <w:pStyle w:val="CaptionedFigure"/>
      </w:pPr>
      <w:r>
        <w:drawing>
          <wp:inline>
            <wp:extent cx="3733800" cy="2142839"/>
            <wp:effectExtent b="0" l="0" r="0" t="0"/>
            <wp:docPr descr="Рис. 1: Терминал на удаленном рабочем столе Kali Linux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2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Терминал на удаленном рабочем столе Kali Linux</w:t>
      </w:r>
    </w:p>
    <w:bookmarkEnd w:id="24"/>
    <w:p>
      <w:pPr>
        <w:pStyle w:val="BodyText"/>
      </w:pPr>
      <w:r>
        <w:t xml:space="preserve">Отображены результаты сканирования подсети 195.239.174.0/24 утилитой nmap. Выявлен</w:t>
      </w:r>
    </w:p>
    <w:p>
      <w:pPr>
        <w:pStyle w:val="BodyText"/>
      </w:pPr>
      <w:r>
        <w:t xml:space="preserve">Просканируем подсеть 195.239.174.0/24 для поиска открытых портов, которые можно использовать для атаки на инфраструктуру. Для этого используем утилиту nmap (рис. 2).</w:t>
      </w:r>
    </w:p>
    <w:bookmarkStart w:id="28" w:name="fig:002"/>
    <w:p>
      <w:pPr>
        <w:pStyle w:val="CaptionedFigure"/>
      </w:pPr>
      <w:r>
        <w:drawing>
          <wp:inline>
            <wp:extent cx="3733800" cy="2428395"/>
            <wp:effectExtent b="0" l="0" r="0" t="0"/>
            <wp:docPr descr="Рис. 2: Сканирование сети 195.239.174.0/24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8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Сканирование сети 195.239.174.0/24</w:t>
      </w:r>
    </w:p>
    <w:bookmarkEnd w:id="28"/>
    <w:p>
      <w:pPr>
        <w:pStyle w:val="BodyText"/>
      </w:pPr>
      <w:r>
        <w:t xml:space="preserve">Увидим хост 195.239.174.1 с открытыми портами 25 (SMTP) и 443 (HTTPS), что указывает на потенциальный почтовый сервер. Также найден хост 195.239.174.12 (исключённый из атаки) с портами 22 и 8888 (рис. 3).</w:t>
      </w:r>
    </w:p>
    <w:bookmarkStart w:id="32" w:name="fig:003"/>
    <w:p>
      <w:pPr>
        <w:pStyle w:val="CaptionedFigure"/>
      </w:pPr>
      <w:r>
        <w:drawing>
          <wp:inline>
            <wp:extent cx="3733800" cy="1242454"/>
            <wp:effectExtent b="0" l="0" r="0" t="0"/>
            <wp:docPr descr="Рис. 3: Результат сканирования сети утилитой nmap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2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Результат сканирования сети утилитой nmap</w:t>
      </w:r>
    </w:p>
    <w:bookmarkEnd w:id="32"/>
    <w:p>
      <w:pPr>
        <w:pStyle w:val="BodyText"/>
      </w:pPr>
      <w:r>
        <w:t xml:space="preserve">В наличии почтового сервера можно убедиться посмотрев веб-сраницу</w:t>
      </w:r>
      <w:r>
        <w:t xml:space="preserve"> </w:t>
      </w:r>
      <w:r>
        <w:rPr>
          <w:rStyle w:val="VerbatimChar"/>
        </w:rPr>
        <w:t xml:space="preserve">https://195.239.174.1</w:t>
      </w:r>
      <w:r>
        <w:t xml:space="preserve">. Перейдя по адресу увидим стандартный интерфейс для Microsoft Exchange Server (рис. 4).</w:t>
      </w:r>
    </w:p>
    <w:bookmarkStart w:id="36" w:name="fig:004"/>
    <w:p>
      <w:pPr>
        <w:pStyle w:val="CaptionedFigure"/>
      </w:pPr>
      <w:r>
        <w:drawing>
          <wp:inline>
            <wp:extent cx="3733800" cy="2309530"/>
            <wp:effectExtent b="0" l="0" r="0" t="0"/>
            <wp:docPr descr="Рис. 4: Веб-интерфейс Exchange Server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9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Веб-интерфейс Exchange Server</w:t>
      </w:r>
    </w:p>
    <w:bookmarkEnd w:id="36"/>
    <w:p>
      <w:pPr>
        <w:pStyle w:val="BodyText"/>
      </w:pPr>
      <w:r>
        <w:t xml:space="preserve">Определим версию программного обеспечения Exchange Server, чтобы найти уявзимости. Для этого используем URL-адрес для доступа к инструменту Microsoft Exchange eDiscovery Export Tool по ссылке:</w:t>
      </w:r>
      <w:r>
        <w:t xml:space="preserve"> </w:t>
      </w:r>
      <w:r>
        <w:rPr>
          <w:rStyle w:val="VerbatimChar"/>
        </w:rPr>
        <w:t xml:space="preserve">https://195.239.174.1/ecp/Current/exporttool/microsoft.exchange.ediscovery.exporttool.application</w:t>
      </w:r>
      <w:r>
        <w:t xml:space="preserve"> </w:t>
      </w:r>
      <w:r>
        <w:t xml:space="preserve">(рис. 5).</w:t>
      </w:r>
    </w:p>
    <w:bookmarkStart w:id="40" w:name="fig:005"/>
    <w:p>
      <w:pPr>
        <w:pStyle w:val="CaptionedFigure"/>
      </w:pPr>
      <w:r>
        <w:drawing>
          <wp:inline>
            <wp:extent cx="3733800" cy="1861581"/>
            <wp:effectExtent b="0" l="0" r="0" t="0"/>
            <wp:docPr descr="Рис. 5: Получение версии Exchange Server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1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Получение версии Exchange Server</w:t>
      </w:r>
    </w:p>
    <w:bookmarkEnd w:id="40"/>
    <w:p>
      <w:pPr>
        <w:pStyle w:val="BodyText"/>
      </w:pPr>
      <w:r>
        <w:t xml:space="preserve">Скачаем файл в формате XML и откроем его в любом графическом редакторе. Просмотрим содержание документа и увидим строку</w:t>
      </w:r>
      <w:r>
        <w:t xml:space="preserve"> </w:t>
      </w:r>
      <w:r>
        <w:rPr>
          <w:rStyle w:val="VerbatimChar"/>
        </w:rPr>
        <w:t xml:space="preserve">version="15.1.1713.5"</w:t>
      </w:r>
      <w:r>
        <w:t xml:space="preserve"> </w:t>
      </w:r>
      <w:r>
        <w:t xml:space="preserve">(рис. 6).</w:t>
      </w:r>
    </w:p>
    <w:bookmarkStart w:id="44" w:name="fig:006"/>
    <w:p>
      <w:pPr>
        <w:pStyle w:val="CaptionedFigure"/>
      </w:pPr>
      <w:r>
        <w:drawing>
          <wp:inline>
            <wp:extent cx="3733800" cy="2676076"/>
            <wp:effectExtent b="0" l="0" r="0" t="0"/>
            <wp:docPr descr="Рис. 6: Версия Exchange Server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6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Версия Exchange Server</w:t>
      </w:r>
    </w:p>
    <w:bookmarkEnd w:id="44"/>
    <w:p>
      <w:pPr>
        <w:pStyle w:val="BodyText"/>
      </w:pPr>
      <w:r>
        <w:t xml:space="preserve">Перейдем в официальную документацию Microsoft Exchange и увидим, что сборка 15.1.1713.5 соответствует Exchange 2016 CU12, выпущенной 12 февраля 2019 года. Эта информация позволяет установить, что сервер не обновлялся с 2019 года и уязвим для более поздних эксплойтов (рис. 7).</w:t>
      </w:r>
    </w:p>
    <w:bookmarkStart w:id="48" w:name="fig:007"/>
    <w:p>
      <w:pPr>
        <w:pStyle w:val="CaptionedFigure"/>
      </w:pPr>
      <w:r>
        <w:drawing>
          <wp:inline>
            <wp:extent cx="3733800" cy="698408"/>
            <wp:effectExtent b="0" l="0" r="0" t="0"/>
            <wp:docPr descr="Рис. 7: Дата выпуска сборки Exchange Server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Дата выпуска сборки Exchange Server</w:t>
      </w:r>
    </w:p>
    <w:bookmarkEnd w:id="48"/>
    <w:p>
      <w:pPr>
        <w:pStyle w:val="BodyText"/>
      </w:pPr>
      <w:r>
        <w:t xml:space="preserve">Для дальнейшего планирования вектора атаки используем веб-сайт</w:t>
      </w:r>
      <w:r>
        <w:t xml:space="preserve"> </w:t>
      </w:r>
      <w:r>
        <w:rPr>
          <w:rStyle w:val="VerbatimChar"/>
        </w:rPr>
        <w:t xml:space="preserve">https://www.cvedetails.com</w:t>
      </w:r>
      <w:r>
        <w:t xml:space="preserve">. Перейдем в раздел со школой</w:t>
      </w:r>
      <w:r>
        <w:t xml:space="preserve"> </w:t>
      </w:r>
      <w:r>
        <w:t xml:space="preserve">“опасности”</w:t>
      </w:r>
      <w:r>
        <w:t xml:space="preserve"> </w:t>
      </w:r>
      <w:r>
        <w:t xml:space="preserve">для различных уязвимостей. Изучим только самые опасные уязвимости, оценка которых больше или равна 9. Будем искать CVE с пометкой</w:t>
      </w:r>
      <w:r>
        <w:t xml:space="preserve"> </w:t>
      </w:r>
      <w:r>
        <w:t xml:space="preserve">“public exploit exists”</w:t>
      </w:r>
      <w:r>
        <w:t xml:space="preserve">, чтобы была возможность эксплуатации. Найдем уязвимсоть</w:t>
      </w:r>
      <w:r>
        <w:t xml:space="preserve"> </w:t>
      </w:r>
      <w:r>
        <w:rPr>
          <w:rStyle w:val="VerbatimChar"/>
        </w:rPr>
        <w:t xml:space="preserve">CVE-2021-34473</w:t>
      </w:r>
      <w:r>
        <w:t xml:space="preserve"> </w:t>
      </w:r>
      <w:r>
        <w:t xml:space="preserve">и увидим, что первая дата раскрытия информации по уязвимости больше даты выпуска сборки атакуемого почтового сервера. Тогда, данную уязвимость можно эксплуатировать.</w:t>
      </w:r>
    </w:p>
    <w:p>
      <w:pPr>
        <w:pStyle w:val="BodyText"/>
      </w:pPr>
      <w:r>
        <w:t xml:space="preserve">Для атаки будем использовать инструмент для создания, тестирования и использования уязвимостей – Metasploit (рис. 8).</w:t>
      </w:r>
    </w:p>
    <w:bookmarkStart w:id="52" w:name="fig:008"/>
    <w:p>
      <w:pPr>
        <w:pStyle w:val="CaptionedFigure"/>
      </w:pPr>
      <w:r>
        <w:drawing>
          <wp:inline>
            <wp:extent cx="3733800" cy="1334318"/>
            <wp:effectExtent b="0" l="0" r="0" t="0"/>
            <wp:docPr descr="Рис. 8: Запуск модуля Metasploit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4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Запуск модуля Metasploit</w:t>
      </w:r>
    </w:p>
    <w:bookmarkEnd w:id="52"/>
    <w:p>
      <w:pPr>
        <w:pStyle w:val="BodyText"/>
      </w:pPr>
      <w:r>
        <w:t xml:space="preserve">Введем команду</w:t>
      </w:r>
      <w:r>
        <w:t xml:space="preserve"> </w:t>
      </w:r>
      <w:r>
        <w:rPr>
          <w:rStyle w:val="VerbatimChar"/>
        </w:rPr>
        <w:t xml:space="preserve">search Exchange</w:t>
      </w:r>
      <w:r>
        <w:t xml:space="preserve">, показывающую множество модулей, связанных с Exchange. В списке увидим ключевые модули для ProxyLogon и ProxyShell. Для получения сессии с удаленным хостом 195.239.174.1 будем использовать уязвимость ProxyLogon (рис. 9).</w:t>
      </w:r>
    </w:p>
    <w:bookmarkStart w:id="56" w:name="fig:009"/>
    <w:p>
      <w:pPr>
        <w:pStyle w:val="CaptionedFigure"/>
      </w:pPr>
      <w:r>
        <w:drawing>
          <wp:inline>
            <wp:extent cx="3733800" cy="2318046"/>
            <wp:effectExtent b="0" l="0" r="0" t="0"/>
            <wp:docPr descr="Рис. 9: Перечень модулей Metasploit, предназначеннных для атаки на почтовый сервер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8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Перечень модулей Metasploit, предназначеннных для атаки на почтовый сервер</w:t>
      </w:r>
    </w:p>
    <w:bookmarkEnd w:id="56"/>
    <w:p>
      <w:pPr>
        <w:pStyle w:val="BodyText"/>
      </w:pPr>
      <w:r>
        <w:t xml:space="preserve">В нижней части страницы портала</w:t>
      </w:r>
      <w:r>
        <w:t xml:space="preserve"> </w:t>
      </w:r>
      <w:r>
        <w:rPr>
          <w:rStyle w:val="VerbatimChar"/>
        </w:rPr>
        <w:t xml:space="preserve">portal.ampire.corp</w:t>
      </w:r>
      <w:r>
        <w:t xml:space="preserve"> </w:t>
      </w:r>
      <w:r>
        <w:t xml:space="preserve">можно найти информацию о легитимной почте одного из сотрудников. Будем использовать email</w:t>
      </w:r>
      <w:r>
        <w:t xml:space="preserve"> </w:t>
      </w:r>
      <w:r>
        <w:rPr>
          <w:rStyle w:val="VerbatimChar"/>
        </w:rPr>
        <w:t xml:space="preserve">manager1@ampire.corp</w:t>
      </w:r>
      <w:r>
        <w:t xml:space="preserve"> </w:t>
      </w:r>
      <w:r>
        <w:t xml:space="preserve">в качестве параметра при эксплуатации уязвимости ProxyLogon для повышения шансов успеха (рис. 10).</w:t>
      </w:r>
    </w:p>
    <w:bookmarkStart w:id="60" w:name="fig:010"/>
    <w:p>
      <w:pPr>
        <w:pStyle w:val="CaptionedFigure"/>
      </w:pPr>
      <w:r>
        <w:drawing>
          <wp:inline>
            <wp:extent cx="3733800" cy="3141457"/>
            <wp:effectExtent b="0" l="0" r="0" t="0"/>
            <wp:docPr descr="Рис. 10: Легитимная почта одного из сотрудников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1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Легитимная почта одного из сотрудников</w:t>
      </w:r>
    </w:p>
    <w:bookmarkEnd w:id="60"/>
    <w:p>
      <w:pPr>
        <w:pStyle w:val="BodyText"/>
      </w:pPr>
      <w:r>
        <w:t xml:space="preserve">В консоли Metasploit настроим параметры выбранного модуля: lhost (IP атакующего), rhosts (целевой сервер Exchange) и email (адрес пользователя manager1). Эти параметры необходимы для корректной работы эксплойта и получения обратного подключения (рис. 11).</w:t>
      </w:r>
    </w:p>
    <w:bookmarkStart w:id="64" w:name="fig:011"/>
    <w:p>
      <w:pPr>
        <w:pStyle w:val="CaptionedFigure"/>
      </w:pPr>
      <w:r>
        <w:drawing>
          <wp:inline>
            <wp:extent cx="3733800" cy="890324"/>
            <wp:effectExtent b="0" l="0" r="0" t="0"/>
            <wp:docPr descr="Рис. 11: Установка необходимых для модуля параметр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0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Установка необходимых для модуля параметров</w:t>
      </w:r>
    </w:p>
    <w:bookmarkEnd w:id="64"/>
    <w:p>
      <w:pPr>
        <w:pStyle w:val="BodyText"/>
      </w:pPr>
      <w:r>
        <w:t xml:space="preserve">Далее запустим модуль. Успешная эксплуатация завершается открытием meterpreter-сессии на скомпрометированном почтовом сервере (рис. 12).</w:t>
      </w:r>
    </w:p>
    <w:bookmarkStart w:id="68" w:name="fig:012"/>
    <w:p>
      <w:pPr>
        <w:pStyle w:val="CaptionedFigure"/>
      </w:pPr>
      <w:r>
        <w:drawing>
          <wp:inline>
            <wp:extent cx="3733800" cy="2365690"/>
            <wp:effectExtent b="0" l="0" r="0" t="0"/>
            <wp:docPr descr="Рис. 12: Процесс эксплуатации уязвимого сервера Microsoft Exchange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5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Процесс эксплуатации уязвимого сервера Microsoft Exchange</w:t>
      </w:r>
    </w:p>
    <w:bookmarkEnd w:id="68"/>
    <w:bookmarkEnd w:id="69"/>
    <w:bookmarkStart w:id="139" w:name="оценка-возможности-проведения-атаки.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Оценка возможности проведения атаки.</w:t>
      </w:r>
    </w:p>
    <w:p>
      <w:pPr>
        <w:pStyle w:val="FirstParagraph"/>
      </w:pPr>
      <w:r>
        <w:t xml:space="preserve">После получения сессии с почтовым сервером Microsoft Exchange Server отобразим сетевые интерфейсы (рис. 13).</w:t>
      </w:r>
    </w:p>
    <w:bookmarkStart w:id="73" w:name="fig:013"/>
    <w:p>
      <w:pPr>
        <w:pStyle w:val="CaptionedFigure"/>
      </w:pPr>
      <w:r>
        <w:drawing>
          <wp:inline>
            <wp:extent cx="3733800" cy="2680868"/>
            <wp:effectExtent b="0" l="0" r="0" t="0"/>
            <wp:docPr descr="Рис. 13: Сетевые интерфейсы на хосте Microsoft Exchange Serve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Сетевые интерфейсы на хосте Microsoft Exchange Server</w:t>
      </w:r>
    </w:p>
    <w:bookmarkEnd w:id="73"/>
    <w:bookmarkStart w:id="82" w:name="проброс-портов.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Проброс портов.</w:t>
      </w:r>
    </w:p>
    <w:p>
      <w:pPr>
        <w:pStyle w:val="FirstParagraph"/>
      </w:pPr>
      <w:r>
        <w:t xml:space="preserve">Введем команду</w:t>
      </w:r>
      <w:r>
        <w:t xml:space="preserve"> </w:t>
      </w:r>
      <w:r>
        <w:rPr>
          <w:rStyle w:val="VerbatimChar"/>
        </w:rPr>
        <w:t xml:space="preserve">run autoroute -s 10.10.10.0/24</w:t>
      </w:r>
      <w:r>
        <w:t xml:space="preserve"> </w:t>
      </w:r>
      <w:r>
        <w:t xml:space="preserve">в Metasploit. Эта команда добавляет маршрут ко внутренней подсети через скомпрометированный хост (Mail). Теперь трафик с машины атакующего может проксироваться через сессию meterpreter для доступа к внутренним ресурсам (рис. 14).</w:t>
      </w:r>
    </w:p>
    <w:bookmarkStart w:id="77" w:name="fig:014"/>
    <w:p>
      <w:pPr>
        <w:pStyle w:val="CaptionedFigure"/>
      </w:pPr>
      <w:r>
        <w:drawing>
          <wp:inline>
            <wp:extent cx="3733800" cy="816197"/>
            <wp:effectExtent b="0" l="0" r="0" t="0"/>
            <wp:docPr descr="Рис. 14: Перенаправление портов во внутреннюю сеть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6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Перенаправление портов во внутреннюю сеть</w:t>
      </w:r>
    </w:p>
    <w:bookmarkEnd w:id="77"/>
    <w:p>
      <w:pPr>
        <w:pStyle w:val="BodyText"/>
      </w:pPr>
      <w:r>
        <w:t xml:space="preserve">Продолжим сбор информации о подсети с помощью</w:t>
      </w:r>
      <w:r>
        <w:t xml:space="preserve"> </w:t>
      </w:r>
      <w:r>
        <w:rPr>
          <w:rStyle w:val="VerbatimChar"/>
        </w:rPr>
        <w:t xml:space="preserve">arp_scanner</w:t>
      </w:r>
      <w:r>
        <w:t xml:space="preserve">. Обнаружены активные хосты во внутренней подсети 10.10.10.0/24. Также выведен список IP-адресов и MAC-адресов, включая ключевые узлы, такие как 10.10.10.20 и 10.10.10.40. (рис. 15):</w:t>
      </w:r>
    </w:p>
    <w:bookmarkStart w:id="81" w:name="fig:015"/>
    <w:p>
      <w:pPr>
        <w:pStyle w:val="CaptionedFigure"/>
      </w:pPr>
      <w:r>
        <w:drawing>
          <wp:inline>
            <wp:extent cx="3733800" cy="1718537"/>
            <wp:effectExtent b="0" l="0" r="0" t="0"/>
            <wp:docPr descr="Рис. 15: Сканирование внутреннего периметра организации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8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Сканирование внутреннего периметра организации</w:t>
      </w:r>
    </w:p>
    <w:bookmarkEnd w:id="81"/>
    <w:bookmarkEnd w:id="82"/>
    <w:bookmarkStart w:id="95" w:name="сканирование-компьютеров-в-домене.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Сканирование компьютеров в домене.</w:t>
      </w:r>
    </w:p>
    <w:p>
      <w:pPr>
        <w:pStyle w:val="FirstParagraph"/>
      </w:pPr>
      <w:r>
        <w:t xml:space="preserve">Проведем сканирование всех компьютеров в домене с помощью модуля</w:t>
      </w:r>
      <w:r>
        <w:t xml:space="preserve"> </w:t>
      </w:r>
      <w:r>
        <w:rPr>
          <w:rStyle w:val="VerbatimChar"/>
        </w:rPr>
        <w:t xml:space="preserve">enum_ad_computers</w:t>
      </w:r>
      <w:r>
        <w:t xml:space="preserve"> </w:t>
      </w:r>
      <w:r>
        <w:t xml:space="preserve">(рис. 16). В ходе сканирования обнаружен хост CS (Certificate Services), отвечающий за предоставление цифровых сертификатов.</w:t>
      </w:r>
    </w:p>
    <w:bookmarkStart w:id="86" w:name="fig:016"/>
    <w:p>
      <w:pPr>
        <w:pStyle w:val="CaptionedFigure"/>
      </w:pPr>
      <w:r>
        <w:drawing>
          <wp:inline>
            <wp:extent cx="3733800" cy="1657883"/>
            <wp:effectExtent b="0" l="0" r="0" t="0"/>
            <wp:docPr descr="Рис. 16: Перечень хостов в каталоге контроллера домена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7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Перечень хостов в каталоге контроллера домена</w:t>
      </w:r>
    </w:p>
    <w:bookmarkEnd w:id="86"/>
    <w:p>
      <w:pPr>
        <w:pStyle w:val="BodyText"/>
      </w:pPr>
      <w:r>
        <w:t xml:space="preserve">Выполним команду</w:t>
      </w:r>
      <w:r>
        <w:t xml:space="preserve"> </w:t>
      </w:r>
      <w:r>
        <w:rPr>
          <w:rStyle w:val="VerbatimChar"/>
        </w:rPr>
        <w:t xml:space="preserve">nslookup cs.ampire.corp</w:t>
      </w:r>
      <w:r>
        <w:t xml:space="preserve">. DNS-сервер возвращает IP-адрес центра сертификации — 10.10.10.40. Также виден IP-адрес самого контроллера домена — 10.10.10.20 (рис. 17):</w:t>
      </w:r>
    </w:p>
    <w:bookmarkStart w:id="90" w:name="fig:017"/>
    <w:p>
      <w:pPr>
        <w:pStyle w:val="CaptionedFigure"/>
      </w:pPr>
      <w:r>
        <w:drawing>
          <wp:inline>
            <wp:extent cx="3733800" cy="2260833"/>
            <wp:effectExtent b="0" l="0" r="0" t="0"/>
            <wp:docPr descr="Рис. 17: Поиск хоста CS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0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Поиск хоста CS</w:t>
      </w:r>
    </w:p>
    <w:bookmarkEnd w:id="90"/>
    <w:p>
      <w:pPr>
        <w:pStyle w:val="BodyText"/>
      </w:pPr>
      <w:r>
        <w:t xml:space="preserve">Отредактируем системный файл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. Добавим статические сопоставления доменных имён и IP-адресов:</w:t>
      </w:r>
      <w:r>
        <w:t xml:space="preserve"> </w:t>
      </w:r>
      <w:r>
        <w:rPr>
          <w:rStyle w:val="VerbatimChar"/>
        </w:rPr>
        <w:t xml:space="preserve">ampire.corp</w:t>
      </w:r>
      <w:r>
        <w:t xml:space="preserve">,</w:t>
      </w:r>
      <w:r>
        <w:t xml:space="preserve"> </w:t>
      </w:r>
      <w:r>
        <w:rPr>
          <w:rStyle w:val="VerbatimChar"/>
        </w:rPr>
        <w:t xml:space="preserve">ad.ampire.corp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portal.ampire.corp</w:t>
      </w:r>
      <w:r>
        <w:t xml:space="preserve"> </w:t>
      </w:r>
      <w:r>
        <w:t xml:space="preserve">(рис. 18):</w:t>
      </w:r>
    </w:p>
    <w:bookmarkStart w:id="94" w:name="fig:018"/>
    <w:p>
      <w:pPr>
        <w:pStyle w:val="CaptionedFigure"/>
      </w:pPr>
      <w:r>
        <w:drawing>
          <wp:inline>
            <wp:extent cx="3733800" cy="2047073"/>
            <wp:effectExtent b="0" l="0" r="0" t="0"/>
            <wp:docPr descr="Рис. 18: Содержимое файла /etc/hosts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7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Содержимое файла /etc/hosts</w:t>
      </w:r>
    </w:p>
    <w:bookmarkEnd w:id="94"/>
    <w:bookmarkEnd w:id="95"/>
    <w:bookmarkStart w:id="100" w:name="создание-доменного-пользователя.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Создание доменного пользователя.</w:t>
      </w:r>
    </w:p>
    <w:p>
      <w:pPr>
        <w:pStyle w:val="FirstParagraph"/>
      </w:pPr>
      <w:r>
        <w:t xml:space="preserve">Вернемся в shell-сессию с почтовым сервером и создадим доменного пользователя hack с паролем qwe123, который понадобится для сканирования домена на следующем этапе (рис. 19):</w:t>
      </w:r>
    </w:p>
    <w:bookmarkStart w:id="99" w:name="fig:019"/>
    <w:p>
      <w:pPr>
        <w:pStyle w:val="CaptionedFigure"/>
      </w:pPr>
      <w:r>
        <w:drawing>
          <wp:inline>
            <wp:extent cx="3733800" cy="3156014"/>
            <wp:effectExtent b="0" l="0" r="0" t="0"/>
            <wp:docPr descr="Рис. 19: Добавление в домен нового пользователя hack" title="" id="97" name="Picture"/>
            <a:graphic>
              <a:graphicData uri="http://schemas.openxmlformats.org/drawingml/2006/picture">
                <pic:pic>
                  <pic:nvPicPr>
                    <pic:cNvPr descr="image/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6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Добавление в домен нового пользователя hack</w:t>
      </w:r>
    </w:p>
    <w:bookmarkEnd w:id="99"/>
    <w:bookmarkEnd w:id="100"/>
    <w:bookmarkStart w:id="117" w:name="X3c407581f5cdd183bc2b7ccd68cda2c426ede20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Запуск прокси-сервера и сканирование домена с использованием созданных учетных данных.</w:t>
      </w:r>
    </w:p>
    <w:p>
      <w:pPr>
        <w:pStyle w:val="FirstParagraph"/>
      </w:pPr>
      <w:r>
        <w:t xml:space="preserve">Выйдем из shell и свернем активную сессию. Затем в Metasploit выполним поиск и выберем модуль для развертывания SOCKS-прокси (рис. 20):</w:t>
      </w:r>
    </w:p>
    <w:bookmarkStart w:id="104" w:name="fig:020"/>
    <w:p>
      <w:pPr>
        <w:pStyle w:val="CaptionedFigure"/>
      </w:pPr>
      <w:r>
        <w:drawing>
          <wp:inline>
            <wp:extent cx="3733800" cy="1556533"/>
            <wp:effectExtent b="0" l="0" r="0" t="0"/>
            <wp:docPr descr="Рис. 20: Выход из shell и поиск модуля socks_proxy" title="" id="102" name="Picture"/>
            <a:graphic>
              <a:graphicData uri="http://schemas.openxmlformats.org/drawingml/2006/picture">
                <pic:pic>
                  <pic:nvPicPr>
                    <pic:cNvPr descr="image/2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6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Выход из shell и поиск модуля socks_proxy</w:t>
      </w:r>
    </w:p>
    <w:bookmarkEnd w:id="104"/>
    <w:p>
      <w:pPr>
        <w:pStyle w:val="BodyText"/>
      </w:pPr>
      <w:r>
        <w:t xml:space="preserve">Перед запуском proxychains настроим и запустим прокси-сервер с помощью модуля socks_proxy. Проверим работоспособность прокси с помощью команды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(рис. 21):</w:t>
      </w:r>
    </w:p>
    <w:bookmarkStart w:id="108" w:name="fig:021"/>
    <w:p>
      <w:pPr>
        <w:pStyle w:val="CaptionedFigure"/>
      </w:pPr>
      <w:r>
        <w:drawing>
          <wp:inline>
            <wp:extent cx="3733800" cy="2123936"/>
            <wp:effectExtent b="0" l="0" r="0" t="0"/>
            <wp:docPr descr="Рис. 21: Запуск и проверка работоспособности прокси-сервера" title="" id="106" name="Picture"/>
            <a:graphic>
              <a:graphicData uri="http://schemas.openxmlformats.org/drawingml/2006/picture">
                <pic:pic>
                  <pic:nvPicPr>
                    <pic:cNvPr descr="image/2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3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Запуск и проверка работоспособности прокси-сервера</w:t>
      </w:r>
    </w:p>
    <w:bookmarkEnd w:id="108"/>
    <w:p>
      <w:pPr>
        <w:pStyle w:val="BodyText"/>
      </w:pPr>
      <w:r>
        <w:t xml:space="preserve">В новом терминале через proxychains запустим</w:t>
      </w:r>
      <w:r>
        <w:t xml:space="preserve"> </w:t>
      </w:r>
      <w:r>
        <w:rPr>
          <w:rStyle w:val="VerbatimChar"/>
        </w:rPr>
        <w:t xml:space="preserve">certipy-ad find</w:t>
      </w:r>
      <w:r>
        <w:t xml:space="preserve"> </w:t>
      </w:r>
      <w:r>
        <w:t xml:space="preserve">с учетными данными пользователя hack. Инструмент сканирует службы AD CS на целевом контроллере домена. В результате обнаружены 33 шаблона сертификатов, 1 центр сертификации (CA) и сохранены данные для анализа в файлы (рис. 22):</w:t>
      </w:r>
    </w:p>
    <w:bookmarkStart w:id="112" w:name="fig:022"/>
    <w:p>
      <w:pPr>
        <w:pStyle w:val="CaptionedFigure"/>
      </w:pPr>
      <w:r>
        <w:drawing>
          <wp:inline>
            <wp:extent cx="3733800" cy="1737549"/>
            <wp:effectExtent b="0" l="0" r="0" t="0"/>
            <wp:docPr descr="Рис. 22: Поиск вектора атаки через центр сертификации" title="" id="110" name="Picture"/>
            <a:graphic>
              <a:graphicData uri="http://schemas.openxmlformats.org/drawingml/2006/picture">
                <pic:pic>
                  <pic:nvPicPr>
                    <pic:cNvPr descr="image/22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7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Поиск вектора атаки через центр сертификации</w:t>
      </w:r>
    </w:p>
    <w:bookmarkEnd w:id="112"/>
    <w:p>
      <w:pPr>
        <w:pStyle w:val="BodyText"/>
      </w:pPr>
      <w:r>
        <w:t xml:space="preserve">Посмотрим содержимое JSON-файла, сгенерированного certipy. В конфигурации центра сертификации увидим критическую уязвимость в Active Directory Certificate Services:</w:t>
      </w:r>
      <w:r>
        <w:t xml:space="preserve"> </w:t>
      </w:r>
      <w:r>
        <w:t xml:space="preserve">“ESC8”</w:t>
      </w:r>
      <w:r>
        <w:t xml:space="preserve">:</w:t>
      </w:r>
      <w:r>
        <w:t xml:space="preserve"> </w:t>
      </w:r>
      <w:r>
        <w:t xml:space="preserve">“Web Enrollment is enabled and Request Disposition is set to Issue”</w:t>
      </w:r>
      <w:r>
        <w:t xml:space="preserve">. Это прямое указание на наличие вектора для атаки (рис. 23):</w:t>
      </w:r>
    </w:p>
    <w:bookmarkStart w:id="116" w:name="fig:023"/>
    <w:p>
      <w:pPr>
        <w:pStyle w:val="CaptionedFigure"/>
      </w:pPr>
      <w:r>
        <w:drawing>
          <wp:inline>
            <wp:extent cx="3733800" cy="1650206"/>
            <wp:effectExtent b="0" l="0" r="0" t="0"/>
            <wp:docPr descr="Рис. 23: Просмотр файла Certipy.json в редакторе vim" title="" id="114" name="Picture"/>
            <a:graphic>
              <a:graphicData uri="http://schemas.openxmlformats.org/drawingml/2006/picture">
                <pic:pic>
                  <pic:nvPicPr>
                    <pic:cNvPr descr="image/23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0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Просмотр файла Certipy.json в редакторе vim</w:t>
      </w:r>
    </w:p>
    <w:bookmarkEnd w:id="116"/>
    <w:p>
      <w:pPr>
        <w:pStyle w:val="BodyText"/>
      </w:pPr>
      <w:r>
        <w:t xml:space="preserve">Таким образом, на этапе сканирования обнаружен вектор атаки ECS8. Уязвимость ESC8 позволяет:</w:t>
      </w:r>
    </w:p>
    <w:p>
      <w:pPr>
        <w:pStyle w:val="Compact"/>
        <w:numPr>
          <w:ilvl w:val="0"/>
          <w:numId w:val="1001"/>
        </w:numPr>
      </w:pPr>
      <w:r>
        <w:t xml:space="preserve">проводить NTLM Relay-атаки на сертификационный центр (CS);</w:t>
      </w:r>
    </w:p>
    <w:p>
      <w:pPr>
        <w:pStyle w:val="Compact"/>
        <w:numPr>
          <w:ilvl w:val="0"/>
          <w:numId w:val="1001"/>
        </w:numPr>
      </w:pPr>
      <w:r>
        <w:t xml:space="preserve">получать валидные сертификаты для учетных записей домена;</w:t>
      </w:r>
    </w:p>
    <w:p>
      <w:pPr>
        <w:pStyle w:val="Compact"/>
        <w:numPr>
          <w:ilvl w:val="0"/>
          <w:numId w:val="1001"/>
        </w:numPr>
      </w:pPr>
      <w:r>
        <w:t xml:space="preserve">эскалировать привилегии до уровня Domain Admin.</w:t>
      </w:r>
    </w:p>
    <w:p>
      <w:pPr>
        <w:pStyle w:val="FirstParagraph"/>
      </w:pPr>
      <w:r>
        <w:t xml:space="preserve">В данном случае можно:</w:t>
      </w:r>
    </w:p>
    <w:p>
      <w:pPr>
        <w:pStyle w:val="Compact"/>
        <w:numPr>
          <w:ilvl w:val="0"/>
          <w:numId w:val="1002"/>
        </w:numPr>
      </w:pPr>
      <w:r>
        <w:t xml:space="preserve">Провести атаку NTLM-Relay на центр сертификации по Web Enrollment и получить сертификат хоста;</w:t>
      </w:r>
    </w:p>
    <w:p>
      <w:pPr>
        <w:pStyle w:val="Compact"/>
        <w:numPr>
          <w:ilvl w:val="0"/>
          <w:numId w:val="1002"/>
        </w:numPr>
      </w:pPr>
      <w:r>
        <w:t xml:space="preserve">С помощью сертификата получить TGT-билет;</w:t>
      </w:r>
    </w:p>
    <w:p>
      <w:pPr>
        <w:pStyle w:val="Compact"/>
        <w:numPr>
          <w:ilvl w:val="0"/>
          <w:numId w:val="1002"/>
        </w:numPr>
      </w:pPr>
      <w:r>
        <w:t xml:space="preserve">С помощью TGT-билета получить NTLM-хеш учетной записи хоста;</w:t>
      </w:r>
    </w:p>
    <w:p>
      <w:pPr>
        <w:pStyle w:val="Compact"/>
        <w:numPr>
          <w:ilvl w:val="0"/>
          <w:numId w:val="1002"/>
        </w:numPr>
      </w:pPr>
      <w:r>
        <w:t xml:space="preserve">Использовать NTLM-хеш для авторизации на контроллере домена.</w:t>
      </w:r>
    </w:p>
    <w:bookmarkEnd w:id="117"/>
    <w:bookmarkStart w:id="138" w:name="оценка-возможности-проведения-атаки.-1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Оценка возможности проведения атаки.</w:t>
      </w:r>
    </w:p>
    <w:p>
      <w:pPr>
        <w:pStyle w:val="FirstParagraph"/>
      </w:pPr>
      <w:r>
        <w:t xml:space="preserve">Проверим возможность проведения атаки с помощью инструментов PetitPotam и responder. Запустим утилиту</w:t>
      </w:r>
      <w:r>
        <w:t xml:space="preserve"> </w:t>
      </w:r>
      <w:r>
        <w:rPr>
          <w:rStyle w:val="VerbatimChar"/>
        </w:rPr>
        <w:t xml:space="preserve">responder</w:t>
      </w:r>
      <w:r>
        <w:t xml:space="preserve"> </w:t>
      </w:r>
      <w:r>
        <w:t xml:space="preserve">с параметрами</w:t>
      </w:r>
      <w:r>
        <w:t xml:space="preserve"> </w:t>
      </w:r>
      <w:r>
        <w:rPr>
          <w:rStyle w:val="VerbatimChar"/>
        </w:rPr>
        <w:t xml:space="preserve">-I eth0 -v</w:t>
      </w:r>
      <w:r>
        <w:t xml:space="preserve">. Вывод показывает, что</w:t>
      </w:r>
      <w:r>
        <w:t xml:space="preserve"> </w:t>
      </w:r>
      <w:r>
        <w:t xml:space="preserve">“отравители”</w:t>
      </w:r>
      <w:r>
        <w:t xml:space="preserve"> </w:t>
      </w:r>
      <w:r>
        <w:t xml:space="preserve">(poisoners) протоколов LLMNR, NBT-NS, MDNS и DNS включены ON (рис. 24 - 25):</w:t>
      </w:r>
    </w:p>
    <w:bookmarkStart w:id="121" w:name="fig:024"/>
    <w:p>
      <w:pPr>
        <w:pStyle w:val="CaptionedFigure"/>
      </w:pPr>
      <w:r>
        <w:drawing>
          <wp:inline>
            <wp:extent cx="3733800" cy="2883942"/>
            <wp:effectExtent b="0" l="0" r="0" t="0"/>
            <wp:docPr descr="Рис. 24: Запуск утилиты responder" title="" id="119" name="Picture"/>
            <a:graphic>
              <a:graphicData uri="http://schemas.openxmlformats.org/drawingml/2006/picture">
                <pic:pic>
                  <pic:nvPicPr>
                    <pic:cNvPr descr="image/24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3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Запуск утилиты responder</w:t>
      </w:r>
    </w:p>
    <w:bookmarkEnd w:id="121"/>
    <w:bookmarkStart w:id="125" w:name="fig:025"/>
    <w:p>
      <w:pPr>
        <w:pStyle w:val="CaptionedFigure"/>
      </w:pPr>
      <w:r>
        <w:drawing>
          <wp:inline>
            <wp:extent cx="3733800" cy="1017628"/>
            <wp:effectExtent b="0" l="0" r="0" t="0"/>
            <wp:docPr descr="Рис. 25: Запуск утилиты responder" title="" id="123" name="Picture"/>
            <a:graphic>
              <a:graphicData uri="http://schemas.openxmlformats.org/drawingml/2006/picture">
                <pic:pic>
                  <pic:nvPicPr>
                    <pic:cNvPr descr="image/25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7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Запуск утилиты responder</w:t>
      </w:r>
    </w:p>
    <w:bookmarkEnd w:id="125"/>
    <w:p>
      <w:pPr>
        <w:pStyle w:val="BodyText"/>
      </w:pPr>
      <w:r>
        <w:t xml:space="preserve">Сообщение Listening for events… означает, что инструмент Responder:</w:t>
      </w:r>
    </w:p>
    <w:p>
      <w:pPr>
        <w:pStyle w:val="Compact"/>
        <w:numPr>
          <w:ilvl w:val="0"/>
          <w:numId w:val="1003"/>
        </w:numPr>
      </w:pPr>
      <w:r>
        <w:t xml:space="preserve">перешел в режим перехвата сетевых запросов;</w:t>
      </w:r>
    </w:p>
    <w:p>
      <w:pPr>
        <w:pStyle w:val="Compact"/>
        <w:numPr>
          <w:ilvl w:val="0"/>
          <w:numId w:val="1003"/>
        </w:numPr>
      </w:pPr>
      <w:r>
        <w:t xml:space="preserve">начал мониторинг протоколов: LLMNR, NBT-NS, MDNS и DHCP;</w:t>
      </w:r>
    </w:p>
    <w:p>
      <w:pPr>
        <w:pStyle w:val="FirstParagraph"/>
      </w:pPr>
      <w:r>
        <w:t xml:space="preserve">Далее с помощью утилиты PetitPotam (рис. 26) будем использовать принуждение к аутентификации, для этого в другом терминале kali перейдем в директорию PetitPotam. Таким образом, данный эксплойт принуждает сервер 10.10.10.20 аутентифицироваться на контроллере домена 195.239.174.11</w:t>
      </w:r>
    </w:p>
    <w:bookmarkStart w:id="129" w:name="fig:026"/>
    <w:p>
      <w:pPr>
        <w:pStyle w:val="CaptionedFigure"/>
      </w:pPr>
      <w:r>
        <w:drawing>
          <wp:inline>
            <wp:extent cx="3733800" cy="2244861"/>
            <wp:effectExtent b="0" l="0" r="0" t="0"/>
            <wp:docPr descr="Рис. 26: Запуск утилиты PetitPotam для проверки возможности принуждения к аутентификации" title="" id="127" name="Picture"/>
            <a:graphic>
              <a:graphicData uri="http://schemas.openxmlformats.org/drawingml/2006/picture">
                <pic:pic>
                  <pic:nvPicPr>
                    <pic:cNvPr descr="image/2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4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Запуск утилиты PetitPotam для проверки возможности принуждения к аутентификации</w:t>
      </w:r>
    </w:p>
    <w:bookmarkEnd w:id="129"/>
    <w:p>
      <w:pPr>
        <w:pStyle w:val="BodyText"/>
      </w:pPr>
      <w:r>
        <w:t xml:space="preserve">Как работает эксплойт:</w:t>
      </w:r>
    </w:p>
    <w:p>
      <w:pPr>
        <w:pStyle w:val="Compact"/>
        <w:numPr>
          <w:ilvl w:val="0"/>
          <w:numId w:val="1004"/>
        </w:numPr>
      </w:pPr>
      <w:r>
        <w:t xml:space="preserve">отправляет на целевой контроллер домена (10.10.10.20) запрос через протокол MS-EFSRPC, используя функцию EfsRpcOpenFileRaw;</w:t>
      </w:r>
    </w:p>
    <w:p>
      <w:pPr>
        <w:pStyle w:val="Compact"/>
        <w:numPr>
          <w:ilvl w:val="0"/>
          <w:numId w:val="1004"/>
        </w:numPr>
      </w:pPr>
      <w:r>
        <w:t xml:space="preserve">данный запрос принуждает сервер выполнить аутентификацию по протоколу NTLM или Kerberos на указанной машине (195.239.174.11);</w:t>
      </w:r>
    </w:p>
    <w:p>
      <w:pPr>
        <w:pStyle w:val="Compact"/>
        <w:numPr>
          <w:ilvl w:val="0"/>
          <w:numId w:val="1004"/>
        </w:numPr>
      </w:pPr>
      <w:r>
        <w:t xml:space="preserve">атакующая машина (195.239.174.11) должна ожидать входящих соединений и иметь инструмент для перехвата и ретрансляции (relay) указанных аутентификационных данных на другой сервер в сети (например, на сам контроллер домена) для выполнения команд.</w:t>
      </w:r>
    </w:p>
    <w:p>
      <w:pPr>
        <w:pStyle w:val="FirstParagraph"/>
      </w:pPr>
      <w:r>
        <w:t xml:space="preserve">Цель атаки:</w:t>
      </w:r>
    </w:p>
    <w:p>
      <w:pPr>
        <w:pStyle w:val="Compact"/>
        <w:numPr>
          <w:ilvl w:val="0"/>
          <w:numId w:val="1005"/>
        </w:numPr>
      </w:pPr>
      <w:r>
        <w:t xml:space="preserve">получить NTLM-хеши паролей или TGT-билеты Kerberos учетных записей с высокими привилегиями (например, учетной записи контроллера домена);</w:t>
      </w:r>
    </w:p>
    <w:p>
      <w:pPr>
        <w:pStyle w:val="Compact"/>
        <w:numPr>
          <w:ilvl w:val="0"/>
          <w:numId w:val="1005"/>
        </w:numPr>
      </w:pPr>
      <w:r>
        <w:t xml:space="preserve">выполнить произвольные команды на контроллере домена (если аутентификация ретранслируется обратно на него и уязвимость позволяет).</w:t>
      </w:r>
    </w:p>
    <w:p>
      <w:pPr>
        <w:pStyle w:val="FirstParagraph"/>
      </w:pPr>
      <w:r>
        <w:t xml:space="preserve">Особенности: для успешной атаки необходимо, чтобы на атакующей машине (195.239.174.11) был запущен сервер, ожидающий аутентификации (например, с помощью инструментов Impacket’s ntlmrelayx или responder).</w:t>
      </w:r>
    </w:p>
    <w:p>
      <w:pPr>
        <w:pStyle w:val="BodyText"/>
      </w:pPr>
      <w:r>
        <w:t xml:space="preserve">В окне, где работает responder, появились новые строки лога. Виден перехваченный NTLMv2 хеш для пользователя AD$ с домена AMPIRE. Это прямое доказательство, что принуждение к аутентификации через PetitPotam сработало, и хеш был успешно перехвачен (рис. 27):</w:t>
      </w:r>
    </w:p>
    <w:bookmarkStart w:id="133" w:name="fig:027"/>
    <w:p>
      <w:pPr>
        <w:pStyle w:val="CaptionedFigure"/>
      </w:pPr>
      <w:r>
        <w:drawing>
          <wp:inline>
            <wp:extent cx="3733800" cy="545354"/>
            <wp:effectExtent b="0" l="0" r="0" t="0"/>
            <wp:docPr descr="Рис. 27: Запрос на аутентификацию от контроллера домена, перехваченный утилитой responder" title="" id="131" name="Picture"/>
            <a:graphic>
              <a:graphicData uri="http://schemas.openxmlformats.org/drawingml/2006/picture">
                <pic:pic>
                  <pic:nvPicPr>
                    <pic:cNvPr descr="image/27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5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Запрос на аутентификацию от контроллера домена, перехваченный утилитой responder</w:t>
      </w:r>
    </w:p>
    <w:bookmarkEnd w:id="133"/>
    <w:p>
      <w:pPr>
        <w:pStyle w:val="BodyText"/>
      </w:pPr>
      <w:r>
        <w:t xml:space="preserve">После получения запроса утилиту responder необходимо остановить в терминале сочетанием клавиш «Сtrl + C» (рис. 28):</w:t>
      </w:r>
    </w:p>
    <w:bookmarkStart w:id="137" w:name="fig:028"/>
    <w:p>
      <w:pPr>
        <w:pStyle w:val="CaptionedFigure"/>
      </w:pPr>
      <w:r>
        <w:drawing>
          <wp:inline>
            <wp:extent cx="3733800" cy="705305"/>
            <wp:effectExtent b="0" l="0" r="0" t="0"/>
            <wp:docPr descr="Рис. 28: Остановка утилиты responder" title="" id="135" name="Picture"/>
            <a:graphic>
              <a:graphicData uri="http://schemas.openxmlformats.org/drawingml/2006/picture">
                <pic:pic>
                  <pic:nvPicPr>
                    <pic:cNvPr descr="image/28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5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Остановка утилиты responder</w:t>
      </w:r>
    </w:p>
    <w:bookmarkEnd w:id="137"/>
    <w:bookmarkEnd w:id="138"/>
    <w:bookmarkEnd w:id="139"/>
    <w:bookmarkStart w:id="171" w:name="атака-на-центр-сертификации-c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Атака на центр сертификации (CS)</w:t>
      </w:r>
    </w:p>
    <w:p>
      <w:pPr>
        <w:pStyle w:val="FirstParagraph"/>
      </w:pPr>
      <w:r>
        <w:t xml:space="preserve">Атаку будем проводить поэтапно:</w:t>
      </w:r>
    </w:p>
    <w:p>
      <w:pPr>
        <w:pStyle w:val="Compact"/>
        <w:numPr>
          <w:ilvl w:val="0"/>
          <w:numId w:val="1006"/>
        </w:numPr>
      </w:pPr>
      <w:r>
        <w:t xml:space="preserve">использование утилиты ntlmrelayx.py для получения сертификата в формате BASE64, который позволит выдать TGT (Ticket Granting Ticket) Kerberos (для инициации аутентификации используется PetitPotam);</w:t>
      </w:r>
    </w:p>
    <w:p>
      <w:pPr>
        <w:pStyle w:val="Compact"/>
        <w:numPr>
          <w:ilvl w:val="0"/>
          <w:numId w:val="1006"/>
        </w:numPr>
      </w:pPr>
      <w:r>
        <w:t xml:space="preserve">использование утилиты gettgtpkinit.py для получения TGT-билета, используя полученный сертификат;</w:t>
      </w:r>
    </w:p>
    <w:p>
      <w:pPr>
        <w:pStyle w:val="Compact"/>
        <w:numPr>
          <w:ilvl w:val="0"/>
          <w:numId w:val="1006"/>
        </w:numPr>
      </w:pPr>
      <w:r>
        <w:t xml:space="preserve">использование утилиты secretsdump.py для выгрузки хешей пользователей.</w:t>
      </w:r>
    </w:p>
    <w:bookmarkStart w:id="148" w:name="получение-сертификата-ntlmrelayx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Получение сертификата (ntlmrelayx)</w:t>
      </w:r>
    </w:p>
    <w:p>
      <w:pPr>
        <w:pStyle w:val="FirstParagraph"/>
      </w:pPr>
      <w:r>
        <w:t xml:space="preserve">Выполним атаку перехвата аутентификации NTLM на центр сертификации Active Directory Certificate Services (AD CS) с целью получения сертификата Kerberos. Запустим NTLM ретранслятор с помощью утилиты</w:t>
      </w:r>
      <w:r>
        <w:t xml:space="preserve"> </w:t>
      </w:r>
      <w:r>
        <w:rPr>
          <w:rStyle w:val="VerbatimChar"/>
        </w:rPr>
        <w:t xml:space="preserve">ntlmrelayx</w:t>
      </w:r>
      <w:r>
        <w:t xml:space="preserve"> </w:t>
      </w:r>
      <w:r>
        <w:t xml:space="preserve">(рис. 29:</w:t>
      </w:r>
    </w:p>
    <w:bookmarkStart w:id="143" w:name="fig:029"/>
    <w:p>
      <w:pPr>
        <w:pStyle w:val="CaptionedFigure"/>
      </w:pPr>
      <w:r>
        <w:drawing>
          <wp:inline>
            <wp:extent cx="3733800" cy="2129674"/>
            <wp:effectExtent b="0" l="0" r="0" t="0"/>
            <wp:docPr descr="Рис. 29: Запуск утилиты ntlmrelayx" title="" id="141" name="Picture"/>
            <a:graphic>
              <a:graphicData uri="http://schemas.openxmlformats.org/drawingml/2006/picture">
                <pic:pic>
                  <pic:nvPicPr>
                    <pic:cNvPr descr="image/29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9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Запуск утилиты ntlmrelayx</w:t>
      </w:r>
    </w:p>
    <w:bookmarkEnd w:id="143"/>
    <w:p>
      <w:pPr>
        <w:pStyle w:val="BodyText"/>
      </w:pPr>
      <w:r>
        <w:t xml:space="preserve">Далее повторно запустим PetitPotam. После запуска утилиты в выводе будет написано название файла, в котором содержится сертификат (рис. 30):</w:t>
      </w:r>
    </w:p>
    <w:bookmarkStart w:id="147" w:name="fig:030"/>
    <w:p>
      <w:pPr>
        <w:pStyle w:val="CaptionedFigure"/>
      </w:pPr>
      <w:r>
        <w:drawing>
          <wp:inline>
            <wp:extent cx="3733800" cy="1080933"/>
            <wp:effectExtent b="0" l="0" r="0" t="0"/>
            <wp:docPr descr="Рис. 30: Сертификат PKCS12, сохраненный в файле" title="" id="145" name="Picture"/>
            <a:graphic>
              <a:graphicData uri="http://schemas.openxmlformats.org/drawingml/2006/picture">
                <pic:pic>
                  <pic:nvPicPr>
                    <pic:cNvPr descr="image/30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0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Сертификат PKCS12, сохраненный в файле</w:t>
      </w:r>
    </w:p>
    <w:bookmarkEnd w:id="147"/>
    <w:bookmarkEnd w:id="148"/>
    <w:bookmarkStart w:id="157" w:name="получение-tgt-билета-gettgtpkinit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Получение TGT-билета (gettgtpkinit)</w:t>
      </w:r>
    </w:p>
    <w:p>
      <w:pPr>
        <w:pStyle w:val="FirstParagraph"/>
      </w:pP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gettgtpkinit.py</w:t>
      </w:r>
      <w:r>
        <w:t xml:space="preserve"> </w:t>
      </w:r>
      <w:r>
        <w:t xml:space="preserve">и полученного файла AD$.pfx запрашиваем TGT-билет Kerberos у контроллера домена. В логах виден процесс: загрузка сертификата, запрос TGT на порт 88 контроллера и финальное сообщение Saved TGT to file. Билет сохраняется в файл ticket.ccache (рис. 31):</w:t>
      </w:r>
    </w:p>
    <w:bookmarkStart w:id="152" w:name="fig:031"/>
    <w:p>
      <w:pPr>
        <w:pStyle w:val="CaptionedFigure"/>
      </w:pPr>
      <w:r>
        <w:drawing>
          <wp:inline>
            <wp:extent cx="3733800" cy="1299766"/>
            <wp:effectExtent b="0" l="0" r="0" t="0"/>
            <wp:docPr descr="Рис. 31: Запуск утилиты gettgtpkinit и получение TGT-билета" title="" id="150" name="Picture"/>
            <a:graphic>
              <a:graphicData uri="http://schemas.openxmlformats.org/drawingml/2006/picture">
                <pic:pic>
                  <pic:nvPicPr>
                    <pic:cNvPr descr="image/31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9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Запуск утилиты gettgtpkinit и получение TGT-билета</w:t>
      </w:r>
    </w:p>
    <w:bookmarkEnd w:id="152"/>
    <w:p>
      <w:pPr>
        <w:pStyle w:val="BodyText"/>
      </w:pPr>
      <w:r>
        <w:t xml:space="preserve">Посмотрим содержимое директории, где находится только что созданный файл ticket.ccache. Это бинарный файл, содержащий Ticket-Granting Ticket Kerberos для учётной записи AD$. Наличие этого файла подтверждает успешный этап и позволяет перейти к аутентификации в домене по протоколу Kerberos. (рис. 32):</w:t>
      </w:r>
    </w:p>
    <w:bookmarkStart w:id="156" w:name="fig:032"/>
    <w:p>
      <w:pPr>
        <w:pStyle w:val="CaptionedFigure"/>
      </w:pPr>
      <w:r>
        <w:drawing>
          <wp:inline>
            <wp:extent cx="3733800" cy="470241"/>
            <wp:effectExtent b="0" l="0" r="0" t="0"/>
            <wp:docPr descr="Рис. 32: Местонахождение файла ticket.ccache" title="" id="154" name="Picture"/>
            <a:graphic>
              <a:graphicData uri="http://schemas.openxmlformats.org/drawingml/2006/picture">
                <pic:pic>
                  <pic:nvPicPr>
                    <pic:cNvPr descr="image/32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0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Местонахождение файла ticket.ccache</w:t>
      </w:r>
    </w:p>
    <w:bookmarkEnd w:id="156"/>
    <w:bookmarkEnd w:id="157"/>
    <w:bookmarkStart w:id="170" w:name="выгрузка-хешей-пользователей-secretsdump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Выгрузка хешей пользователей (secretsdump)</w:t>
      </w:r>
    </w:p>
    <w:p>
      <w:pPr>
        <w:pStyle w:val="FirstParagraph"/>
      </w:pPr>
      <w:r>
        <w:t xml:space="preserve">Полностью cдампить хеши паролей всех пользователей домена (включая администраторов) можно с использованием утилиты secretsdump. Данная утилита позволяет удаленно выгрузить хеши пользователей из файла ntds.dit и работает только при наличии действительного TGT (Ticket Granting Ticket) для доступа к домену. Для работы утилиты переменная окружения KRB5CCNAME должна указывать на файл с билетом. Добавим TGT-билет в переменные среды (рис. 33):</w:t>
      </w:r>
    </w:p>
    <w:bookmarkStart w:id="161" w:name="fig:033"/>
    <w:p>
      <w:pPr>
        <w:pStyle w:val="CaptionedFigure"/>
      </w:pPr>
      <w:r>
        <w:drawing>
          <wp:inline>
            <wp:extent cx="3733800" cy="987188"/>
            <wp:effectExtent b="0" l="0" r="0" t="0"/>
            <wp:docPr descr="Рис. 33: Добавление TGT-билета в переменные среды" title="" id="159" name="Picture"/>
            <a:graphic>
              <a:graphicData uri="http://schemas.openxmlformats.org/drawingml/2006/picture">
                <pic:pic>
                  <pic:nvPicPr>
                    <pic:cNvPr descr="image/33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7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Добавление TGT-билета в переменные среды</w:t>
      </w:r>
    </w:p>
    <w:bookmarkEnd w:id="161"/>
    <w:p>
      <w:pPr>
        <w:pStyle w:val="BodyText"/>
      </w:pPr>
      <w:r>
        <w:t xml:space="preserve">Результат добавления можно просмотреть с помощью команды</w:t>
      </w:r>
      <w:r>
        <w:t xml:space="preserve"> </w:t>
      </w:r>
      <w:r>
        <w:rPr>
          <w:rStyle w:val="VerbatimChar"/>
        </w:rPr>
        <w:t xml:space="preserve">printenv</w:t>
      </w:r>
      <w:r>
        <w:t xml:space="preserve"> </w:t>
      </w:r>
      <w:r>
        <w:t xml:space="preserve">(рис. 34):</w:t>
      </w:r>
    </w:p>
    <w:bookmarkStart w:id="165" w:name="fig:034"/>
    <w:p>
      <w:pPr>
        <w:pStyle w:val="CaptionedFigure"/>
      </w:pPr>
      <w:r>
        <w:drawing>
          <wp:inline>
            <wp:extent cx="3733800" cy="4962559"/>
            <wp:effectExtent b="0" l="0" r="0" t="0"/>
            <wp:docPr descr="Рис. 34: Вывод переменных среды" title="" id="163" name="Picture"/>
            <a:graphic>
              <a:graphicData uri="http://schemas.openxmlformats.org/drawingml/2006/picture">
                <pic:pic>
                  <pic:nvPicPr>
                    <pic:cNvPr descr="image/34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62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Вывод переменных среды</w:t>
      </w:r>
    </w:p>
    <w:bookmarkEnd w:id="165"/>
    <w:p>
      <w:pPr>
        <w:pStyle w:val="BodyText"/>
      </w:pPr>
      <w:r>
        <w:t xml:space="preserve">Запустим утилиту</w:t>
      </w:r>
      <w:r>
        <w:t xml:space="preserve"> </w:t>
      </w:r>
      <w:r>
        <w:rPr>
          <w:rStyle w:val="VerbatimChar"/>
        </w:rPr>
        <w:t xml:space="preserve">impacket-secretsdump</w:t>
      </w:r>
      <w:r>
        <w:t xml:space="preserve"> </w:t>
      </w:r>
      <w:r>
        <w:t xml:space="preserve">с флагами</w:t>
      </w:r>
      <w:r>
        <w:t xml:space="preserve"> </w:t>
      </w:r>
      <w:r>
        <w:rPr>
          <w:rStyle w:val="VerbatimChar"/>
        </w:rPr>
        <w:t xml:space="preserve">-k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-no-pass</w:t>
      </w:r>
      <w:r>
        <w:t xml:space="preserve">. Инструмент подключается к контроллеру домена, используя TGT-билет, и начинает выгрузку хешей из базы NTDS.dit (рис. 35). В выводе видны хеши всех пользователей домена, включая строку с хешем Administrator — конечная цель этой фазы атаки.</w:t>
      </w:r>
    </w:p>
    <w:bookmarkStart w:id="169" w:name="fig:035"/>
    <w:p>
      <w:pPr>
        <w:pStyle w:val="CaptionedFigure"/>
      </w:pPr>
      <w:r>
        <w:drawing>
          <wp:inline>
            <wp:extent cx="3733800" cy="1450508"/>
            <wp:effectExtent b="0" l="0" r="0" t="0"/>
            <wp:docPr descr="Рис. 35: Выгрузка хешей в домене AMPIRE.CORP" title="" id="167" name="Picture"/>
            <a:graphic>
              <a:graphicData uri="http://schemas.openxmlformats.org/drawingml/2006/picture">
                <pic:pic>
                  <pic:nvPicPr>
                    <pic:cNvPr descr="image/35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0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Выгрузка хешей в домене AMPIRE.CORP</w:t>
      </w:r>
    </w:p>
    <w:bookmarkEnd w:id="169"/>
    <w:bookmarkEnd w:id="170"/>
    <w:bookmarkEnd w:id="171"/>
    <w:bookmarkStart w:id="185" w:name="захват-контроллера-домена-ad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Захват контроллера домена (AD)</w:t>
      </w:r>
    </w:p>
    <w:p>
      <w:pPr>
        <w:pStyle w:val="FirstParagraph"/>
      </w:pPr>
      <w:r>
        <w:t xml:space="preserve">Поскольку у нас имеется хеш доменного администратора, то для получения сессии с контроллером домена можно использовать:</w:t>
      </w:r>
    </w:p>
    <w:p>
      <w:pPr>
        <w:pStyle w:val="Compact"/>
        <w:numPr>
          <w:ilvl w:val="0"/>
          <w:numId w:val="1007"/>
        </w:numPr>
      </w:pPr>
      <w:r>
        <w:t xml:space="preserve">модуль windows/smb/psexec;</w:t>
      </w:r>
    </w:p>
    <w:p>
      <w:pPr>
        <w:pStyle w:val="Compact"/>
        <w:numPr>
          <w:ilvl w:val="0"/>
          <w:numId w:val="1007"/>
        </w:numPr>
      </w:pPr>
      <w:r>
        <w:t xml:space="preserve">или использовать файл smbexec.py.</w:t>
      </w:r>
    </w:p>
    <w:bookmarkStart w:id="184" w:name="получение-сессии-с-помощью-metasploit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Получение сессии с помощью metasploit</w:t>
      </w:r>
    </w:p>
    <w:p>
      <w:pPr>
        <w:pStyle w:val="FirstParagraph"/>
      </w:pPr>
      <w:r>
        <w:t xml:space="preserve">Найдем и настроим модуль windows/smb/psexec (рис. 36). После запуска модуля открывается новая meterpreter-сессия, на этот раз уже непосредственно на контроллере домена, что означает его полную компрометацию.</w:t>
      </w:r>
    </w:p>
    <w:bookmarkStart w:id="175" w:name="fig:036"/>
    <w:p>
      <w:pPr>
        <w:pStyle w:val="CaptionedFigure"/>
      </w:pPr>
      <w:r>
        <w:drawing>
          <wp:inline>
            <wp:extent cx="3733800" cy="2196070"/>
            <wp:effectExtent b="0" l="0" r="0" t="0"/>
            <wp:docPr descr="Рис. 36: Получение meterpreter-сессии с контроллером домена" title="" id="173" name="Picture"/>
            <a:graphic>
              <a:graphicData uri="http://schemas.openxmlformats.org/drawingml/2006/picture">
                <pic:pic>
                  <pic:nvPicPr>
                    <pic:cNvPr descr="image/36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6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Получение meterpreter-сессии с контроллером домена</w:t>
      </w:r>
    </w:p>
    <w:bookmarkEnd w:id="175"/>
    <w:p>
      <w:pPr>
        <w:pStyle w:val="BodyText"/>
      </w:pPr>
      <w:r>
        <w:t xml:space="preserve">Перейдем в консоль, создадим пользователя hacker и добавим его в локальную группу Administrators (рис. 37). Команда</w:t>
      </w:r>
      <w:r>
        <w:t xml:space="preserve"> </w:t>
      </w:r>
      <w:r>
        <w:rPr>
          <w:rStyle w:val="VerbatimChar"/>
        </w:rPr>
        <w:t xml:space="preserve">net user hacker</w:t>
      </w:r>
      <w:r>
        <w:t xml:space="preserve"> </w:t>
      </w:r>
      <w:r>
        <w:t xml:space="preserve">отображает результат, где в поле Comment виден флаг — доказательство выполнения задания.</w:t>
      </w:r>
    </w:p>
    <w:bookmarkStart w:id="179" w:name="fig:037"/>
    <w:p>
      <w:pPr>
        <w:pStyle w:val="CaptionedFigure"/>
      </w:pPr>
      <w:r>
        <w:drawing>
          <wp:inline>
            <wp:extent cx="3733800" cy="3091501"/>
            <wp:effectExtent b="0" l="0" r="0" t="0"/>
            <wp:docPr descr="Рис. 37: Создание нового пользователя hacker и добавление в локальную группу Administrators" title="" id="177" name="Picture"/>
            <a:graphic>
              <a:graphicData uri="http://schemas.openxmlformats.org/drawingml/2006/picture">
                <pic:pic>
                  <pic:nvPicPr>
                    <pic:cNvPr descr="image/37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1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Создание нового пользователя hacker и добавление в локальную группу Administrators</w:t>
      </w:r>
    </w:p>
    <w:bookmarkEnd w:id="179"/>
    <w:p>
      <w:pPr>
        <w:pStyle w:val="BodyText"/>
      </w:pPr>
      <w:r>
        <w:t xml:space="preserve">Скопируем полученный флаг и убедимся что задание успешно выполнилось (рис. 38).</w:t>
      </w:r>
    </w:p>
    <w:bookmarkStart w:id="183" w:name="fig:038"/>
    <w:p>
      <w:pPr>
        <w:pStyle w:val="CaptionedFigure"/>
      </w:pPr>
      <w:r>
        <w:drawing>
          <wp:inline>
            <wp:extent cx="3733800" cy="3704213"/>
            <wp:effectExtent b="0" l="0" r="0" t="0"/>
            <wp:docPr descr="Рис. 38: Флаг введен правильно" title="" id="181" name="Picture"/>
            <a:graphic>
              <a:graphicData uri="http://schemas.openxmlformats.org/drawingml/2006/picture">
                <pic:pic>
                  <pic:nvPicPr>
                    <pic:cNvPr descr="image/38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04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Флаг введен правильно</w:t>
      </w:r>
    </w:p>
    <w:bookmarkEnd w:id="183"/>
    <w:bookmarkEnd w:id="184"/>
    <w:bookmarkEnd w:id="185"/>
    <w:bookmarkEnd w:id="186"/>
    <w:bookmarkStart w:id="18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Начав с почтового сервера и закончив полным контролем над главным сервером управления, была взломана сеть компании. Успешное выполнение стало возможно из-за нескольких дыр в безопасности: устаревшего почтового сервера, неправильных настроек службы сертификатов и перехвата паролей между системами.</w:t>
      </w:r>
    </w:p>
    <w:bookmarkEnd w:id="1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40" Target="media/rId140.png" /><Relationship Type="http://schemas.openxmlformats.org/officeDocument/2006/relationships/image" Id="rId29" Target="media/rId29.png" /><Relationship Type="http://schemas.openxmlformats.org/officeDocument/2006/relationships/image" Id="rId144" Target="media/rId144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166" Target="media/rId166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180" Target="media/rId18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/>
  <dc:language>ru-RU</dc:language>
  <cp:keywords/>
  <dcterms:created xsi:type="dcterms:W3CDTF">2025-12-14T11:48:18Z</dcterms:created>
  <dcterms:modified xsi:type="dcterms:W3CDTF">2025-12-14T11:48:18Z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Кибербезопасность предприятия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