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2.png" ContentType="image/png"/>
  <Override PartName="/word/media/rId26.png" ContentType="image/png"/>
  <Override PartName="/word/media/rId106.png" ContentType="image/png"/>
  <Override PartName="/word/media/rId110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30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4. Эмуляция и измерение задержек в глобальных сетях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4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NETEM — инструментом для</w:t>
      </w:r>
      <w:r>
        <w:t xml:space="preserve"> </w:t>
      </w:r>
      <w:r>
        <w:t xml:space="preserve">тестирования производительности приложений в виртуальной сети, а также</w:t>
      </w:r>
      <w:r>
        <w:t xml:space="preserve"> </w:t>
      </w:r>
      <w:r>
        <w:t xml:space="preserve">получение навыков проведения интерактивного и воспроизводимого экспериментов по измерению задержки и её дрожания (jitter) в моделируемой сети</w:t>
      </w:r>
      <w:r>
        <w:t xml:space="preserve"> </w:t>
      </w:r>
      <w:r>
        <w:t xml:space="preserve">в среде Mininet.</w:t>
      </w:r>
    </w:p>
    <w:p>
      <w:pPr>
        <w:pStyle w:val="BodyText"/>
      </w:pPr>
      <w:r>
        <w:t xml:space="preserve">Модуль NETEM входит в ядро ОС Linux и управляется при помощи команды</w:t>
      </w:r>
      <w:r>
        <w:t xml:space="preserve"> </w:t>
      </w:r>
      <w:r>
        <w:t xml:space="preserve">tc из пакета iproute2. Команда tc выполняет все необходимые действия при</w:t>
      </w:r>
      <w:r>
        <w:t xml:space="preserve"> </w:t>
      </w:r>
      <w:r>
        <w:t xml:space="preserve">работе с системой управления трафиком.</w:t>
      </w:r>
      <w:r>
        <w:t xml:space="preserve"> </w:t>
      </w:r>
      <w:r>
        <w:t xml:space="preserve">Основной синтаксис tc, используемый с NETEM (рис. 1):</w:t>
      </w:r>
    </w:p>
    <w:bookmarkStart w:id="23" w:name="fig:001"/>
    <w:p>
      <w:pPr>
        <w:pStyle w:val="CaptionedFigure"/>
      </w:pPr>
      <w:r>
        <w:drawing>
          <wp:inline>
            <wp:extent cx="3733800" cy="3806807"/>
            <wp:effectExtent b="0" l="0" r="0" t="0"/>
            <wp:docPr descr="Рис. 1: Синтаксис" title="" id="21" name="Picture"/>
            <a:graphic>
              <a:graphicData uri="http://schemas.openxmlformats.org/drawingml/2006/picture">
                <pic:pic>
                  <pic:nvPicPr>
                    <pic:cNvPr descr="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6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Синтаксис</w:t>
      </w:r>
    </w:p>
    <w:bookmarkEnd w:id="23"/>
    <w:p>
      <w:pPr>
        <w:pStyle w:val="BodyText"/>
      </w:pPr>
      <w:r>
        <w:t xml:space="preserve">Здесь:</w:t>
      </w:r>
    </w:p>
    <w:p>
      <w:pPr>
        <w:numPr>
          <w:ilvl w:val="0"/>
          <w:numId w:val="1001"/>
        </w:numPr>
      </w:pPr>
      <w:r>
        <w:t xml:space="preserve">sudo — включить выполнение команды с более высокими привилегиями</w:t>
      </w:r>
      <w:r>
        <w:t xml:space="preserve"> </w:t>
      </w:r>
      <w:r>
        <w:t xml:space="preserve">безопасности;</w:t>
      </w:r>
    </w:p>
    <w:p>
      <w:pPr>
        <w:numPr>
          <w:ilvl w:val="0"/>
          <w:numId w:val="1001"/>
        </w:numPr>
      </w:pPr>
      <w:r>
        <w:t xml:space="preserve">tc — команда, используемая для взаимодействия с NETEM;</w:t>
      </w:r>
    </w:p>
    <w:p>
      <w:pPr>
        <w:numPr>
          <w:ilvl w:val="0"/>
          <w:numId w:val="1001"/>
        </w:numPr>
      </w:pPr>
      <w:r>
        <w:t xml:space="preserve">qdisc — дисциплина очереди (qdisc), представляющая собой набор правил,</w:t>
      </w:r>
      <w:r>
        <w:t xml:space="preserve"> </w:t>
      </w:r>
      <w:r>
        <w:t xml:space="preserve">определяющих порядок, в котором обслуживаются пакеты, поступающие</w:t>
      </w:r>
      <w:r>
        <w:t xml:space="preserve"> </w:t>
      </w:r>
      <w:r>
        <w:t xml:space="preserve">с выхода протокола IP.</w:t>
      </w:r>
    </w:p>
    <w:p>
      <w:pPr>
        <w:numPr>
          <w:ilvl w:val="0"/>
          <w:numId w:val="1001"/>
        </w:numPr>
      </w:pPr>
      <w:r>
        <w:t xml:space="preserve">[add | del | replace | change | show] ([добавить | удалить | заме-</w:t>
      </w:r>
      <w:r>
        <w:t xml:space="preserve"> </w:t>
      </w:r>
      <w:r>
        <w:t xml:space="preserve">нить | изменить | показать]): указание на использование одной из операций</w:t>
      </w:r>
      <w:r>
        <w:t xml:space="preserve"> </w:t>
      </w:r>
      <w:r>
        <w:t xml:space="preserve">над qdisc (например, для добавления задержки на определенном интерфейсе</w:t>
      </w:r>
      <w:r>
        <w:t xml:space="preserve"> </w:t>
      </w:r>
      <w:r>
        <w:t xml:space="preserve">используется опция add, а для изменения или удаления задержки на опреде-</w:t>
      </w:r>
      <w:r>
        <w:t xml:space="preserve"> </w:t>
      </w:r>
      <w:r>
        <w:t xml:space="preserve">ленном интерфейсе используется опция change или del соответственно);</w:t>
      </w:r>
    </w:p>
    <w:p>
      <w:pPr>
        <w:numPr>
          <w:ilvl w:val="0"/>
          <w:numId w:val="1001"/>
        </w:numPr>
      </w:pPr>
      <w:r>
        <w:t xml:space="preserve">dev_id — параметр указывает интерфейс, подлежащий эмуляции (в данном</w:t>
      </w:r>
      <w:r>
        <w:t xml:space="preserve"> </w:t>
      </w:r>
      <w:r>
        <w:t xml:space="preserve">случае указан корневой интерфейс — root);</w:t>
      </w:r>
    </w:p>
    <w:p>
      <w:pPr>
        <w:numPr>
          <w:ilvl w:val="0"/>
          <w:numId w:val="1001"/>
        </w:numPr>
      </w:pPr>
      <w:r>
        <w:t xml:space="preserve">opts — параметр указывает величину задержки, потери пакетов, дублирова-</w:t>
      </w:r>
      <w:r>
        <w:t xml:space="preserve"> </w:t>
      </w:r>
      <w:r>
        <w:t xml:space="preserve">ния, повреждения и др.</w:t>
      </w:r>
    </w:p>
    <w:bookmarkEnd w:id="24"/>
    <w:bookmarkStart w:id="25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2"/>
        </w:numPr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</w:t>
      </w:r>
    </w:p>
    <w:p>
      <w:pPr>
        <w:numPr>
          <w:ilvl w:val="0"/>
          <w:numId w:val="1002"/>
        </w:numPr>
      </w:pPr>
      <w:r>
        <w:t xml:space="preserve">Проведите интерактивные эксперименты по добавлению/изменению задерж-</w:t>
      </w:r>
      <w:r>
        <w:t xml:space="preserve"> </w:t>
      </w:r>
      <w:r>
        <w:t xml:space="preserve">ки, джиттера, значения корреляции для джиттера и задержки, распределения</w:t>
      </w:r>
      <w:r>
        <w:t xml:space="preserve"> </w:t>
      </w:r>
      <w:r>
        <w:t xml:space="preserve">времени задержки в эмулируемой глобальной сети.</w:t>
      </w:r>
    </w:p>
    <w:p>
      <w:pPr>
        <w:numPr>
          <w:ilvl w:val="0"/>
          <w:numId w:val="1002"/>
        </w:numPr>
      </w:pPr>
      <w:r>
        <w:t xml:space="preserve">Реализуйте воспроизводимый эксперимент по заданию значения задержки</w:t>
      </w:r>
      <w:r>
        <w:t xml:space="preserve"> </w:t>
      </w:r>
      <w:r>
        <w:t xml:space="preserve">в эмулируемой глобальной сети. Постройте график.</w:t>
      </w:r>
    </w:p>
    <w:p>
      <w:pPr>
        <w:numPr>
          <w:ilvl w:val="0"/>
          <w:numId w:val="1002"/>
        </w:numPr>
      </w:pPr>
      <w:r>
        <w:t xml:space="preserve">Самостоятельно реализуйте воспроизводимые эксперименты по изменению</w:t>
      </w:r>
      <w:r>
        <w:t xml:space="preserve"> </w:t>
      </w:r>
      <w:r>
        <w:t xml:space="preserve">задержки, джиттера, значения корреляции для джиттера и задержки, рас-</w:t>
      </w:r>
      <w:r>
        <w:t xml:space="preserve"> </w:t>
      </w:r>
      <w:r>
        <w:t xml:space="preserve">пределения времени задержки в эмулируемой глобальной сети. Постройте</w:t>
      </w:r>
      <w:r>
        <w:t xml:space="preserve"> </w:t>
      </w:r>
      <w:r>
        <w:t xml:space="preserve">графики</w:t>
      </w:r>
    </w:p>
    <w:bookmarkEnd w:id="25"/>
    <w:bookmarkStart w:id="17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2" w:name="запуск-лабораторной-топологи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Запуск лабораторной топологии</w:t>
      </w:r>
    </w:p>
    <w:p>
      <w:pPr>
        <w:pStyle w:val="Compact"/>
        <w:numPr>
          <w:ilvl w:val="0"/>
          <w:numId w:val="1003"/>
        </w:numPr>
      </w:pPr>
      <w:r>
        <w:t xml:space="preserve">Запустим виртуальную машину и подключимся с основной ОС (рис. 2):</w:t>
      </w:r>
    </w:p>
    <w:bookmarkStart w:id="29" w:name="fig:002"/>
    <w:p>
      <w:pPr>
        <w:pStyle w:val="CaptionedFigure"/>
      </w:pPr>
      <w:r>
        <w:drawing>
          <wp:inline>
            <wp:extent cx="3733800" cy="1376344"/>
            <wp:effectExtent b="0" l="0" r="0" t="0"/>
            <wp:docPr descr="Рис. 2: Подключение к виртуальной машине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6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Подключение к виртуальной машине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Зададим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 (рис. 3):</w:t>
      </w:r>
    </w:p>
    <w:bookmarkStart w:id="33" w:name="fig:003"/>
    <w:p>
      <w:pPr>
        <w:pStyle w:val="CaptionedFigure"/>
      </w:pPr>
      <w:r>
        <w:drawing>
          <wp:inline>
            <wp:extent cx="3733800" cy="1632094"/>
            <wp:effectExtent b="0" l="0" r="0" t="0"/>
            <wp:docPr descr="Рис. 3: Задание простейшей топологи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простейшей топологии</w:t>
      </w:r>
    </w:p>
    <w:bookmarkEnd w:id="33"/>
    <w:p>
      <w:pPr>
        <w:pStyle w:val="BodyText"/>
      </w:pPr>
      <w:r>
        <w:t xml:space="preserve">После введения этой команды запустятся терминалы двух хостов, коммутатора и контроллера. Терминалы коммутатора и контроллера можно закрыть.</w:t>
      </w:r>
    </w:p>
    <w:p>
      <w:pPr>
        <w:pStyle w:val="Compact"/>
        <w:numPr>
          <w:ilvl w:val="0"/>
          <w:numId w:val="1005"/>
        </w:numPr>
      </w:pPr>
      <w:r>
        <w:t xml:space="preserve">На хостах h1 и h2 введем команду ifconfig, чтобы отобразить информацию, относящуюся к их сетевым интерфейсам и назначенным им IP-адресам.</w:t>
      </w:r>
      <w:r>
        <w:t xml:space="preserve"> </w:t>
      </w:r>
      <w:r>
        <w:t xml:space="preserve">В дальнейшем при работе с NETEM и командой tc будут использоваться</w:t>
      </w:r>
      <w:r>
        <w:t xml:space="preserve"> </w:t>
      </w:r>
      <w:r>
        <w:t xml:space="preserve">интерфейсы h1-eth0 и h2-eth0 (рис. 4):</w:t>
      </w:r>
    </w:p>
    <w:bookmarkStart w:id="37" w:name="fig:004"/>
    <w:p>
      <w:pPr>
        <w:pStyle w:val="CaptionedFigure"/>
      </w:pPr>
      <w:r>
        <w:drawing>
          <wp:inline>
            <wp:extent cx="3733800" cy="1050872"/>
            <wp:effectExtent b="0" l="0" r="0" t="0"/>
            <wp:docPr descr="Рис. 4: Информация на хостах h1 и h2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0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Информация на хостах h1 и h2</w:t>
      </w:r>
    </w:p>
    <w:bookmarkEnd w:id="37"/>
    <w:p>
      <w:pPr>
        <w:pStyle w:val="Compact"/>
        <w:numPr>
          <w:ilvl w:val="0"/>
          <w:numId w:val="1006"/>
        </w:numPr>
      </w:pPr>
      <w:r>
        <w:t xml:space="preserve">Проверим подключение между хостами h1 и h2 с помощью команды ping</w:t>
      </w:r>
      <w:r>
        <w:t xml:space="preserve"> </w:t>
      </w:r>
      <w:r>
        <w:t xml:space="preserve">с параметром -c 6 (рис. 5):</w:t>
      </w:r>
    </w:p>
    <w:bookmarkStart w:id="41" w:name="fig:005"/>
    <w:p>
      <w:pPr>
        <w:pStyle w:val="CaptionedFigure"/>
      </w:pPr>
      <w:r>
        <w:drawing>
          <wp:inline>
            <wp:extent cx="3733800" cy="682161"/>
            <wp:effectExtent b="0" l="0" r="0" t="0"/>
            <wp:docPr descr="Рис. 5: Проверка подключения между хостами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подключения между хостами</w:t>
      </w:r>
    </w:p>
    <w:bookmarkEnd w:id="41"/>
    <w:p>
      <w:pPr>
        <w:pStyle w:val="BodyText"/>
      </w:pPr>
      <w:r>
        <w:t xml:space="preserve">Для IP-адреса 10.0.0.1:</w:t>
      </w:r>
    </w:p>
    <w:p>
      <w:pPr>
        <w:numPr>
          <w:ilvl w:val="0"/>
          <w:numId w:val="1007"/>
        </w:numPr>
      </w:pPr>
      <w:r>
        <w:t xml:space="preserve">Минимальное RTT: 0.055 мс</w:t>
      </w:r>
    </w:p>
    <w:p>
      <w:pPr>
        <w:numPr>
          <w:ilvl w:val="0"/>
          <w:numId w:val="1007"/>
        </w:numPr>
      </w:pPr>
      <w:r>
        <w:t xml:space="preserve">Среднее RTT: 0.411 мс</w:t>
      </w:r>
    </w:p>
    <w:p>
      <w:pPr>
        <w:numPr>
          <w:ilvl w:val="0"/>
          <w:numId w:val="1007"/>
        </w:numPr>
      </w:pPr>
      <w:r>
        <w:t xml:space="preserve">Максимальное RTT: 2.167 мс</w:t>
      </w:r>
    </w:p>
    <w:p>
      <w:pPr>
        <w:numPr>
          <w:ilvl w:val="0"/>
          <w:numId w:val="1007"/>
        </w:numPr>
      </w:pPr>
      <w:r>
        <w:t xml:space="preserve">Стандартное отклонение: 0.785 мс</w:t>
      </w:r>
    </w:p>
    <w:p>
      <w:pPr>
        <w:pStyle w:val="FirstParagraph"/>
      </w:pPr>
      <w:r>
        <w:t xml:space="preserve">Для IP-адреса 10.0.0.2:</w:t>
      </w:r>
    </w:p>
    <w:p>
      <w:pPr>
        <w:numPr>
          <w:ilvl w:val="0"/>
          <w:numId w:val="1008"/>
        </w:numPr>
      </w:pPr>
      <w:r>
        <w:t xml:space="preserve">Минимальное RTT: 0.046 мс</w:t>
      </w:r>
    </w:p>
    <w:p>
      <w:pPr>
        <w:numPr>
          <w:ilvl w:val="0"/>
          <w:numId w:val="1008"/>
        </w:numPr>
      </w:pPr>
      <w:r>
        <w:t xml:space="preserve">Среднее RTT: 0.567 мс</w:t>
      </w:r>
    </w:p>
    <w:p>
      <w:pPr>
        <w:numPr>
          <w:ilvl w:val="0"/>
          <w:numId w:val="1008"/>
        </w:numPr>
      </w:pPr>
      <w:r>
        <w:t xml:space="preserve">Максимальное RTT: 2.924 мс</w:t>
      </w:r>
    </w:p>
    <w:p>
      <w:pPr>
        <w:numPr>
          <w:ilvl w:val="0"/>
          <w:numId w:val="1008"/>
        </w:numPr>
      </w:pPr>
      <w:r>
        <w:t xml:space="preserve">Стандартное отклонение: 1.056 мс</w:t>
      </w:r>
    </w:p>
    <w:bookmarkEnd w:id="42"/>
    <w:bookmarkStart w:id="101" w:name="интерактивные-эксперимент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Интерактивные эксперименты</w:t>
      </w:r>
    </w:p>
    <w:bookmarkStart w:id="59" w:name="Xa05deb6c59ca3b8e1111124cc50409c62744b4c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Добавление/изменение задержки в эмулируемой глобальной сети</w:t>
      </w:r>
    </w:p>
    <w:p>
      <w:pPr>
        <w:pStyle w:val="FirstParagraph"/>
      </w:pPr>
      <w:r>
        <w:t xml:space="preserve">Сетевые эмуляторы задают задержки на интерфейсе. Например, задерж-</w:t>
      </w:r>
      <w:r>
        <w:t xml:space="preserve"> </w:t>
      </w:r>
      <w:r>
        <w:t xml:space="preserve">ка, вносимая в интерфейс коммутатора A, который подключён к интерфейсу</w:t>
      </w:r>
      <w:r>
        <w:t xml:space="preserve"> </w:t>
      </w:r>
      <w:r>
        <w:t xml:space="preserve">коммутатора B, может представлять собой задержку распространения WAN,</w:t>
      </w:r>
      <w:r>
        <w:t xml:space="preserve"> </w:t>
      </w:r>
      <w:r>
        <w:t xml:space="preserve">соединяющей оба коммутатора.</w:t>
      </w:r>
    </w:p>
    <w:p>
      <w:pPr>
        <w:pStyle w:val="Compact"/>
        <w:numPr>
          <w:ilvl w:val="0"/>
          <w:numId w:val="1009"/>
        </w:numPr>
      </w:pPr>
      <w:r>
        <w:t xml:space="preserve">На хосте h1 добавим задержку в 100 мс к выходному интерфейсу (рис. 6):</w:t>
      </w:r>
    </w:p>
    <w:bookmarkStart w:id="46" w:name="fig:006"/>
    <w:p>
      <w:pPr>
        <w:pStyle w:val="CaptionedFigure"/>
      </w:pPr>
      <w:r>
        <w:drawing>
          <wp:inline>
            <wp:extent cx="3733800" cy="2307404"/>
            <wp:effectExtent b="0" l="0" r="0" t="0"/>
            <wp:docPr descr="Рис. 6: Добавление задержки в 100 мс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7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задержки в 100 мс</w:t>
      </w:r>
    </w:p>
    <w:bookmarkEnd w:id="46"/>
    <w:p>
      <w:pPr>
        <w:pStyle w:val="BodyText"/>
      </w:pPr>
      <w:r>
        <w:t xml:space="preserve">Здесь:</w:t>
      </w:r>
    </w:p>
    <w:p>
      <w:pPr>
        <w:numPr>
          <w:ilvl w:val="0"/>
          <w:numId w:val="1010"/>
        </w:numPr>
      </w:pPr>
      <w:r>
        <w:t xml:space="preserve">sudo: выполнить команду с более высокими привилегиями;</w:t>
      </w:r>
    </w:p>
    <w:p>
      <w:pPr>
        <w:numPr>
          <w:ilvl w:val="0"/>
          <w:numId w:val="1010"/>
        </w:numPr>
      </w:pPr>
      <w:r>
        <w:t xml:space="preserve">tc: вызвать управление трафиком Linux;</w:t>
      </w:r>
    </w:p>
    <w:p>
      <w:pPr>
        <w:numPr>
          <w:ilvl w:val="0"/>
          <w:numId w:val="1010"/>
        </w:numPr>
      </w:pPr>
      <w:r>
        <w:t xml:space="preserve">qdisc: изменить дисциплину очередей сетевого планировщика;</w:t>
      </w:r>
    </w:p>
    <w:p>
      <w:pPr>
        <w:numPr>
          <w:ilvl w:val="0"/>
          <w:numId w:val="1010"/>
        </w:numPr>
      </w:pPr>
      <w:r>
        <w:t xml:space="preserve">add: создать новое правило;</w:t>
      </w:r>
    </w:p>
    <w:p>
      <w:pPr>
        <w:numPr>
          <w:ilvl w:val="0"/>
          <w:numId w:val="1010"/>
        </w:numPr>
      </w:pPr>
      <w:r>
        <w:t xml:space="preserve">dev h1-eth0: указать интерфейс, на котором будет применяться правило;</w:t>
      </w:r>
    </w:p>
    <w:p>
      <w:pPr>
        <w:numPr>
          <w:ilvl w:val="0"/>
          <w:numId w:val="1010"/>
        </w:numPr>
      </w:pPr>
      <w:r>
        <w:t xml:space="preserve">netem: использовать эмулятор сети;</w:t>
      </w:r>
    </w:p>
    <w:p>
      <w:pPr>
        <w:numPr>
          <w:ilvl w:val="0"/>
          <w:numId w:val="1010"/>
        </w:numPr>
      </w:pPr>
      <w:r>
        <w:t xml:space="preserve">delay 100ms: задержка ввода 100 мс.</w:t>
      </w:r>
    </w:p>
    <w:p>
      <w:pPr>
        <w:pStyle w:val="FirstParagraph"/>
      </w:pPr>
      <w:r>
        <w:t xml:space="preserve">2.Проверим, что соединение от хоста h1 к хосту h2 имеет задержку 100 мс,</w:t>
      </w:r>
      <w:r>
        <w:t xml:space="preserve"> </w:t>
      </w:r>
      <w:r>
        <w:t xml:space="preserve">используя команду ping с параметром -c 6 с хоста h1 (рис. 7):</w:t>
      </w:r>
    </w:p>
    <w:bookmarkStart w:id="50" w:name="fig:007"/>
    <w:p>
      <w:pPr>
        <w:pStyle w:val="CaptionedFigure"/>
      </w:pPr>
      <w:r>
        <w:drawing>
          <wp:inline>
            <wp:extent cx="3733800" cy="1473576"/>
            <wp:effectExtent b="0" l="0" r="0" t="0"/>
            <wp:docPr descr="Рис. 7: Проверка задержки в 100 мс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3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задержки в 100 мс</w:t>
      </w:r>
    </w:p>
    <w:bookmarkEnd w:id="50"/>
    <w:p>
      <w:pPr>
        <w:numPr>
          <w:ilvl w:val="0"/>
          <w:numId w:val="1011"/>
        </w:numPr>
      </w:pPr>
      <w:r>
        <w:t xml:space="preserve">Минимальное RTT: 100.557 мс</w:t>
      </w:r>
    </w:p>
    <w:p>
      <w:pPr>
        <w:numPr>
          <w:ilvl w:val="0"/>
          <w:numId w:val="1011"/>
        </w:numPr>
      </w:pPr>
      <w:r>
        <w:t xml:space="preserve">Среднее RTT: 101.095 мс</w:t>
      </w:r>
    </w:p>
    <w:p>
      <w:pPr>
        <w:numPr>
          <w:ilvl w:val="0"/>
          <w:numId w:val="1011"/>
        </w:numPr>
      </w:pPr>
      <w:r>
        <w:t xml:space="preserve">Максимальное RTT: 102.207 мс</w:t>
      </w:r>
    </w:p>
    <w:p>
      <w:pPr>
        <w:numPr>
          <w:ilvl w:val="0"/>
          <w:numId w:val="1011"/>
        </w:numPr>
      </w:pPr>
      <w:r>
        <w:t xml:space="preserve">Стандартное отклонение: 0.530 мс</w:t>
      </w:r>
    </w:p>
    <w:p>
      <w:pPr>
        <w:pStyle w:val="Compact"/>
        <w:numPr>
          <w:ilvl w:val="0"/>
          <w:numId w:val="1012"/>
        </w:numPr>
      </w:pPr>
      <w:r>
        <w:t xml:space="preserve">Для эмуляции глобальной сети с двунаправленной задержкой необходимо</w:t>
      </w:r>
      <w:r>
        <w:t xml:space="preserve"> </w:t>
      </w:r>
      <w:r>
        <w:t xml:space="preserve">к соответствующему интерфейсу на хосте h2 также добавить задержку в 100</w:t>
      </w:r>
      <w:r>
        <w:t xml:space="preserve"> </w:t>
      </w:r>
      <w:r>
        <w:t xml:space="preserve">миллисекунд (рис. 8):</w:t>
      </w:r>
    </w:p>
    <w:bookmarkStart w:id="54" w:name="fig:008"/>
    <w:p>
      <w:pPr>
        <w:pStyle w:val="CaptionedFigure"/>
      </w:pPr>
      <w:r>
        <w:drawing>
          <wp:inline>
            <wp:extent cx="3733800" cy="2224684"/>
            <wp:effectExtent b="0" l="0" r="0" t="0"/>
            <wp:docPr descr="Рис. 8: Добавление задержки в 100 мс на втором хосте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задержки в 100 мс на втором хосте</w:t>
      </w:r>
    </w:p>
    <w:bookmarkEnd w:id="54"/>
    <w:p>
      <w:pPr>
        <w:pStyle w:val="Compact"/>
        <w:numPr>
          <w:ilvl w:val="0"/>
          <w:numId w:val="1013"/>
        </w:numPr>
      </w:pPr>
      <w:r>
        <w:t xml:space="preserve">Проверим, что соединение между хостом h1 и хостом h2 имеет RTT в 200 мс</w:t>
      </w:r>
      <w:r>
        <w:t xml:space="preserve"> </w:t>
      </w:r>
      <w:r>
        <w:t xml:space="preserve">(100 мс от хоста h1 к хосту h2 и 100 мс от хоста h2 к хосту h1), повторив</w:t>
      </w:r>
      <w:r>
        <w:t xml:space="preserve"> </w:t>
      </w:r>
      <w:r>
        <w:t xml:space="preserve">команду ping с параметром -c 6 на терминале хоста h1 (рис. 9):</w:t>
      </w:r>
    </w:p>
    <w:bookmarkStart w:id="58" w:name="fig:009"/>
    <w:p>
      <w:pPr>
        <w:pStyle w:val="CaptionedFigure"/>
      </w:pPr>
      <w:r>
        <w:drawing>
          <wp:inline>
            <wp:extent cx="3733800" cy="1474792"/>
            <wp:effectExtent b="0" l="0" r="0" t="0"/>
            <wp:docPr descr="Рис. 9: Проверка, что соединение имеет RTT в 200мс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Проверка, что соединение имеет RTT в 200мс</w:t>
      </w:r>
    </w:p>
    <w:bookmarkEnd w:id="58"/>
    <w:p>
      <w:pPr>
        <w:numPr>
          <w:ilvl w:val="0"/>
          <w:numId w:val="1014"/>
        </w:numPr>
      </w:pPr>
      <w:r>
        <w:t xml:space="preserve">Минимальное RTT: 100.557 мс</w:t>
      </w:r>
    </w:p>
    <w:p>
      <w:pPr>
        <w:numPr>
          <w:ilvl w:val="0"/>
          <w:numId w:val="1014"/>
        </w:numPr>
      </w:pPr>
      <w:r>
        <w:t xml:space="preserve">Среднее RTT: 101.095 мс</w:t>
      </w:r>
    </w:p>
    <w:p>
      <w:pPr>
        <w:numPr>
          <w:ilvl w:val="0"/>
          <w:numId w:val="1014"/>
        </w:numPr>
      </w:pPr>
      <w:r>
        <w:t xml:space="preserve">Максимальное RTT: 102.207 мс</w:t>
      </w:r>
    </w:p>
    <w:p>
      <w:pPr>
        <w:numPr>
          <w:ilvl w:val="0"/>
          <w:numId w:val="1014"/>
        </w:numPr>
      </w:pPr>
      <w:r>
        <w:t xml:space="preserve">Стандартное отклонение: 0.530 мс</w:t>
      </w:r>
    </w:p>
    <w:bookmarkEnd w:id="59"/>
    <w:bookmarkStart w:id="68" w:name="X0311b37f5b4acc5e4ce3a1e76004fe686562490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Изменение задержки в эмулируемой глобальной сети</w:t>
      </w:r>
    </w:p>
    <w:p>
      <w:pPr>
        <w:pStyle w:val="Compact"/>
        <w:numPr>
          <w:ilvl w:val="0"/>
          <w:numId w:val="1015"/>
        </w:numPr>
      </w:pPr>
      <w:r>
        <w:t xml:space="preserve">Изменим задержку со 100 мс до 50 мс для отправителя h1 и для получателя h2 (рис. 10):</w:t>
      </w:r>
    </w:p>
    <w:bookmarkStart w:id="63" w:name="fig:010"/>
    <w:p>
      <w:pPr>
        <w:pStyle w:val="CaptionedFigure"/>
      </w:pPr>
      <w:r>
        <w:drawing>
          <wp:inline>
            <wp:extent cx="3733800" cy="172647"/>
            <wp:effectExtent b="0" l="0" r="0" t="0"/>
            <wp:docPr descr="Рис. 10: Изменение задержки до 50 мс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Изменение задержки до 50 мс</w:t>
      </w:r>
    </w:p>
    <w:bookmarkEnd w:id="63"/>
    <w:p>
      <w:pPr>
        <w:pStyle w:val="Compact"/>
        <w:numPr>
          <w:ilvl w:val="0"/>
          <w:numId w:val="1016"/>
        </w:numPr>
      </w:pPr>
      <w:r>
        <w:t xml:space="preserve">Проверим, что соединение от хоста h1 к хосту h2 имеет задержку 100 мс,</w:t>
      </w:r>
      <w:r>
        <w:t xml:space="preserve"> </w:t>
      </w:r>
      <w:r>
        <w:t xml:space="preserve">используя команду ping с параметром -c 6 с терминала хоста h1 (рис. 11):</w:t>
      </w:r>
    </w:p>
    <w:bookmarkStart w:id="67" w:name="fig:011"/>
    <w:p>
      <w:pPr>
        <w:pStyle w:val="CaptionedFigure"/>
      </w:pPr>
      <w:r>
        <w:drawing>
          <wp:inline>
            <wp:extent cx="3733800" cy="1492358"/>
            <wp:effectExtent b="0" l="0" r="0" t="0"/>
            <wp:docPr descr="Рис. 11: Проверка, что задержка 100 мс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2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Проверка, что задержка 100 мс</w:t>
      </w:r>
    </w:p>
    <w:bookmarkEnd w:id="67"/>
    <w:p>
      <w:pPr>
        <w:numPr>
          <w:ilvl w:val="0"/>
          <w:numId w:val="1017"/>
        </w:numPr>
      </w:pPr>
      <w:r>
        <w:t xml:space="preserve">Минимальное RTT: 101.030 мс</w:t>
      </w:r>
    </w:p>
    <w:p>
      <w:pPr>
        <w:numPr>
          <w:ilvl w:val="0"/>
          <w:numId w:val="1017"/>
        </w:numPr>
      </w:pPr>
      <w:r>
        <w:t xml:space="preserve">Среднее RTT: 101.298 мс</w:t>
      </w:r>
    </w:p>
    <w:p>
      <w:pPr>
        <w:numPr>
          <w:ilvl w:val="0"/>
          <w:numId w:val="1017"/>
        </w:numPr>
      </w:pPr>
      <w:r>
        <w:t xml:space="preserve">Максимальное RTT: 101.900 мс</w:t>
      </w:r>
    </w:p>
    <w:p>
      <w:pPr>
        <w:numPr>
          <w:ilvl w:val="0"/>
          <w:numId w:val="1017"/>
        </w:numPr>
      </w:pPr>
      <w:r>
        <w:t xml:space="preserve">Стандартное отклонение: 0.297 мс</w:t>
      </w:r>
    </w:p>
    <w:bookmarkEnd w:id="68"/>
    <w:bookmarkStart w:id="77" w:name="X4b1971bd7d6868101a21bf87913c822919662d8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Восстановление исходных значений (удаление правил) задержки в эмулируемой глобальной сети</w:t>
      </w:r>
    </w:p>
    <w:p>
      <w:pPr>
        <w:pStyle w:val="Compact"/>
        <w:numPr>
          <w:ilvl w:val="0"/>
          <w:numId w:val="1018"/>
        </w:numPr>
      </w:pPr>
      <w:r>
        <w:t xml:space="preserve">Восстановим конфигурацию по умолчанию, удалив все правила, применённые к сетевому планировщику соответствующего интерфейса (рис. 12):</w:t>
      </w:r>
    </w:p>
    <w:bookmarkStart w:id="72" w:name="fig:012"/>
    <w:p>
      <w:pPr>
        <w:pStyle w:val="CaptionedFigure"/>
      </w:pPr>
      <w:r>
        <w:drawing>
          <wp:inline>
            <wp:extent cx="3733800" cy="111312"/>
            <wp:effectExtent b="0" l="0" r="0" t="0"/>
            <wp:docPr descr="Рис. 12: Восстановление конфигураций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Восстановление конфигураций</w:t>
      </w:r>
    </w:p>
    <w:bookmarkEnd w:id="72"/>
    <w:p>
      <w:pPr>
        <w:pStyle w:val="Compact"/>
        <w:numPr>
          <w:ilvl w:val="0"/>
          <w:numId w:val="1019"/>
        </w:numPr>
      </w:pPr>
      <w:r>
        <w:t xml:space="preserve">Проверим, что соединение между хостом h1 и хостом h2 не имеет явно</w:t>
      </w:r>
      <w:r>
        <w:t xml:space="preserve"> </w:t>
      </w:r>
      <w:r>
        <w:t xml:space="preserve">установленной задержки, используя команду ping с параметром -c 6 с терминала хоста h1 (рис. 13):</w:t>
      </w:r>
    </w:p>
    <w:bookmarkStart w:id="76" w:name="fig:013"/>
    <w:p>
      <w:pPr>
        <w:pStyle w:val="CaptionedFigure"/>
      </w:pPr>
      <w:r>
        <w:drawing>
          <wp:inline>
            <wp:extent cx="3733800" cy="1498094"/>
            <wp:effectExtent b="0" l="0" r="0" t="0"/>
            <wp:docPr descr="Рис. 13: Проверка, что соединение не имеет явной задержки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Проверка, что соединение не имеет явной задержки</w:t>
      </w:r>
    </w:p>
    <w:bookmarkEnd w:id="76"/>
    <w:p>
      <w:pPr>
        <w:numPr>
          <w:ilvl w:val="0"/>
          <w:numId w:val="1020"/>
        </w:numPr>
      </w:pPr>
      <w:r>
        <w:t xml:space="preserve">Минимальное RTT: 0.056 мс</w:t>
      </w:r>
    </w:p>
    <w:p>
      <w:pPr>
        <w:numPr>
          <w:ilvl w:val="0"/>
          <w:numId w:val="1020"/>
        </w:numPr>
      </w:pPr>
      <w:r>
        <w:t xml:space="preserve">Среднее RTT: 0.598 мс</w:t>
      </w:r>
    </w:p>
    <w:p>
      <w:pPr>
        <w:numPr>
          <w:ilvl w:val="0"/>
          <w:numId w:val="1020"/>
        </w:numPr>
      </w:pPr>
      <w:r>
        <w:t xml:space="preserve">Максимальное RTT: 2.725 мс</w:t>
      </w:r>
    </w:p>
    <w:p>
      <w:pPr>
        <w:numPr>
          <w:ilvl w:val="0"/>
          <w:numId w:val="1020"/>
        </w:numPr>
      </w:pPr>
      <w:r>
        <w:t xml:space="preserve">Стандартное отклонение: 0.962 мс</w:t>
      </w:r>
    </w:p>
    <w:bookmarkEnd w:id="77"/>
    <w:bookmarkStart w:id="86" w:name="Xdebb674f7e30cbeab70759e0c17a17f7ec27932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Добавление значения дрожания задержки в интерфейс подключения к эмулируемой глобальной сети</w:t>
      </w:r>
    </w:p>
    <w:p>
      <w:pPr>
        <w:pStyle w:val="FirstParagraph"/>
      </w:pPr>
      <w:r>
        <w:t xml:space="preserve">В сетях нет постоянной задержки. Она может варьироваться в зависимости</w:t>
      </w:r>
      <w:r>
        <w:t xml:space="preserve"> </w:t>
      </w:r>
      <w:r>
        <w:t xml:space="preserve">от других потоков трафика, конкурирующих за тот же путь. Джиттер (jitter) —</w:t>
      </w:r>
      <w:r>
        <w:t xml:space="preserve"> </w:t>
      </w:r>
      <w:r>
        <w:t xml:space="preserve">это изменение времени задержки.</w:t>
      </w:r>
    </w:p>
    <w:p>
      <w:pPr>
        <w:numPr>
          <w:ilvl w:val="0"/>
          <w:numId w:val="1021"/>
        </w:numPr>
      </w:pPr>
      <w:r>
        <w:t xml:space="preserve">При необходимости восстановим конфигурацию интерфейсов по умолчанию</w:t>
      </w:r>
      <w:r>
        <w:t xml:space="preserve"> </w:t>
      </w:r>
      <w:r>
        <w:t xml:space="preserve">на узлах h1 и h2:</w:t>
      </w:r>
    </w:p>
    <w:p>
      <w:pPr>
        <w:numPr>
          <w:ilvl w:val="0"/>
          <w:numId w:val="1021"/>
        </w:numPr>
      </w:pPr>
      <w:r>
        <w:t xml:space="preserve">Добавим на узле h1 задержку в 100 мс со случайным отклонением 10 мс :</w:t>
      </w:r>
      <w:r>
        <w:t xml:space="preserve"> </w:t>
      </w:r>
      <w:r>
        <w:rPr>
          <w:rStyle w:val="VerbatimChar"/>
        </w:rPr>
        <w:t xml:space="preserve">sudo tc qdisc add dev h1-eth0 root netem delay 100ms 10ms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Проверим, что соединение от хоста h1 к хосту h2 имеет задержку 100 мс со</w:t>
      </w:r>
      <w:r>
        <w:t xml:space="preserve"> </w:t>
      </w:r>
      <w:r>
        <w:t xml:space="preserve">случайным отклонением ±10 мс, используя в терминале хоста h1 команду</w:t>
      </w:r>
      <w:r>
        <w:t xml:space="preserve"> </w:t>
      </w:r>
      <w:r>
        <w:t xml:space="preserve">ping с параметром -c 6 (рис. 14):</w:t>
      </w:r>
    </w:p>
    <w:bookmarkStart w:id="81" w:name="fig:014"/>
    <w:p>
      <w:pPr>
        <w:pStyle w:val="CaptionedFigure"/>
      </w:pPr>
      <w:r>
        <w:drawing>
          <wp:inline>
            <wp:extent cx="3733800" cy="1306556"/>
            <wp:effectExtent b="0" l="0" r="0" t="0"/>
            <wp:docPr descr="Рис. 14: Проверка, что имеется задержка 100 мс со случайным отклонением ±10 мс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6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Проверка, что имеется задержка 100 мс со случайным отклонением ±10 мс</w:t>
      </w:r>
    </w:p>
    <w:bookmarkEnd w:id="81"/>
    <w:p>
      <w:pPr>
        <w:numPr>
          <w:ilvl w:val="0"/>
          <w:numId w:val="1022"/>
        </w:numPr>
      </w:pPr>
      <w:r>
        <w:t xml:space="preserve">Минимальное RTT: 101.753 мс</w:t>
      </w:r>
    </w:p>
    <w:p>
      <w:pPr>
        <w:numPr>
          <w:ilvl w:val="0"/>
          <w:numId w:val="1022"/>
        </w:numPr>
      </w:pPr>
      <w:r>
        <w:t xml:space="preserve">Среднее RTT: 105.843 мс</w:t>
      </w:r>
    </w:p>
    <w:p>
      <w:pPr>
        <w:numPr>
          <w:ilvl w:val="0"/>
          <w:numId w:val="1022"/>
        </w:numPr>
      </w:pPr>
      <w:r>
        <w:t xml:space="preserve">Максимальное RTT: 110.242 мс</w:t>
      </w:r>
    </w:p>
    <w:p>
      <w:pPr>
        <w:numPr>
          <w:ilvl w:val="0"/>
          <w:numId w:val="1022"/>
        </w:numPr>
      </w:pPr>
      <w:r>
        <w:t xml:space="preserve">Стандартное отклонение: 3.194 мс</w:t>
      </w:r>
    </w:p>
    <w:p>
      <w:pPr>
        <w:pStyle w:val="Compact"/>
        <w:numPr>
          <w:ilvl w:val="0"/>
          <w:numId w:val="1023"/>
        </w:numPr>
      </w:pPr>
      <w:r>
        <w:t xml:space="preserve">Восстановим конфигурацию интерфейса по умолчанию на узле h1 (рис. 15):</w:t>
      </w:r>
    </w:p>
    <w:bookmarkStart w:id="85" w:name="fig:015"/>
    <w:p>
      <w:pPr>
        <w:pStyle w:val="CaptionedFigure"/>
      </w:pPr>
      <w:r>
        <w:drawing>
          <wp:inline>
            <wp:extent cx="3733800" cy="261070"/>
            <wp:effectExtent b="0" l="0" r="0" t="0"/>
            <wp:docPr descr="Рис. 15: Восстановление конфигурации на h1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Восстановление конфигурации на h1</w:t>
      </w:r>
    </w:p>
    <w:bookmarkEnd w:id="85"/>
    <w:bookmarkEnd w:id="86"/>
    <w:bookmarkStart w:id="91" w:name="X66402653c11d4877af3cded03298d8f6d7e8c0f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t xml:space="preserve">Добавление значения корреляции для джиттера и задержки в интерфейс подключения к эмулируемой глобальной сети</w:t>
      </w:r>
    </w:p>
    <w:p>
      <w:pPr>
        <w:numPr>
          <w:ilvl w:val="0"/>
          <w:numId w:val="1024"/>
        </w:numPr>
      </w:pPr>
      <w:r>
        <w:t xml:space="preserve">При необходимости восстановим конфигурацию интерфейсов по умолчанию</w:t>
      </w:r>
      <w:r>
        <w:t xml:space="preserve"> </w:t>
      </w:r>
      <w:r>
        <w:t xml:space="preserve">на узлах h1 и h2.</w:t>
      </w:r>
    </w:p>
    <w:p>
      <w:pPr>
        <w:numPr>
          <w:ilvl w:val="0"/>
          <w:numId w:val="1024"/>
        </w:numPr>
      </w:pPr>
      <w:r>
        <w:t xml:space="preserve">Добавим на интерфейсе хоста h1 задержку в 100 мс с вариацией ±10 мс</w:t>
      </w:r>
      <w:r>
        <w:t xml:space="preserve"> </w:t>
      </w:r>
      <w:r>
        <w:t xml:space="preserve">и значением корреляции в 25%. Убедимся, что все пакеты, покидающие устройство h1 на интерфейсе h1-eth0, будут иметь время задержки 100 мс со случайным отклонением ±10 мс, при этом время передачи следующего пакета зависит от предыдущего значения на 25% (рис. 16):</w:t>
      </w:r>
    </w:p>
    <w:bookmarkStart w:id="90" w:name="fig:016"/>
    <w:p>
      <w:pPr>
        <w:pStyle w:val="CaptionedFigure"/>
      </w:pPr>
      <w:r>
        <w:drawing>
          <wp:inline>
            <wp:extent cx="3733800" cy="2631169"/>
            <wp:effectExtent b="0" l="0" r="0" t="0"/>
            <wp:docPr descr="Рис. 16: Проверка, что есть задержка в 100 мс с вариацией ±10 мс и значением корреляции в 25%" title="" id="88" name="Picture"/>
            <a:graphic>
              <a:graphicData uri="http://schemas.openxmlformats.org/drawingml/2006/picture">
                <pic:pic>
                  <pic:nvPicPr>
                    <pic:cNvPr descr="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Проверка, что есть задержка в 100 мс с вариацией ±10 мс и значением корреляции в 25%</w:t>
      </w:r>
    </w:p>
    <w:bookmarkEnd w:id="90"/>
    <w:p>
      <w:pPr>
        <w:numPr>
          <w:ilvl w:val="0"/>
          <w:numId w:val="1025"/>
        </w:numPr>
      </w:pPr>
      <w:r>
        <w:t xml:space="preserve">Минимальное RTT: 90.741 мс</w:t>
      </w:r>
    </w:p>
    <w:p>
      <w:pPr>
        <w:numPr>
          <w:ilvl w:val="0"/>
          <w:numId w:val="1025"/>
        </w:numPr>
      </w:pPr>
      <w:r>
        <w:t xml:space="preserve">Среднее RTT: 99.104 мс</w:t>
      </w:r>
    </w:p>
    <w:p>
      <w:pPr>
        <w:numPr>
          <w:ilvl w:val="0"/>
          <w:numId w:val="1025"/>
        </w:numPr>
      </w:pPr>
      <w:r>
        <w:t xml:space="preserve">Максимальное RTT: 107.297 мс</w:t>
      </w:r>
    </w:p>
    <w:p>
      <w:pPr>
        <w:numPr>
          <w:ilvl w:val="0"/>
          <w:numId w:val="1025"/>
        </w:numPr>
      </w:pPr>
      <w:r>
        <w:t xml:space="preserve">Стандартное отклонение: 5.490 мс</w:t>
      </w:r>
    </w:p>
    <w:p>
      <w:pPr>
        <w:pStyle w:val="Compact"/>
        <w:numPr>
          <w:ilvl w:val="0"/>
          <w:numId w:val="1026"/>
        </w:numPr>
      </w:pPr>
      <w:r>
        <w:t xml:space="preserve">Восстановим конфигурацию интерфейса по умолчанию на узле h1.</w:t>
      </w:r>
    </w:p>
    <w:bookmarkEnd w:id="91"/>
    <w:bookmarkStart w:id="100" w:name="X6f889865dd8d9d6669be724e62203d63f86222e"/>
    <w:p>
      <w:pPr>
        <w:pStyle w:val="Heading3"/>
      </w:pPr>
      <w:r>
        <w:rPr>
          <w:rStyle w:val="SectionNumber"/>
        </w:rPr>
        <w:t xml:space="preserve">3.2.6</w:t>
      </w:r>
      <w:r>
        <w:tab/>
      </w:r>
      <w:r>
        <w:t xml:space="preserve">Распределение задержки в интерфейсе подключения к эмулируемой глобальной сети</w:t>
      </w:r>
    </w:p>
    <w:p>
      <w:pPr>
        <w:pStyle w:val="FirstParagraph"/>
      </w:pPr>
      <w:r>
        <w:t xml:space="preserve">NETEM позволяет пользователю указать распределение, которое описывает,</w:t>
      </w:r>
      <w:r>
        <w:t xml:space="preserve"> </w:t>
      </w:r>
      <w:r>
        <w:t xml:space="preserve">как задержки изменяются в сети. В реальных сетях передачи данных задержки</w:t>
      </w:r>
      <w:r>
        <w:t xml:space="preserve"> </w:t>
      </w:r>
      <w:r>
        <w:t xml:space="preserve">неравномерны, поэтому при моделировании может быть удобно использовать</w:t>
      </w:r>
      <w:r>
        <w:t xml:space="preserve"> </w:t>
      </w:r>
      <w:r>
        <w:t xml:space="preserve">некоторое случайное распределение, например, нормальное, парето или парето-</w:t>
      </w:r>
      <w:r>
        <w:t xml:space="preserve"> </w:t>
      </w:r>
      <w:r>
        <w:t xml:space="preserve">нормальное.</w:t>
      </w:r>
    </w:p>
    <w:p>
      <w:pPr>
        <w:pStyle w:val="Compact"/>
        <w:numPr>
          <w:ilvl w:val="0"/>
          <w:numId w:val="1027"/>
        </w:numPr>
      </w:pPr>
      <w:r>
        <w:t xml:space="preserve">При необходимости восстановим конфигурацию интерфейсов по умолчанию</w:t>
      </w:r>
      <w:r>
        <w:t xml:space="preserve"> </w:t>
      </w:r>
      <w:r>
        <w:t xml:space="preserve">на узлах h1 и h2. Убедимся, что все пакеты, покидающие хост h1 на интерфейсе h1-eth0, будут иметь время задержки, которое распределено в диапазоне 100 мс ±20 мс. Используем для этого команду ping на терминале хоста h1 с параметром</w:t>
      </w:r>
      <w:r>
        <w:t xml:space="preserve"> </w:t>
      </w:r>
      <w:r>
        <w:t xml:space="preserve">-c 10 (рис. 17):</w:t>
      </w:r>
    </w:p>
    <w:bookmarkStart w:id="95" w:name="fig:017"/>
    <w:p>
      <w:pPr>
        <w:pStyle w:val="CaptionedFigure"/>
      </w:pPr>
      <w:r>
        <w:drawing>
          <wp:inline>
            <wp:extent cx="3733800" cy="1670875"/>
            <wp:effectExtent b="0" l="0" r="0" t="0"/>
            <wp:docPr descr="Рис. 17: Проверка, что есть задержка, которая распределена в диапазоне 100 мс ±20 мс" title="" id="93" name="Picture"/>
            <a:graphic>
              <a:graphicData uri="http://schemas.openxmlformats.org/drawingml/2006/picture">
                <pic:pic>
                  <pic:nvPicPr>
                    <pic:cNvPr descr="image/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Проверка, что есть задержка, которая распределена в диапазоне 100 мс ±20 мс</w:t>
      </w:r>
    </w:p>
    <w:bookmarkEnd w:id="95"/>
    <w:p>
      <w:pPr>
        <w:numPr>
          <w:ilvl w:val="0"/>
          <w:numId w:val="1028"/>
        </w:numPr>
      </w:pPr>
      <w:r>
        <w:t xml:space="preserve">Восстановим конфигурацию интерфейса по умолчанию на узле h1.</w:t>
      </w:r>
    </w:p>
    <w:p>
      <w:pPr>
        <w:numPr>
          <w:ilvl w:val="0"/>
          <w:numId w:val="1028"/>
        </w:numPr>
      </w:pPr>
      <w:r>
        <w:t xml:space="preserve">Завершим работу mininet в интерактивном режиме, введя в интерфейсе</w:t>
      </w:r>
      <w:r>
        <w:t xml:space="preserve"> </w:t>
      </w:r>
      <w:r>
        <w:t xml:space="preserve">mininet (рис. 18):</w:t>
      </w:r>
    </w:p>
    <w:bookmarkStart w:id="99" w:name="fig:018"/>
    <w:p>
      <w:pPr>
        <w:pStyle w:val="CaptionedFigure"/>
      </w:pPr>
      <w:r>
        <w:drawing>
          <wp:inline>
            <wp:extent cx="3638349" cy="2098307"/>
            <wp:effectExtent b="0" l="0" r="0" t="0"/>
            <wp:docPr descr="Рис. 18: Завершение работы mininet" title="" id="97" name="Picture"/>
            <a:graphic>
              <a:graphicData uri="http://schemas.openxmlformats.org/drawingml/2006/picture">
                <pic:pic>
                  <pic:nvPicPr>
                    <pic:cNvPr descr="image/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349" cy="2098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Завершение работы mininet</w:t>
      </w:r>
    </w:p>
    <w:bookmarkEnd w:id="99"/>
    <w:bookmarkEnd w:id="100"/>
    <w:bookmarkEnd w:id="101"/>
    <w:bookmarkStart w:id="173" w:name="воспроизведение-эксперименто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Воспроизведение экспериментов</w:t>
      </w:r>
    </w:p>
    <w:bookmarkStart w:id="114" w:name="предварительная-подготовка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Предварительная подготовка</w:t>
      </w:r>
    </w:p>
    <w:p>
      <w:pPr>
        <w:pStyle w:val="Compact"/>
        <w:numPr>
          <w:ilvl w:val="0"/>
          <w:numId w:val="1029"/>
        </w:numPr>
      </w:pPr>
      <w:r>
        <w:t xml:space="preserve">Обновим репозитории программного обеспечения на виртуальной машинеВ (рис. 19):</w:t>
      </w:r>
    </w:p>
    <w:bookmarkStart w:id="105" w:name="fig:019"/>
    <w:p>
      <w:pPr>
        <w:pStyle w:val="CaptionedFigure"/>
      </w:pPr>
      <w:r>
        <w:drawing>
          <wp:inline>
            <wp:extent cx="3733800" cy="764033"/>
            <wp:effectExtent b="0" l="0" r="0" t="0"/>
            <wp:docPr descr="Рис. 19: Обновление ПО" title="" id="103" name="Picture"/>
            <a:graphic>
              <a:graphicData uri="http://schemas.openxmlformats.org/drawingml/2006/picture">
                <pic:pic>
                  <pic:nvPicPr>
                    <pic:cNvPr descr="image/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Обновление ПО</w:t>
      </w:r>
    </w:p>
    <w:bookmarkEnd w:id="105"/>
    <w:p>
      <w:pPr>
        <w:pStyle w:val="BodyText"/>
      </w:pPr>
      <w:r>
        <w:t xml:space="preserve">2.Установим пакет geeqie — понадобится для просмотра файлов png (рис. 20):</w:t>
      </w:r>
    </w:p>
    <w:bookmarkStart w:id="109" w:name="fig:020"/>
    <w:p>
      <w:pPr>
        <w:pStyle w:val="CaptionedFigure"/>
      </w:pPr>
      <w:r>
        <w:drawing>
          <wp:inline>
            <wp:extent cx="3733800" cy="2292466"/>
            <wp:effectExtent b="0" l="0" r="0" t="0"/>
            <wp:docPr descr="Рис. 20: Установка пакета geeqie" title="" id="107" name="Picture"/>
            <a:graphic>
              <a:graphicData uri="http://schemas.openxmlformats.org/drawingml/2006/picture">
                <pic:pic>
                  <pic:nvPicPr>
                    <pic:cNvPr descr="image/2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Установка пакета geeqie</w:t>
      </w:r>
    </w:p>
    <w:bookmarkEnd w:id="109"/>
    <w:p>
      <w:pPr>
        <w:pStyle w:val="Compact"/>
        <w:numPr>
          <w:ilvl w:val="0"/>
          <w:numId w:val="1030"/>
        </w:numPr>
      </w:pPr>
      <w:r>
        <w:t xml:space="preserve">Для каждого воспроизводимого эксперимента expname создайте свой каталог, в котором будут размещаться файлы эксперимента (рис. 21):</w:t>
      </w:r>
    </w:p>
    <w:bookmarkStart w:id="113" w:name="fig:021"/>
    <w:p>
      <w:pPr>
        <w:pStyle w:val="CaptionedFigure"/>
      </w:pPr>
      <w:r>
        <w:drawing>
          <wp:inline>
            <wp:extent cx="3733800" cy="357016"/>
            <wp:effectExtent b="0" l="0" r="0" t="0"/>
            <wp:docPr descr="Рис. 21: Создание каталога expname" title="" id="111" name="Picture"/>
            <a:graphic>
              <a:graphicData uri="http://schemas.openxmlformats.org/drawingml/2006/picture">
                <pic:pic>
                  <pic:nvPicPr>
                    <pic:cNvPr descr="image/2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Создание каталога expname</w:t>
      </w:r>
    </w:p>
    <w:bookmarkEnd w:id="113"/>
    <w:p>
      <w:pPr>
        <w:pStyle w:val="BodyText"/>
      </w:pPr>
      <w:r>
        <w:t xml:space="preserve">Здесь expname может принимать значения simple-delay, change-delay,</w:t>
      </w:r>
      <w:r>
        <w:t xml:space="preserve"> </w:t>
      </w:r>
      <w:r>
        <w:t xml:space="preserve">jitter-delay, correlation-delay и т.п.</w:t>
      </w:r>
    </w:p>
    <w:p>
      <w:pPr>
        <w:pStyle w:val="BodyText"/>
      </w:pPr>
      <w:r>
        <w:t xml:space="preserve">Для каждого случая создадим скрипт для проведения эксперимента</w:t>
      </w:r>
      <w:r>
        <w:t xml:space="preserve"> </w:t>
      </w:r>
      <w:r>
        <w:t xml:space="preserve">lab_netem_i.py и скрипт для визуализации результатов ping_plot.</w:t>
      </w:r>
    </w:p>
    <w:bookmarkEnd w:id="114"/>
    <w:bookmarkStart w:id="159" w:name="X18f200114efb5711f3edb444686d879a103aae3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Добавление задержки для интерфейса, подключающегося к эмулируемой глобальной сети</w:t>
      </w:r>
    </w:p>
    <w:p>
      <w:pPr>
        <w:pStyle w:val="FirstParagraph"/>
      </w:pPr>
      <w:r>
        <w:t xml:space="preserve">С помощью API Mininet воспроизведите эксперимент по добавлению задержки для интерфейса хоста, подключающегося к эмулируемой глобальной сети.</w:t>
      </w:r>
    </w:p>
    <w:p>
      <w:pPr>
        <w:pStyle w:val="Compact"/>
        <w:numPr>
          <w:ilvl w:val="0"/>
          <w:numId w:val="1031"/>
        </w:numPr>
      </w:pPr>
      <w:r>
        <w:t xml:space="preserve">В виртуальной среде mininet в своём рабочем каталоге с проектами создадим</w:t>
      </w:r>
      <w:r>
        <w:t xml:space="preserve"> </w:t>
      </w:r>
      <w:r>
        <w:t xml:space="preserve">каталог simple-delay и перейдем в него (рис. 22):</w:t>
      </w:r>
    </w:p>
    <w:bookmarkStart w:id="118" w:name="fig:022"/>
    <w:p>
      <w:pPr>
        <w:pStyle w:val="CaptionedFigure"/>
      </w:pPr>
      <w:r>
        <w:drawing>
          <wp:inline>
            <wp:extent cx="3733800" cy="342658"/>
            <wp:effectExtent b="0" l="0" r="0" t="0"/>
            <wp:docPr descr="Рис. 22: Создание каталога simple-delay" title="" id="116" name="Picture"/>
            <a:graphic>
              <a:graphicData uri="http://schemas.openxmlformats.org/drawingml/2006/picture">
                <pic:pic>
                  <pic:nvPicPr>
                    <pic:cNvPr descr="image/2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каталога simple-delay</w:t>
      </w:r>
    </w:p>
    <w:bookmarkEnd w:id="118"/>
    <w:p>
      <w:pPr>
        <w:pStyle w:val="Compact"/>
        <w:numPr>
          <w:ilvl w:val="0"/>
          <w:numId w:val="1032"/>
        </w:numPr>
      </w:pPr>
      <w:r>
        <w:t xml:space="preserve">Создаем скрипт для эксперимента lab_netem_i.py (рис. 23):</w:t>
      </w:r>
    </w:p>
    <w:bookmarkStart w:id="122" w:name="fig:023"/>
    <w:p>
      <w:pPr>
        <w:pStyle w:val="CaptionedFigure"/>
      </w:pPr>
      <w:r>
        <w:drawing>
          <wp:inline>
            <wp:extent cx="3733800" cy="3976327"/>
            <wp:effectExtent b="0" l="0" r="0" t="0"/>
            <wp:docPr descr="Рис. 23: Создание скрипта lab_netem_i.py" title="" id="120" name="Picture"/>
            <a:graphic>
              <a:graphicData uri="http://schemas.openxmlformats.org/drawingml/2006/picture">
                <pic:pic>
                  <pic:nvPicPr>
                    <pic:cNvPr descr="image/2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6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скрипта lab_netem_i.py</w:t>
      </w:r>
    </w:p>
    <w:bookmarkEnd w:id="122"/>
    <w:p>
      <w:pPr>
        <w:pStyle w:val="BodyText"/>
      </w:pPr>
      <w:r>
        <w:t xml:space="preserve">Скрипт создает простую сетевую топологию в Mininet с двумя хостами и одним коммутатором, настраивает задержку и выполняет ping-тест для сбора данных.</w:t>
      </w:r>
      <w:r>
        <w:t xml:space="preserve"> </w:t>
      </w:r>
      <w:r>
        <w:t xml:space="preserve">Задержка задается в следующих строках:</w:t>
      </w:r>
    </w:p>
    <w:p>
      <w:pPr>
        <w:pStyle w:val="SourceCode"/>
      </w:pPr>
      <w:r>
        <w:rPr>
          <w:rStyle w:val="NormalTok"/>
        </w:rPr>
        <w:t xml:space="preserve">h1.cmdPrint(</w:t>
      </w:r>
      <w:r>
        <w:rPr>
          <w:rStyle w:val="StringTok"/>
        </w:rPr>
        <w:t xml:space="preserve">'tc qdisc add dev h1-eth0 root netem delay 100ms'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h2.cmdPrint(</w:t>
      </w:r>
      <w:r>
        <w:rPr>
          <w:rStyle w:val="StringTok"/>
        </w:rPr>
        <w:t xml:space="preserve">'tc qdisc add dev h2-eth0 root netem delay 100ms'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Создаём скрипт для визуализации ping_plot результатов эксперимента (рис. 24):</w:t>
      </w:r>
    </w:p>
    <w:bookmarkStart w:id="126" w:name="fig:024"/>
    <w:p>
      <w:pPr>
        <w:pStyle w:val="CaptionedFigure"/>
      </w:pPr>
      <w:r>
        <w:drawing>
          <wp:inline>
            <wp:extent cx="3733800" cy="1326767"/>
            <wp:effectExtent b="0" l="0" r="0" t="0"/>
            <wp:docPr descr="Рис. 24: Создание скрипта lab_netem_i.py" title="" id="124" name="Picture"/>
            <a:graphic>
              <a:graphicData uri="http://schemas.openxmlformats.org/drawingml/2006/picture">
                <pic:pic>
                  <pic:nvPicPr>
                    <pic:cNvPr descr="image/2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Создание скрипта lab_netem_i.py</w:t>
      </w:r>
    </w:p>
    <w:bookmarkEnd w:id="126"/>
    <w:p>
      <w:pPr>
        <w:pStyle w:val="Compact"/>
        <w:numPr>
          <w:ilvl w:val="0"/>
          <w:numId w:val="1034"/>
        </w:numPr>
      </w:pPr>
      <w:r>
        <w:t xml:space="preserve">Зададим права доступа к файлу скрипта (рис. 25):</w:t>
      </w:r>
    </w:p>
    <w:bookmarkStart w:id="130" w:name="fig:025"/>
    <w:p>
      <w:pPr>
        <w:pStyle w:val="CaptionedFigure"/>
      </w:pPr>
      <w:r>
        <w:drawing>
          <wp:inline>
            <wp:extent cx="3733800" cy="254132"/>
            <wp:effectExtent b="0" l="0" r="0" t="0"/>
            <wp:docPr descr="Рис. 25: Задание прав доступа" title="" id="128" name="Picture"/>
            <a:graphic>
              <a:graphicData uri="http://schemas.openxmlformats.org/drawingml/2006/picture">
                <pic:pic>
                  <pic:nvPicPr>
                    <pic:cNvPr descr="image/25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прав доступа</w:t>
      </w:r>
    </w:p>
    <w:bookmarkEnd w:id="130"/>
    <w:p>
      <w:pPr>
        <w:pStyle w:val="Compact"/>
        <w:numPr>
          <w:ilvl w:val="0"/>
          <w:numId w:val="1035"/>
        </w:numPr>
      </w:pPr>
      <w:r>
        <w:t xml:space="preserve">Создадим Makefile для управления процессом проведения эксперимента (рис. 26):</w:t>
      </w:r>
    </w:p>
    <w:bookmarkStart w:id="134" w:name="fig:026"/>
    <w:p>
      <w:pPr>
        <w:pStyle w:val="CaptionedFigure"/>
      </w:pPr>
      <w:r>
        <w:drawing>
          <wp:inline>
            <wp:extent cx="3733800" cy="1359309"/>
            <wp:effectExtent b="0" l="0" r="0" t="0"/>
            <wp:docPr descr="Рис. 26: Создание Makefile" title="" id="132" name="Picture"/>
            <a:graphic>
              <a:graphicData uri="http://schemas.openxmlformats.org/drawingml/2006/picture">
                <pic:pic>
                  <pic:nvPicPr>
                    <pic:cNvPr descr="image/26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Создание Makefile</w:t>
      </w:r>
    </w:p>
    <w:bookmarkEnd w:id="134"/>
    <w:p>
      <w:pPr>
        <w:pStyle w:val="Compact"/>
        <w:numPr>
          <w:ilvl w:val="0"/>
          <w:numId w:val="1036"/>
        </w:numPr>
      </w:pPr>
      <w:r>
        <w:t xml:space="preserve">Запустим с помощью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и получим следующий график (рис. 27):</w:t>
      </w:r>
    </w:p>
    <w:bookmarkStart w:id="138" w:name="fig:027"/>
    <w:p>
      <w:pPr>
        <w:pStyle w:val="CaptionedFigure"/>
      </w:pPr>
      <w:r>
        <w:drawing>
          <wp:inline>
            <wp:extent cx="3733800" cy="2700832"/>
            <wp:effectExtent b="0" l="0" r="0" t="0"/>
            <wp:docPr descr="Рис. 27: График ping.png" title="" id="136" name="Picture"/>
            <a:graphic>
              <a:graphicData uri="http://schemas.openxmlformats.org/drawingml/2006/picture">
                <pic:pic>
                  <pic:nvPicPr>
                    <pic:cNvPr descr="image/27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График ping.png</w:t>
      </w:r>
    </w:p>
    <w:bookmarkEnd w:id="138"/>
    <w:bookmarkStart w:id="142" w:name="fig:028"/>
    <w:p>
      <w:pPr>
        <w:pStyle w:val="CaptionedFigure"/>
      </w:pPr>
      <w:r>
        <w:drawing>
          <wp:inline>
            <wp:extent cx="3733800" cy="3519944"/>
            <wp:effectExtent b="0" l="0" r="0" t="0"/>
            <wp:docPr descr="Рис. 28: Запуск" title="" id="140" name="Picture"/>
            <a:graphic>
              <a:graphicData uri="http://schemas.openxmlformats.org/drawingml/2006/picture">
                <pic:pic>
                  <pic:nvPicPr>
                    <pic:cNvPr descr="image/28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9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Запуск</w:t>
      </w:r>
    </w:p>
    <w:bookmarkEnd w:id="142"/>
    <w:p>
      <w:pPr>
        <w:pStyle w:val="Compact"/>
        <w:numPr>
          <w:ilvl w:val="0"/>
          <w:numId w:val="1037"/>
        </w:numPr>
      </w:pPr>
      <w:r>
        <w:t xml:space="preserve">Из файла ping.dat удалим первую строку и заново построим график (рис. 29):</w:t>
      </w:r>
    </w:p>
    <w:bookmarkStart w:id="146" w:name="fig:029"/>
    <w:p>
      <w:pPr>
        <w:pStyle w:val="CaptionedFigure"/>
      </w:pPr>
      <w:r>
        <w:drawing>
          <wp:inline>
            <wp:extent cx="3733800" cy="1974388"/>
            <wp:effectExtent b="0" l="0" r="0" t="0"/>
            <wp:docPr descr="Рис. 29: Удаление первой строчки" title="" id="144" name="Picture"/>
            <a:graphic>
              <a:graphicData uri="http://schemas.openxmlformats.org/drawingml/2006/picture">
                <pic:pic>
                  <pic:nvPicPr>
                    <pic:cNvPr descr="image/29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Удаление первой строчки</w:t>
      </w:r>
    </w:p>
    <w:bookmarkEnd w:id="146"/>
    <w:p>
      <w:pPr>
        <w:pStyle w:val="Compact"/>
        <w:numPr>
          <w:ilvl w:val="0"/>
          <w:numId w:val="1038"/>
        </w:numPr>
      </w:pPr>
      <w:r>
        <w:t xml:space="preserve">Выведем снова график с учетом изменений (рис. 30):</w:t>
      </w:r>
    </w:p>
    <w:bookmarkStart w:id="150" w:name="fig:030"/>
    <w:p>
      <w:pPr>
        <w:pStyle w:val="CaptionedFigure"/>
      </w:pPr>
      <w:r>
        <w:drawing>
          <wp:inline>
            <wp:extent cx="3733800" cy="2759319"/>
            <wp:effectExtent b="0" l="0" r="0" t="0"/>
            <wp:docPr descr="Рис. 30: График ping.png с учетом изменений" title="" id="148" name="Picture"/>
            <a:graphic>
              <a:graphicData uri="http://schemas.openxmlformats.org/drawingml/2006/picture">
                <pic:pic>
                  <pic:nvPicPr>
                    <pic:cNvPr descr="image/30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График ping.png с учетом изменений</w:t>
      </w:r>
    </w:p>
    <w:bookmarkEnd w:id="150"/>
    <w:p>
      <w:pPr>
        <w:pStyle w:val="Compact"/>
        <w:numPr>
          <w:ilvl w:val="0"/>
          <w:numId w:val="1039"/>
        </w:numPr>
      </w:pPr>
      <w:r>
        <w:t xml:space="preserve">Разработаем скрипт для вычисления на основе данных файла ping.dat минимального, среднего, максимального и стандартного отклонения времени приёма-передачи (рис. 31):</w:t>
      </w:r>
    </w:p>
    <w:bookmarkStart w:id="154" w:name="fig:031"/>
    <w:p>
      <w:pPr>
        <w:pStyle w:val="CaptionedFigure"/>
      </w:pPr>
      <w:r>
        <w:drawing>
          <wp:inline>
            <wp:extent cx="3733800" cy="977494"/>
            <wp:effectExtent b="0" l="0" r="0" t="0"/>
            <wp:docPr descr="Рис. 31: Скрипт для вычисления на основе ping.dat" title="" id="152" name="Picture"/>
            <a:graphic>
              <a:graphicData uri="http://schemas.openxmlformats.org/drawingml/2006/picture">
                <pic:pic>
                  <pic:nvPicPr>
                    <pic:cNvPr descr="image/31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7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Скрипт для вычисления на основе ping.dat</w:t>
      </w:r>
    </w:p>
    <w:bookmarkEnd w:id="154"/>
    <w:bookmarkStart w:id="158" w:name="fig:032"/>
    <w:p>
      <w:pPr>
        <w:pStyle w:val="CaptionedFigure"/>
      </w:pPr>
      <w:r>
        <w:drawing>
          <wp:inline>
            <wp:extent cx="3733800" cy="529919"/>
            <wp:effectExtent b="0" l="0" r="0" t="0"/>
            <wp:docPr descr="Рис. 32: Запуск скрипта для вычисления" title="" id="156" name="Picture"/>
            <a:graphic>
              <a:graphicData uri="http://schemas.openxmlformats.org/drawingml/2006/picture">
                <pic:pic>
                  <pic:nvPicPr>
                    <pic:cNvPr descr="image/32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9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Запуск скрипта для вычисления</w:t>
      </w:r>
    </w:p>
    <w:bookmarkEnd w:id="158"/>
    <w:bookmarkEnd w:id="159"/>
    <w:bookmarkStart w:id="172" w:name="задание-для-самостоятельной-работы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Задание для самостоятельной работы</w:t>
      </w:r>
    </w:p>
    <w:p>
      <w:pPr>
        <w:pStyle w:val="FirstParagraph"/>
      </w:pPr>
      <w:r>
        <w:t xml:space="preserve">Самостоятельно реализуем воспроизводимые эксперименты по изменению</w:t>
      </w:r>
      <w:r>
        <w:t xml:space="preserve"> </w:t>
      </w:r>
      <w:r>
        <w:t xml:space="preserve">задержки, джиттера, значения корреляции для джиттера и задержки, распределения времени задержки в эмулируемой глобальной сети. Построим графики.</w:t>
      </w:r>
      <w:r>
        <w:t xml:space="preserve"> </w:t>
      </w:r>
      <w:r>
        <w:t xml:space="preserve">Вычислим минимальное, среднее, максимальное и стандартное отклонение</w:t>
      </w:r>
      <w:r>
        <w:t xml:space="preserve"> </w:t>
      </w:r>
      <w:r>
        <w:t xml:space="preserve">времени приёма-передачи для каждого случая (рис. 33):</w:t>
      </w:r>
    </w:p>
    <w:bookmarkStart w:id="163" w:name="fig:033"/>
    <w:p>
      <w:pPr>
        <w:pStyle w:val="CaptionedFigure"/>
      </w:pPr>
      <w:r>
        <w:drawing>
          <wp:inline>
            <wp:extent cx="3733800" cy="3080090"/>
            <wp:effectExtent b="0" l="0" r="0" t="0"/>
            <wp:docPr descr="Рис. 33: Внесение изменений в lab_netem_i.py" title="" id="161" name="Picture"/>
            <a:graphic>
              <a:graphicData uri="http://schemas.openxmlformats.org/drawingml/2006/picture">
                <pic:pic>
                  <pic:nvPicPr>
                    <pic:cNvPr descr="image/33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Внесение изменений в lab_netem_i.py</w:t>
      </w:r>
    </w:p>
    <w:bookmarkEnd w:id="163"/>
    <w:bookmarkStart w:id="167" w:name="fig:034"/>
    <w:p>
      <w:pPr>
        <w:pStyle w:val="CaptionedFigure"/>
      </w:pPr>
      <w:r>
        <w:drawing>
          <wp:inline>
            <wp:extent cx="3733800" cy="3010313"/>
            <wp:effectExtent b="0" l="0" r="0" t="0"/>
            <wp:docPr descr="Рис. 34: Запуск обновленного скрипта с выводом графика" title="" id="165" name="Picture"/>
            <a:graphic>
              <a:graphicData uri="http://schemas.openxmlformats.org/drawingml/2006/picture">
                <pic:pic>
                  <pic:nvPicPr>
                    <pic:cNvPr descr="image/34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Запуск обновленного скрипта с выводом графика</w:t>
      </w:r>
    </w:p>
    <w:bookmarkEnd w:id="167"/>
    <w:bookmarkStart w:id="171" w:name="fig:035"/>
    <w:p>
      <w:pPr>
        <w:pStyle w:val="CaptionedFigure"/>
      </w:pPr>
      <w:r>
        <w:drawing>
          <wp:inline>
            <wp:extent cx="3733800" cy="536846"/>
            <wp:effectExtent b="0" l="0" r="0" t="0"/>
            <wp:docPr descr="Рис. 35: Запуск script.py на основе обновленного ping.dat" title="" id="169" name="Picture"/>
            <a:graphic>
              <a:graphicData uri="http://schemas.openxmlformats.org/drawingml/2006/picture">
                <pic:pic>
                  <pic:nvPicPr>
                    <pic:cNvPr descr="image/35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6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Запуск script.py на основе обновленного ping.dat</w:t>
      </w:r>
    </w:p>
    <w:bookmarkEnd w:id="171"/>
    <w:bookmarkEnd w:id="172"/>
    <w:bookmarkEnd w:id="173"/>
    <w:bookmarkEnd w:id="174"/>
    <w:bookmarkStart w:id="17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познакомилась с NETEM — инструментом для</w:t>
      </w:r>
      <w:r>
        <w:t xml:space="preserve"> </w:t>
      </w:r>
      <w:r>
        <w:t xml:space="preserve">тестирования производительности приложений в виртуальной сети, а также</w:t>
      </w:r>
      <w:r>
        <w:t xml:space="preserve"> </w:t>
      </w:r>
      <w:r>
        <w:t xml:space="preserve">получила навыков проведения интерактивного и воспроизводимого экспериментов по измерению задержки и её дрожания (jitter) в моделируемой сети</w:t>
      </w:r>
      <w:r>
        <w:t xml:space="preserve"> </w:t>
      </w:r>
      <w:r>
        <w:t xml:space="preserve">в среде Mininet.</w:t>
      </w:r>
    </w:p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2" Target="media/rId102.png" /><Relationship Type="http://schemas.openxmlformats.org/officeDocument/2006/relationships/image" Id="rId26" Target="media/rId26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30" Target="media/rId30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Эмуляция и измерение задержек в глобальных сетях</dc:title>
  <dc:creator>Абакумова Олеся Максимовна, НФИбд-02-22</dc:creator>
  <dc:language>ru-RU</dc:language>
  <cp:keywords/>
  <dcterms:created xsi:type="dcterms:W3CDTF">2025-10-25T13:32:55Z</dcterms:created>
  <dcterms:modified xsi:type="dcterms:W3CDTF">2025-10-25T13:32:55Z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