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6. Настройка пропускной способности глобальной сети с помощью Token Bucket Filter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</w:t>
      </w:r>
    </w:p>
    <w:bookmarkEnd w:id="20"/>
    <w:bookmarkStart w:id="21" w:name="предварительны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t xml:space="preserve">Token Bucket Filter (TBF) представляет собой алгоритм, используемый в сетях</w:t>
      </w:r>
      <w:r>
        <w:t xml:space="preserve"> </w:t>
      </w:r>
      <w:r>
        <w:t xml:space="preserve">с коммутацией пакетов для ограничения пропускной способности и пиковой</w:t>
      </w:r>
      <w:r>
        <w:t xml:space="preserve"> </w:t>
      </w:r>
      <w:r>
        <w:t xml:space="preserve">нагрузки трафика. Передача поступающих в очередь системы (queque)</w:t>
      </w:r>
      <w:r>
        <w:t xml:space="preserve"> </w:t>
      </w:r>
      <w:r>
        <w:t xml:space="preserve">пакетов данных осуществляется при наличии в специальном буфере (bucket)</w:t>
      </w:r>
      <w:r>
        <w:t xml:space="preserve"> </w:t>
      </w:r>
      <w:r>
        <w:t xml:space="preserve">необходимого числа разрешений на передачу (или токенов). Токены могут быть</w:t>
      </w:r>
      <w:r>
        <w:t xml:space="preserve"> </w:t>
      </w:r>
      <w:r>
        <w:t xml:space="preserve">представлены в виде пакетов или числа байтов, поступающих в буфер (корзину)</w:t>
      </w:r>
      <w:r>
        <w:t xml:space="preserve"> </w:t>
      </w:r>
      <w:r>
        <w:t xml:space="preserve">фиксированного размера с фиксированной скоростью.</w:t>
      </w:r>
    </w:p>
    <w:p>
      <w:pPr>
        <w:pStyle w:val="BodyText"/>
      </w:pPr>
      <w:r>
        <w:t xml:space="preserve">Максимальная средняя скорость отправки потока данных из очереди системы</w:t>
      </w:r>
      <w:r>
        <w:t xml:space="preserve"> </w:t>
      </w:r>
      <w:r>
        <w:t xml:space="preserve">зависит от скорости прибытия в специализированный буфер разрешений на</w:t>
      </w:r>
      <w:r>
        <w:t xml:space="preserve"> </w:t>
      </w:r>
      <w:r>
        <w:t xml:space="preserve">передачу N единиц данных. Очередной пакет может быть отправлен только</w:t>
      </w:r>
      <w:r>
        <w:t xml:space="preserve"> </w:t>
      </w:r>
      <w:r>
        <w:t xml:space="preserve">при получении числа разрешений, достаточного для передачи данных, объём</w:t>
      </w:r>
      <w:r>
        <w:t xml:space="preserve"> </w:t>
      </w:r>
      <w:r>
        <w:t xml:space="preserve">которых больше или равен размеру пакета. Если разрешений на передачу достаточно, то необходимое число токенов удаляется из специализированного буфера, а пакет данных отправляется. Если пакет поступит в очередь системы</w:t>
      </w:r>
      <w:r>
        <w:t xml:space="preserve"> </w:t>
      </w:r>
      <w:r>
        <w:t xml:space="preserve">и не будет располагать необходимым количеством разрешений, то токены не</w:t>
      </w:r>
      <w:r>
        <w:t xml:space="preserve"> </w:t>
      </w:r>
      <w:r>
        <w:t xml:space="preserve">удаляются из специализированного буфера, а сам пакет данных может быть отброшен, поставлен в очередь или передан, но помечен как несоответствующий</w:t>
      </w:r>
      <w:r>
        <w:t xml:space="preserve"> </w:t>
      </w:r>
      <w:r>
        <w:t xml:space="preserve">условиям передачи.</w:t>
      </w:r>
    </w:p>
    <w:p>
      <w:pPr>
        <w:pStyle w:val="BodyText"/>
      </w:pPr>
      <w:r>
        <w:t xml:space="preserve">Дисциплина TBF реализована в виде буфера (queue), постоянно заполняющегося токенами с заданной скоростью. Наиболее важным параметром буфера</w:t>
      </w:r>
      <w:r>
        <w:t xml:space="preserve"> </w:t>
      </w:r>
      <w:r>
        <w:t xml:space="preserve">является его размер, определяющий количество хранимых токенов.</w:t>
      </w:r>
    </w:p>
    <w:p>
      <w:pPr>
        <w:pStyle w:val="BodyText"/>
      </w:pPr>
      <w:r>
        <w:t xml:space="preserve">Если данные прибывают со скоростью, равной скорости входящих токенов, то</w:t>
      </w:r>
      <w:r>
        <w:t xml:space="preserve"> </w:t>
      </w:r>
      <w:r>
        <w:t xml:space="preserve">каждый пакет имеет соответствующий токен и проходит очередь без задержки.</w:t>
      </w:r>
      <w:r>
        <w:t xml:space="preserve"> </w:t>
      </w:r>
      <w:r>
        <w:t xml:space="preserve">Если данные прибывают со скоростью, меньшей скорости поступления токенов,</w:t>
      </w:r>
      <w:r>
        <w:t xml:space="preserve"> </w:t>
      </w:r>
      <w:r>
        <w:t xml:space="preserve">то лишь часть существующих токенов будет уничтожаться, поэтому они станут</w:t>
      </w:r>
      <w:r>
        <w:t xml:space="preserve"> </w:t>
      </w:r>
      <w:r>
        <w:t xml:space="preserve">накапливаться до размера специализированного буфера. Далее накопленные</w:t>
      </w:r>
      <w:r>
        <w:t xml:space="preserve"> </w:t>
      </w:r>
      <w:r>
        <w:t xml:space="preserve">токены могут использоваться при всплесках, для передачи данных со скоростью,</w:t>
      </w:r>
      <w:r>
        <w:t xml:space="preserve"> </w:t>
      </w:r>
      <w:r>
        <w:t xml:space="preserve">превышающей скорость пребывающих токенов.</w:t>
      </w:r>
    </w:p>
    <w:p>
      <w:pPr>
        <w:pStyle w:val="BodyText"/>
      </w:pPr>
      <w:r>
        <w:t xml:space="preserve">Если данные прибывают быстрее, чем токены, то в буфере со временем не останется токенов, что заставит дисциплину приостановить передачу данных. Эта</w:t>
      </w:r>
      <w:r>
        <w:t xml:space="preserve"> </w:t>
      </w:r>
      <w:r>
        <w:t xml:space="preserve">ситуация называется «превышением». Если пакеты продолжают поступать, то</w:t>
      </w:r>
      <w:r>
        <w:t xml:space="preserve"> </w:t>
      </w:r>
      <w:r>
        <w:t xml:space="preserve">токены начинают уничтожаться. Данная ситуация позволяет административно</w:t>
      </w:r>
      <w:r>
        <w:t xml:space="preserve"> </w:t>
      </w:r>
      <w:r>
        <w:t xml:space="preserve">ограничивать доступную полосу пропускания.</w:t>
      </w:r>
    </w:p>
    <w:p>
      <w:pPr>
        <w:pStyle w:val="BodyText"/>
      </w:pPr>
      <w:r>
        <w:t xml:space="preserve">Накопленные токены позволяют пропускать короткие всплески, но при про-</w:t>
      </w:r>
      <w:r>
        <w:t xml:space="preserve"> </w:t>
      </w:r>
      <w:r>
        <w:t xml:space="preserve">должительном превышении пакеты будут задерживаться, а в крайнем случае —</w:t>
      </w:r>
      <w:r>
        <w:t xml:space="preserve"> </w:t>
      </w:r>
      <w:r>
        <w:t xml:space="preserve">уничтожаться.</w:t>
      </w:r>
    </w:p>
    <w:p>
      <w:pPr>
        <w:pStyle w:val="BodyText"/>
      </w:pPr>
      <w:r>
        <w:t xml:space="preserve">Алгоритм TBF обладает свойством взрывоопасности (burstiness), когда корзина полностью заполнена (т. е. никакие пакеты не потребляют токены) и новые</w:t>
      </w:r>
      <w:r>
        <w:t xml:space="preserve"> </w:t>
      </w:r>
      <w:r>
        <w:t xml:space="preserve">пакеты будут потреблять токены сразу, без ограничений. Всплеск определяется</w:t>
      </w:r>
      <w:r>
        <w:t xml:space="preserve"> </w:t>
      </w:r>
      <w:r>
        <w:t xml:space="preserve">как количество токенов, которые могут поместиться в корзину, или как размер</w:t>
      </w:r>
      <w:r>
        <w:t xml:space="preserve"> </w:t>
      </w:r>
      <w:r>
        <w:t xml:space="preserve">(ёмкость) корзины. Для обеспечения ограничения и контроля над всплесками</w:t>
      </w:r>
      <w:r>
        <w:t xml:space="preserve"> </w:t>
      </w:r>
      <w:r>
        <w:t xml:space="preserve">при поступлении пакетов формируется ещё одна корзина, с размером, равным</w:t>
      </w:r>
    </w:p>
    <w:p>
      <w:pPr>
        <w:pStyle w:val="BodyText"/>
      </w:pPr>
      <w:r>
        <w:t xml:space="preserve">максимально передаваемому элементу данных (Maximum Transmission Unit,</w:t>
      </w:r>
      <w:r>
        <w:t xml:space="preserve"> </w:t>
      </w:r>
      <w:r>
        <w:t xml:space="preserve">MTU). Скорость обработки этого буфера намного превышает исходную (peak</w:t>
      </w:r>
      <w:r>
        <w:t xml:space="preserve"> </w:t>
      </w:r>
      <w:r>
        <w:t xml:space="preserve">rate — пиковая скорость).</w:t>
      </w:r>
    </w:p>
    <w:p>
      <w:pPr>
        <w:pStyle w:val="BodyText"/>
      </w:pPr>
      <w:r>
        <w:t xml:space="preserve">Основной синтаксис tbf, используемый с tc в Linux:</w:t>
      </w:r>
    </w:p>
    <w:p>
      <w:pPr>
        <w:pStyle w:val="SourceCode"/>
      </w:pPr>
      <w:r>
        <w:rPr>
          <w:rStyle w:val="VerbatimChar"/>
        </w:rPr>
        <w:t xml:space="preserve">tc qdisc [add | ...] dev [dev_id] root tbf limit [BYTES]</w:t>
      </w:r>
      <w:r>
        <w:br/>
      </w:r>
      <w:r>
        <w:rPr>
          <w:rStyle w:val="VerbatimChar"/>
        </w:rPr>
        <w:t xml:space="preserve">burst [BYTES] rate [BPS] [mtu BYTES] [ peakrate BPS ] [</w:t>
      </w:r>
      <w:r>
        <w:br/>
      </w:r>
      <w:r>
        <w:rPr>
          <w:rStyle w:val="VerbatimChar"/>
        </w:rPr>
        <w:t xml:space="preserve">latency TIME ]</w:t>
      </w:r>
    </w:p>
    <w:p>
      <w:pPr>
        <w:pStyle w:val="FirstParagraph"/>
      </w:pPr>
      <w:r>
        <w:t xml:space="preserve">Здесь:</w:t>
      </w:r>
    </w:p>
    <w:p>
      <w:pPr>
        <w:numPr>
          <w:ilvl w:val="0"/>
          <w:numId w:val="1001"/>
        </w:numPr>
      </w:pPr>
      <w:r>
        <w:t xml:space="preserve">tc: инструмент управления трафиком Linux;</w:t>
      </w:r>
    </w:p>
    <w:p>
      <w:pPr>
        <w:numPr>
          <w:ilvl w:val="0"/>
          <w:numId w:val="1001"/>
        </w:numPr>
      </w:pPr>
      <w:r>
        <w:t xml:space="preserve">qdisc: дисциплина очереди (qdisc), представляющая собой набор правил,</w:t>
      </w:r>
      <w:r>
        <w:t xml:space="preserve"> </w:t>
      </w:r>
      <w:r>
        <w:t xml:space="preserve">определяющих порядок, в котором обслуживаются пакеты, поступающие</w:t>
      </w:r>
      <w:r>
        <w:t xml:space="preserve"> </w:t>
      </w:r>
      <w:r>
        <w:t xml:space="preserve">с выходных данных IP-протокола;</w:t>
      </w:r>
    </w:p>
    <w:p>
      <w:pPr>
        <w:numPr>
          <w:ilvl w:val="0"/>
          <w:numId w:val="1001"/>
        </w:numPr>
      </w:pPr>
      <w:r>
        <w:t xml:space="preserve">dev [dev_id]: задаёт интерфейс;</w:t>
      </w:r>
    </w:p>
    <w:p>
      <w:pPr>
        <w:numPr>
          <w:ilvl w:val="0"/>
          <w:numId w:val="1001"/>
        </w:numPr>
      </w:pPr>
      <w:r>
        <w:t xml:space="preserve">tbf: указывает, что используется алгоритм Token Bucket Filter;</w:t>
      </w:r>
    </w:p>
    <w:p>
      <w:pPr>
        <w:numPr>
          <w:ilvl w:val="0"/>
          <w:numId w:val="1001"/>
        </w:numPr>
      </w:pPr>
      <w:r>
        <w:t xml:space="preserve">limit [BYTES]: размер очереди пакетов в байтах;</w:t>
      </w:r>
    </w:p>
    <w:p>
      <w:pPr>
        <w:numPr>
          <w:ilvl w:val="0"/>
          <w:numId w:val="1001"/>
        </w:numPr>
      </w:pPr>
      <w:r>
        <w:t xml:space="preserve">burst [BYTES]: количество байтов, которое может поместиться в корзину;</w:t>
      </w:r>
    </w:p>
    <w:p>
      <w:pPr>
        <w:numPr>
          <w:ilvl w:val="0"/>
          <w:numId w:val="1001"/>
        </w:numPr>
      </w:pPr>
      <w:r>
        <w:t xml:space="preserve">rate [BPS]: скорость передачи данных, определяемая частотой, с которой</w:t>
      </w:r>
      <w:r>
        <w:t xml:space="preserve"> </w:t>
      </w:r>
      <w:r>
        <w:t xml:space="preserve">токены добавляются в корзину;</w:t>
      </w:r>
    </w:p>
    <w:p>
      <w:pPr>
        <w:numPr>
          <w:ilvl w:val="0"/>
          <w:numId w:val="1001"/>
        </w:numPr>
      </w:pPr>
      <w:r>
        <w:t xml:space="preserve">mtu [BYTES]: максимальная единица передачи в байтах;</w:t>
      </w:r>
    </w:p>
    <w:p>
      <w:pPr>
        <w:numPr>
          <w:ilvl w:val="0"/>
          <w:numId w:val="1001"/>
        </w:numPr>
      </w:pPr>
      <w:r>
        <w:t xml:space="preserve">peakrate [BPS] (пиковая скорость [бит/с]): максимальная скорость переда-</w:t>
      </w:r>
      <w:r>
        <w:t xml:space="preserve"> </w:t>
      </w:r>
      <w:r>
        <w:t xml:space="preserve">чи пакета;</w:t>
      </w:r>
    </w:p>
    <w:p>
      <w:pPr>
        <w:numPr>
          <w:ilvl w:val="0"/>
          <w:numId w:val="1001"/>
        </w:numPr>
      </w:pPr>
      <w:r>
        <w:t xml:space="preserve">latency [TIME]: максимальное время ожидания пакета в очереди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</w:pPr>
      <w:r>
        <w:t xml:space="preserve">Задайте топологию,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2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numPr>
          <w:ilvl w:val="0"/>
          <w:numId w:val="1002"/>
        </w:numPr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22"/>
    <w:bookmarkStart w:id="13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1" w:name="запуск-лабораторной-тополог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Запуск лабораторной топологии</w:t>
      </w:r>
    </w:p>
    <w:p>
      <w:pPr>
        <w:pStyle w:val="FirstParagraph"/>
      </w:pPr>
      <w:r>
        <w:t xml:space="preserve">Запускаем виртуальную машину. Здесь ждет легкая неожиданность, но это не помешало выполнить лабораторную работу (рис. 1):</w:t>
      </w:r>
    </w:p>
    <w:bookmarkStart w:id="26" w:name="fig:001"/>
    <w:p>
      <w:pPr>
        <w:pStyle w:val="CaptionedFigure"/>
      </w:pPr>
      <w:r>
        <w:drawing>
          <wp:inline>
            <wp:extent cx="3733800" cy="3140310"/>
            <wp:effectExtent b="0" l="0" r="0" t="0"/>
            <wp:docPr descr="Рис. 1: Запуск виртуальной машин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</w:t>
      </w:r>
    </w:p>
    <w:bookmarkEnd w:id="26"/>
    <w:p>
      <w:pPr>
        <w:pStyle w:val="BodyText"/>
      </w:pPr>
      <w:r>
        <w:t xml:space="preserve">В виртуальной машине mininet при необходимости исправим права запуска</w:t>
      </w:r>
      <w:r>
        <w:t xml:space="preserve"> </w:t>
      </w:r>
      <w:r>
        <w:t xml:space="preserve">X-соединения. Скопируем значение куки (MIT magic cookie) своего пользователя mininet в файл для пользователя root(рис. 2):</w:t>
      </w:r>
    </w:p>
    <w:bookmarkStart w:id="30" w:name="fig:002"/>
    <w:p>
      <w:pPr>
        <w:pStyle w:val="CaptionedFigure"/>
      </w:pPr>
      <w:r>
        <w:drawing>
          <wp:inline>
            <wp:extent cx="3733800" cy="456841"/>
            <wp:effectExtent b="0" l="0" r="0" t="0"/>
            <wp:docPr descr="Рис. 2: Исправление прав запуска X-соедине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Исправление прав запуска X-соединения</w:t>
      </w:r>
    </w:p>
    <w:bookmarkEnd w:id="30"/>
    <w:p>
      <w:pPr>
        <w:pStyle w:val="BodyText"/>
      </w:pPr>
      <w:r>
        <w:t xml:space="preserve">После выполнения этих действий графические приложения должны запускаться под пользователем mininet.</w:t>
      </w:r>
    </w:p>
    <w:p>
      <w:pPr>
        <w:pStyle w:val="BodyText"/>
      </w:pPr>
      <w:r>
        <w:t xml:space="preserve">Зададим птопологию сети,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 (рис. 3):</w:t>
      </w:r>
    </w:p>
    <w:bookmarkStart w:id="34" w:name="fig:003"/>
    <w:p>
      <w:pPr>
        <w:pStyle w:val="CaptionedFigure"/>
      </w:pPr>
      <w:r>
        <w:drawing>
          <wp:inline>
            <wp:extent cx="3733800" cy="1756563"/>
            <wp:effectExtent b="0" l="0" r="0" t="0"/>
            <wp:docPr descr="Рис. 3: Задание топологи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топологии</w:t>
      </w:r>
    </w:p>
    <w:bookmarkEnd w:id="34"/>
    <w:p>
      <w:pPr>
        <w:pStyle w:val="BodyText"/>
      </w:pPr>
      <w:r>
        <w:t xml:space="preserve">После введения этой команды запустятся терминалы двух хостов, двух ком-</w:t>
      </w:r>
      <w:r>
        <w:t xml:space="preserve"> </w:t>
      </w:r>
      <w:r>
        <w:t xml:space="preserve">мутаторов и контроллера.</w:t>
      </w:r>
    </w:p>
    <w:p>
      <w:pPr>
        <w:pStyle w:val="BodyText"/>
      </w:pPr>
      <w:r>
        <w:t xml:space="preserve">На хостах h1, h2 и на коммутаторах s1, s2 введите команду ifconfig, чтобы</w:t>
      </w:r>
      <w:r>
        <w:t xml:space="preserve"> </w:t>
      </w:r>
      <w:r>
        <w:t xml:space="preserve">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</w:t>
      </w:r>
      <w:r>
        <w:t xml:space="preserve"> </w:t>
      </w:r>
      <w:r>
        <w:t xml:space="preserve">будут использоваться интерфейсы h1-eth0, h2-eth0, s1-eth2 (рис. 4):</w:t>
      </w:r>
    </w:p>
    <w:bookmarkStart w:id="38" w:name="fig:004"/>
    <w:p>
      <w:pPr>
        <w:pStyle w:val="CaptionedFigure"/>
      </w:pPr>
      <w:r>
        <w:drawing>
          <wp:inline>
            <wp:extent cx="3733800" cy="1252282"/>
            <wp:effectExtent b="0" l="0" r="0" t="0"/>
            <wp:docPr descr="Рис. 4: Информация на коммутаторах s1 и s2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на коммутаторах s1 и s2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075752"/>
            <wp:effectExtent b="0" l="0" r="0" t="0"/>
            <wp:docPr descr="Рис. 5: Информация на хостах h1 и h2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на хостах h1 и h2</w:t>
      </w:r>
    </w:p>
    <w:bookmarkEnd w:id="42"/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4 (рис. 6):</w:t>
      </w:r>
    </w:p>
    <w:bookmarkStart w:id="46" w:name="fig:006"/>
    <w:p>
      <w:pPr>
        <w:pStyle w:val="CaptionedFigure"/>
      </w:pPr>
      <w:r>
        <w:drawing>
          <wp:inline>
            <wp:extent cx="3733800" cy="1329025"/>
            <wp:effectExtent b="0" l="0" r="0" t="0"/>
            <wp:docPr descr="Рис. 6: Проверка подключения между хостам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подключения между хостами</w:t>
      </w:r>
    </w:p>
    <w:bookmarkEnd w:id="46"/>
    <w:p>
      <w:pPr>
        <w:pStyle w:val="BodyText"/>
      </w:pPr>
      <w:r>
        <w:t xml:space="preserve">В терминале хоста h2 запустим iPerf3 в режиме сервера и в терминале хоста h1 запустим iPerf3 в режиме клиента (рис. 7):</w:t>
      </w:r>
    </w:p>
    <w:bookmarkStart w:id="50" w:name="fig:007"/>
    <w:p>
      <w:pPr>
        <w:pStyle w:val="CaptionedFigure"/>
      </w:pPr>
      <w:r>
        <w:drawing>
          <wp:inline>
            <wp:extent cx="3733800" cy="1192204"/>
            <wp:effectExtent b="0" l="0" r="0" t="0"/>
            <wp:docPr descr="Рис. 7: Запуск iPerf3 на обоих хостах в разных режимах на обоих хостах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iPerf3 на обоих хостах в разных режимах на обоих хостах</w:t>
      </w:r>
    </w:p>
    <w:bookmarkEnd w:id="50"/>
    <w:p>
      <w:pPr>
        <w:pStyle w:val="BodyText"/>
      </w:pPr>
      <w:r>
        <w:t xml:space="preserve">После завершения работы iPerf3 на хосте h1 остановим iPerf3 на хосте h2,</w:t>
      </w:r>
      <w:r>
        <w:t xml:space="preserve"> </w:t>
      </w:r>
      <w:r>
        <w:t xml:space="preserve">нажав Ctrl + c.</w:t>
      </w:r>
    </w:p>
    <w:bookmarkEnd w:id="51"/>
    <w:bookmarkStart w:id="103" w:name="интерактивные-эксперимент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Интерактивные эксперименты</w:t>
      </w:r>
    </w:p>
    <w:bookmarkStart w:id="68" w:name="ограничение-скорости-на-конечных-хостах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Ограничение скорости на конечных хостах</w:t>
      </w:r>
    </w:p>
    <w:p>
      <w:pPr>
        <w:pStyle w:val="FirstParagraph"/>
      </w:pPr>
      <w:r>
        <w:t xml:space="preserve">Команду tc можно применить к сетевому интерфейсу устройства для формирования исходящего трафика. Требуется ограничить скорость отправки данных</w:t>
      </w:r>
      <w:r>
        <w:t xml:space="preserve"> </w:t>
      </w:r>
      <w:r>
        <w:t xml:space="preserve">с конечного хоста с помощью фильтра Token Bucket Filter (tbf)</w:t>
      </w:r>
    </w:p>
    <w:p>
      <w:pPr>
        <w:pStyle w:val="BodyText"/>
      </w:pPr>
      <w:r>
        <w:t xml:space="preserve">Изменим пропускную способность хоста h1, установив пропускную способность на 10 Гбит/с на интерфейсе h1-eth0 и параметры TBF-фильтра(рис. 8):</w:t>
      </w:r>
    </w:p>
    <w:bookmarkStart w:id="55" w:name="fig:008"/>
    <w:p>
      <w:pPr>
        <w:pStyle w:val="CaptionedFigure"/>
      </w:pPr>
      <w:r>
        <w:drawing>
          <wp:inline>
            <wp:extent cx="3733800" cy="2257971"/>
            <wp:effectExtent b="0" l="0" r="0" t="0"/>
            <wp:docPr descr="Рис. 8: Установка пропускной способности на 10 Гбит/с на интерфейсе h1-eth0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пропускной способности на 10 Гбит/с на интерфейсе h1-eth0</w:t>
      </w:r>
    </w:p>
    <w:bookmarkEnd w:id="55"/>
    <w:p>
      <w:pPr>
        <w:pStyle w:val="BodyText"/>
      </w:pPr>
      <w:r>
        <w:t xml:space="preserve">Здесь:</w:t>
      </w:r>
    </w:p>
    <w:p>
      <w:pPr>
        <w:numPr>
          <w:ilvl w:val="0"/>
          <w:numId w:val="1003"/>
        </w:numPr>
      </w:pPr>
      <w:r>
        <w:t xml:space="preserve">sudo: включить выполнение команды с более высокими привилегиями</w:t>
      </w:r>
      <w:r>
        <w:t xml:space="preserve"> </w:t>
      </w:r>
      <w:r>
        <w:t xml:space="preserve">безопасности;</w:t>
      </w:r>
    </w:p>
    <w:p>
      <w:pPr>
        <w:numPr>
          <w:ilvl w:val="0"/>
          <w:numId w:val="1003"/>
        </w:numPr>
      </w:pPr>
      <w:r>
        <w:t xml:space="preserve">tc: вызвать управление трафиком Linux;</w:t>
      </w:r>
    </w:p>
    <w:p>
      <w:pPr>
        <w:numPr>
          <w:ilvl w:val="0"/>
          <w:numId w:val="1003"/>
        </w:numPr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3"/>
        </w:numPr>
      </w:pPr>
      <w:r>
        <w:t xml:space="preserve">add (добавить): создать новое правило;</w:t>
      </w:r>
    </w:p>
    <w:p>
      <w:pPr>
        <w:numPr>
          <w:ilvl w:val="0"/>
          <w:numId w:val="1003"/>
        </w:numPr>
      </w:pPr>
      <w:r>
        <w:t xml:space="preserve">dev h1-eth0 root: интерфейс, на котором будет применяться правило;</w:t>
      </w:r>
    </w:p>
    <w:p>
      <w:pPr>
        <w:numPr>
          <w:ilvl w:val="0"/>
          <w:numId w:val="1003"/>
        </w:numPr>
      </w:pPr>
      <w:r>
        <w:t xml:space="preserve">tbf: использовать алгоритм Token Bucket Filter;</w:t>
      </w:r>
    </w:p>
    <w:p>
      <w:pPr>
        <w:numPr>
          <w:ilvl w:val="0"/>
          <w:numId w:val="1003"/>
        </w:numPr>
      </w:pPr>
      <w:r>
        <w:t xml:space="preserve">rate: указать скорость передачи (10 Гбит/с);</w:t>
      </w:r>
    </w:p>
    <w:p>
      <w:pPr>
        <w:numPr>
          <w:ilvl w:val="0"/>
          <w:numId w:val="1003"/>
        </w:numPr>
      </w:pPr>
      <w:r>
        <w:t xml:space="preserve">burst: количество байтов, которое может поместиться в корзину (5 000</w:t>
      </w:r>
      <w:r>
        <w:t xml:space="preserve"> </w:t>
      </w:r>
      <w:r>
        <w:t xml:space="preserve">000);</w:t>
      </w:r>
    </w:p>
    <w:p>
      <w:pPr>
        <w:pStyle w:val="FirstParagraph"/>
      </w:pPr>
      <w:r>
        <w:t xml:space="preserve">– limit: размер очереди в байтах (15 000 000).</w:t>
      </w:r>
    </w:p>
    <w:p>
      <w:pPr>
        <w:pStyle w:val="BodyText"/>
      </w:pPr>
      <w:r>
        <w:t xml:space="preserve">Фильтр tbf требует установки значения всплеска при ограничении скорости.</w:t>
      </w:r>
      <w:r>
        <w:t xml:space="preserve"> </w:t>
      </w:r>
      <w:r>
        <w:t xml:space="preserve">Это значение должно быть достаточно высоким, чтобы обеспечить установленную скорость. Она должна быть не ниже указанной частоты, делённой на</w:t>
      </w:r>
      <w:r>
        <w:t xml:space="preserve"> </w:t>
      </w:r>
      <w:r>
        <w:t xml:space="preserve">HZ, где HZ — тактовая частота, настроенная как параметр ядра, и может быть</w:t>
      </w:r>
      <w:r>
        <w:t xml:space="preserve"> </w:t>
      </w:r>
      <w:r>
        <w:t xml:space="preserve">извлечена с помощью следующей команды (рис. 9):</w:t>
      </w:r>
    </w:p>
    <w:bookmarkStart w:id="59" w:name="fig:009"/>
    <w:p>
      <w:pPr>
        <w:pStyle w:val="CaptionedFigure"/>
      </w:pPr>
      <w:r>
        <w:drawing>
          <wp:inline>
            <wp:extent cx="3733800" cy="393275"/>
            <wp:effectExtent b="0" l="0" r="0" t="0"/>
            <wp:docPr descr="Рис. 9: Извлечение тактовой частоты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Извлечение тактовой частоты</w:t>
      </w:r>
    </w:p>
    <w:bookmarkEnd w:id="59"/>
    <w:p>
      <w:pPr>
        <w:pStyle w:val="BodyText"/>
      </w:pPr>
      <w:r>
        <w:t xml:space="preserve">Для расчёта значения всплеска (burst) необходимо скорость передачи (10</w:t>
      </w:r>
      <w:r>
        <w:t xml:space="preserve"> </w:t>
      </w:r>
      <w:r>
        <w:t xml:space="preserve">Гбит/с или 10 Gbps = 10,000,000,000 bps) разделить на полученное таким</w:t>
      </w:r>
      <w:r>
        <w:t xml:space="preserve"> </w:t>
      </w:r>
      <w:r>
        <w:t xml:space="preserve">образом значение HZ (на хосте h1 HZ = 250):</w:t>
      </w:r>
      <w:r>
        <w:t xml:space="preserve"> </w:t>
      </w:r>
      <w:r>
        <w:t xml:space="preserve">Burst = 10,000,000,000/250 = 40,000,000 bits = 40,000,000/8 bytes = 5,000,000</w:t>
      </w:r>
      <w:r>
        <w:t xml:space="preserve"> </w:t>
      </w:r>
      <w:r>
        <w:t xml:space="preserve">bytes.</w:t>
      </w:r>
    </w:p>
    <w:p>
      <w:pPr>
        <w:pStyle w:val="BodyText"/>
      </w:pPr>
      <w:r>
        <w:t xml:space="preserve">С помощью iPerf3 проверим, что значение пропускной способности изменилось.В терминале хоста h2 запустим iPerf3 в режиме сервера и в терминале хоста h1 запустим iPerf3 в режиме клиента (рис. 10):</w:t>
      </w:r>
    </w:p>
    <w:bookmarkStart w:id="63" w:name="fig:010"/>
    <w:p>
      <w:pPr>
        <w:pStyle w:val="CaptionedFigure"/>
      </w:pPr>
      <w:r>
        <w:drawing>
          <wp:inline>
            <wp:extent cx="3733800" cy="1155813"/>
            <wp:effectExtent b="0" l="0" r="0" t="0"/>
            <wp:docPr descr="Рис. 10: Запуск iPerf3 на обоих хостах в разных режимах на обоих хостах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iPerf3 на обоих хостах в разных режимах на обоих хостах</w:t>
      </w:r>
    </w:p>
    <w:bookmarkEnd w:id="63"/>
    <w:p>
      <w:pPr>
        <w:pStyle w:val="BodyText"/>
      </w:pPr>
      <w:r>
        <w:t xml:space="preserve">После завершения работы iPerf3 на хосте h1 остановим iPerf3 на хосте h2,</w:t>
      </w:r>
      <w:r>
        <w:t xml:space="preserve"> </w:t>
      </w:r>
      <w:r>
        <w:t xml:space="preserve">нажав Ctrl + c.</w:t>
      </w:r>
    </w:p>
    <w:p>
      <w:pPr>
        <w:pStyle w:val="BodyText"/>
      </w:pPr>
      <w:r>
        <w:t xml:space="preserve">Удалим модифицированную конфигурацию на хосте h1 (рис. 11):</w:t>
      </w:r>
    </w:p>
    <w:bookmarkStart w:id="67" w:name="fig:011"/>
    <w:p>
      <w:pPr>
        <w:pStyle w:val="CaptionedFigure"/>
      </w:pPr>
      <w:r>
        <w:drawing>
          <wp:inline>
            <wp:extent cx="3733800" cy="2250509"/>
            <wp:effectExtent b="0" l="0" r="0" t="0"/>
            <wp:docPr descr="Рис. 11: Удаление модифицированной конфигурации на хосте h1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модифицированной конфигурации на хосте h1</w:t>
      </w:r>
    </w:p>
    <w:bookmarkEnd w:id="67"/>
    <w:bookmarkEnd w:id="68"/>
    <w:bookmarkStart w:id="81" w:name="ограничение-скорости-на-коммутаторах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Ограничение скорости на коммутаторах</w:t>
      </w:r>
    </w:p>
    <w:p>
      <w:pPr>
        <w:pStyle w:val="FirstParagraph"/>
      </w:pPr>
      <w:r>
        <w:t xml:space="preserve">При ограничении скорости на интерфейсе s1-eth2 коммутатора s1 все сеансы связи между коммутатором s1 и коммутатором s2 будут фильтроваться</w:t>
      </w:r>
      <w:r>
        <w:t xml:space="preserve"> </w:t>
      </w:r>
      <w:r>
        <w:t xml:space="preserve">в соответствии с применяемыми правилами.</w:t>
      </w:r>
    </w:p>
    <w:p>
      <w:pPr>
        <w:pStyle w:val="BodyText"/>
      </w:pPr>
      <w:r>
        <w:t xml:space="preserve">Применим правило ограничения скорости tbf с параметрами rate = 10gbit,</w:t>
      </w:r>
      <w:r>
        <w:t xml:space="preserve"> </w:t>
      </w:r>
      <w:r>
        <w:t xml:space="preserve">burst = 5,000,000, limit= 15,000,000 к интерфейсу s1-eth2 коммутатора s1,</w:t>
      </w:r>
      <w:r>
        <w:t xml:space="preserve"> </w:t>
      </w:r>
      <w:r>
        <w:t xml:space="preserve">который соединяет его с коммутатором s2 (рис. 12):</w:t>
      </w:r>
    </w:p>
    <w:bookmarkStart w:id="72" w:name="fig:012"/>
    <w:p>
      <w:pPr>
        <w:pStyle w:val="CaptionedFigure"/>
      </w:pPr>
      <w:r>
        <w:drawing>
          <wp:inline>
            <wp:extent cx="3733800" cy="2237551"/>
            <wp:effectExtent b="0" l="0" r="0" t="0"/>
            <wp:docPr descr="Рис. 12: Применение правила ограничения скорост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Применение правила ограничения скорости</w:t>
      </w:r>
    </w:p>
    <w:bookmarkEnd w:id="72"/>
    <w:p>
      <w:pPr>
        <w:pStyle w:val="BodyText"/>
      </w:pPr>
      <w:r>
        <w:t xml:space="preserve">Проверим конфигурацию с помощью инструмента iperf3 для измерения</w:t>
      </w:r>
      <w:r>
        <w:t xml:space="preserve"> </w:t>
      </w:r>
      <w:r>
        <w:t xml:space="preserve">пропускной способности. В терминале хоста h2 запустим iPerf3 в режиме сервера и в терминале хоста h1 запустим iPerf3 в режиме клиента (рис. 13):</w:t>
      </w:r>
    </w:p>
    <w:bookmarkStart w:id="76" w:name="fig:013"/>
    <w:p>
      <w:pPr>
        <w:pStyle w:val="CaptionedFigure"/>
      </w:pPr>
      <w:r>
        <w:drawing>
          <wp:inline>
            <wp:extent cx="3733800" cy="1167985"/>
            <wp:effectExtent b="0" l="0" r="0" t="0"/>
            <wp:docPr descr="Рис. 13: Запуск iPerf3 на обоих хостах в разных режимах на обоих хостах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7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iPerf3 на обоих хостах в разных режимах на обоих хостах</w:t>
      </w:r>
    </w:p>
    <w:bookmarkEnd w:id="76"/>
    <w:p>
      <w:pPr>
        <w:pStyle w:val="BodyText"/>
      </w:pPr>
      <w:r>
        <w:t xml:space="preserve">После завершения работы iPerf3 на хосте h1 остановим iPerf3 на хосте h2,</w:t>
      </w:r>
      <w:r>
        <w:t xml:space="preserve"> </w:t>
      </w:r>
      <w:r>
        <w:t xml:space="preserve">нажав Ctrl + c.</w:t>
      </w:r>
    </w:p>
    <w:p>
      <w:pPr>
        <w:pStyle w:val="BodyText"/>
      </w:pPr>
      <w:r>
        <w:t xml:space="preserve">Удалим модифицированную конфигурацию на коммутаторе s1 (рис. 14):</w:t>
      </w:r>
    </w:p>
    <w:bookmarkStart w:id="80" w:name="fig:014"/>
    <w:p>
      <w:pPr>
        <w:pStyle w:val="CaptionedFigure"/>
      </w:pPr>
      <w:r>
        <w:drawing>
          <wp:inline>
            <wp:extent cx="3733800" cy="2263328"/>
            <wp:effectExtent b="0" l="0" r="0" t="0"/>
            <wp:docPr descr="Рис. 14: Удаление модифицированной конфигурации на s1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Удаление модифицированной конфигурации на s1</w:t>
      </w:r>
    </w:p>
    <w:bookmarkEnd w:id="80"/>
    <w:bookmarkEnd w:id="81"/>
    <w:bookmarkStart w:id="102" w:name="объединение-netem-и-tbf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Объединение NETEM и TBF</w:t>
      </w:r>
    </w:p>
    <w:p>
      <w:pPr>
        <w:pStyle w:val="FirstParagraph"/>
      </w:pPr>
      <w:r>
        <w:t xml:space="preserve">NETEM используется для изменения задержки, джиттера, повреждения пакетов и т.д. TBF может использоваться для ограничения скорости. Утилита tc</w:t>
      </w:r>
      <w:r>
        <w:t xml:space="preserve"> </w:t>
      </w:r>
      <w:r>
        <w:t xml:space="preserve">позволяет комбинировать несколько модулей. При этом первая дисциплина</w:t>
      </w:r>
      <w:r>
        <w:t xml:space="preserve"> </w:t>
      </w:r>
      <w:r>
        <w:t xml:space="preserve">очереди (qdisc1) присоединяется к корневой метке, последующие дисциплины</w:t>
      </w:r>
      <w:r>
        <w:t xml:space="preserve"> </w:t>
      </w:r>
      <w:r>
        <w:t xml:space="preserve">очереди можно прикрепить к своим родителям, указав правильную метку.</w:t>
      </w:r>
    </w:p>
    <w:p>
      <w:pPr>
        <w:pStyle w:val="BodyText"/>
      </w:pPr>
      <w:r>
        <w:t xml:space="preserve">Объединим NETEM и TBF, введя на интерфейсе s1-eth2 коммутатора s1</w:t>
      </w:r>
      <w:r>
        <w:t xml:space="preserve"> </w:t>
      </w:r>
      <w:r>
        <w:t xml:space="preserve">задержку, джиттер, повреждение пакетов и указав скорость (рис. 15):</w:t>
      </w:r>
    </w:p>
    <w:bookmarkStart w:id="85" w:name="fig:015"/>
    <w:p>
      <w:pPr>
        <w:pStyle w:val="CaptionedFigure"/>
      </w:pPr>
      <w:r>
        <w:drawing>
          <wp:inline>
            <wp:extent cx="3733800" cy="2275710"/>
            <wp:effectExtent b="0" l="0" r="0" t="0"/>
            <wp:docPr descr="Рис. 15: Объединение NETEM и TBF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Объединение NETEM и TBF</w:t>
      </w:r>
    </w:p>
    <w:bookmarkEnd w:id="85"/>
    <w:p>
      <w:pPr>
        <w:pStyle w:val="BodyText"/>
      </w:pPr>
      <w:r>
        <w:t xml:space="preserve">Здесь ключевое слово handle задаёт дескриптор подключения, имеющий</w:t>
      </w:r>
      <w:r>
        <w:t xml:space="preserve"> </w:t>
      </w:r>
      <w:r>
        <w:t xml:space="preserve">смысл очерёдности подключения разных дисциплин qdisc.</w:t>
      </w:r>
    </w:p>
    <w:p>
      <w:pPr>
        <w:pStyle w:val="BodyText"/>
      </w:pPr>
      <w:r>
        <w:t xml:space="preserve">Убедимся, что соединение от хоста h1 к хосту h2 имеет заданную задержку.</w:t>
      </w:r>
      <w:r>
        <w:t xml:space="preserve"> </w:t>
      </w:r>
      <w:r>
        <w:t xml:space="preserve">Для этого запустим команду ping с параметром -c 4 с терминала хоста h1 (рис. 16):</w:t>
      </w:r>
    </w:p>
    <w:bookmarkStart w:id="89" w:name="fig:016"/>
    <w:p>
      <w:pPr>
        <w:pStyle w:val="CaptionedFigure"/>
      </w:pPr>
      <w:r>
        <w:drawing>
          <wp:inline>
            <wp:extent cx="3733800" cy="1236964"/>
            <wp:effectExtent b="0" l="0" r="0" t="0"/>
            <wp:docPr descr="Рис. 16: Проверка соединения от хоста h1 к хосту h2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соединения от хоста h1 к хосту h2</w:t>
      </w:r>
    </w:p>
    <w:bookmarkEnd w:id="89"/>
    <w:p>
      <w:pPr>
        <w:pStyle w:val="BodyText"/>
      </w:pPr>
      <w:r>
        <w:t xml:space="preserve">Добавим второе правило на коммутаторе s1, которое задаёт ограниче-</w:t>
      </w:r>
      <w:r>
        <w:t xml:space="preserve"> </w:t>
      </w:r>
      <w:r>
        <w:t xml:space="preserve">ние скорости с помощью tbf с параметрами rate=2gbit, burst=1,000,000,</w:t>
      </w:r>
      <w:r>
        <w:t xml:space="preserve"> </w:t>
      </w:r>
      <w:r>
        <w:t xml:space="preserve">limit=2,000,000 (рис. 17):</w:t>
      </w:r>
    </w:p>
    <w:bookmarkStart w:id="93" w:name="fig:017"/>
    <w:p>
      <w:pPr>
        <w:pStyle w:val="CaptionedFigure"/>
      </w:pPr>
      <w:r>
        <w:drawing>
          <wp:inline>
            <wp:extent cx="3733800" cy="2305215"/>
            <wp:effectExtent b="0" l="0" r="0" t="0"/>
            <wp:docPr descr="Рис. 17: Добавление второго правила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Добавление второго правила</w:t>
      </w:r>
    </w:p>
    <w:bookmarkEnd w:id="93"/>
    <w:p>
      <w:pPr>
        <w:pStyle w:val="BodyText"/>
      </w:pPr>
      <w:r>
        <w:t xml:space="preserve">Проверим конфигурацию с помощью инструмента iperf3 для измерения</w:t>
      </w:r>
      <w:r>
        <w:t xml:space="preserve"> </w:t>
      </w:r>
      <w:r>
        <w:t xml:space="preserve">пропускной способности. В терминале хоста h2 запустим iPerf3 в режиме сервера и в терминале хоста h1 запустим iPerf3 в режиме клиента (рис. 18):</w:t>
      </w:r>
    </w:p>
    <w:bookmarkStart w:id="97" w:name="fig:018"/>
    <w:p>
      <w:pPr>
        <w:pStyle w:val="CaptionedFigure"/>
      </w:pPr>
      <w:r>
        <w:drawing>
          <wp:inline>
            <wp:extent cx="3733800" cy="1168882"/>
            <wp:effectExtent b="0" l="0" r="0" t="0"/>
            <wp:docPr descr="Рис. 18: Запуск iPerf3 на обоих хостах в разных режимах на обоих хостах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iPerf3 на обоих хостах в разных режимах на обоих хостах</w:t>
      </w:r>
    </w:p>
    <w:bookmarkEnd w:id="97"/>
    <w:p>
      <w:pPr>
        <w:pStyle w:val="BodyText"/>
      </w:pPr>
      <w:r>
        <w:t xml:space="preserve">После завершения работы iPerf3 на хосте h1 остановим iPerf3 на хосте h2,</w:t>
      </w:r>
      <w:r>
        <w:t xml:space="preserve"> </w:t>
      </w:r>
      <w:r>
        <w:t xml:space="preserve">нажав Ctrl + c.</w:t>
      </w:r>
    </w:p>
    <w:p>
      <w:pPr>
        <w:pStyle w:val="BodyText"/>
      </w:pPr>
      <w:r>
        <w:t xml:space="preserve">Удалим модифицированную конфигурацию на коммутаторе s1 (рис. 19):</w:t>
      </w:r>
    </w:p>
    <w:bookmarkStart w:id="101" w:name="fig:019"/>
    <w:p>
      <w:pPr>
        <w:pStyle w:val="CaptionedFigure"/>
      </w:pPr>
      <w:r>
        <w:drawing>
          <wp:inline>
            <wp:extent cx="3733800" cy="2310288"/>
            <wp:effectExtent b="0" l="0" r="0" t="0"/>
            <wp:docPr descr="Рис. 19: Удаление модифицированной конфигурации на s1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Удаление модифицированной конфигурации на s1</w:t>
      </w:r>
    </w:p>
    <w:bookmarkEnd w:id="101"/>
    <w:bookmarkEnd w:id="102"/>
    <w:bookmarkEnd w:id="103"/>
    <w:bookmarkStart w:id="132" w:name="воспроизводимые-эксперимент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Воспроизводимые эксперименты</w:t>
      </w:r>
    </w:p>
    <w:p>
      <w:pPr>
        <w:pStyle w:val="FirstParagraph"/>
      </w:pPr>
      <w:r>
        <w:t xml:space="preserve">Самостоятельно реализуйте воспроизводимые эксперименты по использованию 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p>
      <w:pPr>
        <w:pStyle w:val="BodyText"/>
      </w:pPr>
      <w:r>
        <w:t xml:space="preserve">Создадим каталог, где будем проводить наш эксперимент и перейдем в него (рис. 20):</w:t>
      </w:r>
    </w:p>
    <w:bookmarkStart w:id="107" w:name="fig:020"/>
    <w:p>
      <w:pPr>
        <w:pStyle w:val="CaptionedFigure"/>
      </w:pPr>
      <w:r>
        <w:drawing>
          <wp:inline>
            <wp:extent cx="3733800" cy="430103"/>
            <wp:effectExtent b="0" l="0" r="0" t="0"/>
            <wp:docPr descr="Рис. 20: Создание каталога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каталога</w:t>
      </w:r>
    </w:p>
    <w:bookmarkEnd w:id="107"/>
    <w:p>
      <w:pPr>
        <w:pStyle w:val="BodyText"/>
      </w:pPr>
      <w:r>
        <w:t xml:space="preserve">Создадим скрипт, реализующий наш воспроизводимый эксперимент (рис. 21):</w:t>
      </w:r>
    </w:p>
    <w:bookmarkStart w:id="111" w:name="fig:021"/>
    <w:p>
      <w:pPr>
        <w:pStyle w:val="CaptionedFigure"/>
      </w:pPr>
      <w:r>
        <w:drawing>
          <wp:inline>
            <wp:extent cx="3733800" cy="4012441"/>
            <wp:effectExtent b="0" l="0" r="0" t="0"/>
            <wp:docPr descr="Рис. 21: Скрипт lab_netem_iii.py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2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Скрипт lab_netem_iii.py</w:t>
      </w:r>
    </w:p>
    <w:bookmarkEnd w:id="111"/>
    <w:p>
      <w:pPr>
        <w:pStyle w:val="BodyText"/>
      </w:pPr>
      <w:r>
        <w:t xml:space="preserve">Создадим Makefile (рис. 22):</w:t>
      </w:r>
    </w:p>
    <w:bookmarkStart w:id="115" w:name="fig:022"/>
    <w:p>
      <w:pPr>
        <w:pStyle w:val="CaptionedFigure"/>
      </w:pPr>
      <w:r>
        <w:drawing>
          <wp:inline>
            <wp:extent cx="3733800" cy="1321190"/>
            <wp:effectExtent b="0" l="0" r="0" t="0"/>
            <wp:docPr descr="Рис. 22: Создание Makefile" title="" id="113" name="Picture"/>
            <a:graphic>
              <a:graphicData uri="http://schemas.openxmlformats.org/drawingml/2006/picture">
                <pic:pic>
                  <pic:nvPicPr>
                    <pic:cNvPr descr="image/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Makefile</w:t>
      </w:r>
    </w:p>
    <w:bookmarkEnd w:id="115"/>
    <w:p>
      <w:pPr>
        <w:pStyle w:val="BodyText"/>
      </w:pPr>
      <w:r>
        <w:t xml:space="preserve">Создадим ping_plot (рис. 23):</w:t>
      </w:r>
    </w:p>
    <w:bookmarkStart w:id="119" w:name="fig:023"/>
    <w:p>
      <w:pPr>
        <w:pStyle w:val="CaptionedFigure"/>
      </w:pPr>
      <w:r>
        <w:drawing>
          <wp:inline>
            <wp:extent cx="3733800" cy="949599"/>
            <wp:effectExtent b="0" l="0" r="0" t="0"/>
            <wp:docPr descr="Рис. 23: Создание ping_plot" title="" id="117" name="Picture"/>
            <a:graphic>
              <a:graphicData uri="http://schemas.openxmlformats.org/drawingml/2006/picture">
                <pic:pic>
                  <pic:nvPicPr>
                    <pic:cNvPr descr="image/2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ping_plot</w:t>
      </w:r>
    </w:p>
    <w:bookmarkEnd w:id="119"/>
    <w:p>
      <w:pPr>
        <w:pStyle w:val="BodyText"/>
      </w:pPr>
      <w:r>
        <w:t xml:space="preserve">Теперь запустим эксперимент и дождемся его окончания. Просмотрим содержимо нашего каталого после запуска эксперимента (рис. 24):</w:t>
      </w:r>
    </w:p>
    <w:bookmarkStart w:id="123" w:name="fig:024"/>
    <w:p>
      <w:pPr>
        <w:pStyle w:val="CaptionedFigure"/>
      </w:pPr>
      <w:r>
        <w:drawing>
          <wp:inline>
            <wp:extent cx="3733800" cy="3241320"/>
            <wp:effectExtent b="0" l="0" r="0" t="0"/>
            <wp:docPr descr="Рис. 24: Запуск скрипта и получение файлов" title="" id="121" name="Picture"/>
            <a:graphic>
              <a:graphicData uri="http://schemas.openxmlformats.org/drawingml/2006/picture">
                <pic:pic>
                  <pic:nvPicPr>
                    <pic:cNvPr descr="image/2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Запуск скрипта и получение файлов</w:t>
      </w:r>
    </w:p>
    <w:bookmarkEnd w:id="123"/>
    <w:p>
      <w:pPr>
        <w:pStyle w:val="BodyText"/>
      </w:pPr>
      <w:r>
        <w:t xml:space="preserve">Для открытия, полученного графика воспользуемся geeqie (рис. 25):</w:t>
      </w:r>
    </w:p>
    <w:bookmarkStart w:id="127" w:name="fig:025"/>
    <w:p>
      <w:pPr>
        <w:pStyle w:val="CaptionedFigure"/>
      </w:pPr>
      <w:r>
        <w:drawing>
          <wp:inline>
            <wp:extent cx="3733800" cy="420879"/>
            <wp:effectExtent b="0" l="0" r="0" t="0"/>
            <wp:docPr descr="Рис. 25: Запуск geeqie" title="" id="125" name="Picture"/>
            <a:graphic>
              <a:graphicData uri="http://schemas.openxmlformats.org/drawingml/2006/picture">
                <pic:pic>
                  <pic:nvPicPr>
                    <pic:cNvPr descr="image/2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geeqie</w:t>
      </w:r>
    </w:p>
    <w:bookmarkEnd w:id="127"/>
    <w:bookmarkStart w:id="131" w:name="fig:026"/>
    <w:p>
      <w:pPr>
        <w:pStyle w:val="CaptionedFigure"/>
      </w:pPr>
      <w:r>
        <w:drawing>
          <wp:inline>
            <wp:extent cx="3733800" cy="3101582"/>
            <wp:effectExtent b="0" l="0" r="0" t="0"/>
            <wp:docPr descr="Рис. 26: Финальный график" title="" id="129" name="Picture"/>
            <a:graphic>
              <a:graphicData uri="http://schemas.openxmlformats.org/drawingml/2006/picture">
                <pic:pic>
                  <pic:nvPicPr>
                    <pic:cNvPr descr="image/2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Финальный график</w:t>
      </w:r>
    </w:p>
    <w:bookmarkEnd w:id="131"/>
    <w:bookmarkEnd w:id="132"/>
    <w:bookmarkEnd w:id="133"/>
    <w:bookmarkStart w:id="13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принципами работы дисциплины очереди Token Bucket Filter, которая формирует входящий/исходящий трафик для ограничения пропускной способности, а также получила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Настройка пропускной способности глобальной сети с помощью Token Bucket Filter</dc:title>
  <dc:creator>Абакумова Олеся Максимовна, НФИбд-02-22</dc:creator>
  <dc:language>ru-RU</dc:language>
  <cp:keywords/>
  <dcterms:created xsi:type="dcterms:W3CDTF">2025-11-17T15:10:50Z</dcterms:created>
  <dcterms:modified xsi:type="dcterms:W3CDTF">2025-11-17T15:10:50Z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