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295da7d8d563d75623cd7da60251241126ac06c"/>
    <w:p>
      <w:pPr>
        <w:pStyle w:val="Heading1"/>
      </w:pPr>
      <w:r>
        <w:t xml:space="preserve">Identifiability Analysis Case Studies (5–30 Parameter Models)</w:t>
      </w:r>
    </w:p>
    <w:bookmarkStart w:id="25" w:name="X92ff5b37f5086159a246969ff7dd42d8ec8bf5d"/>
    <w:p>
      <w:pPr>
        <w:pStyle w:val="Heading2"/>
      </w:pPr>
      <w:r>
        <w:t xml:space="preserve">HIV Dynamics Model (≈10 parameters, Virology)</w:t>
      </w:r>
    </w:p>
    <w:p>
      <w:pPr>
        <w:pStyle w:val="FirstParagraph"/>
      </w:pPr>
      <w:r>
        <w:rPr>
          <w:b/>
          <w:bCs/>
        </w:rPr>
        <w:t xml:space="preserve">Description:</w:t>
      </w:r>
      <w:r>
        <w:t xml:space="preserve"> </w:t>
      </w:r>
      <w:r>
        <w:t xml:space="preserve">A four-compartment HIV/AIDS dynamical model (uninfected CD4 cells, latently infected cells, actively infected cells, free virus) with about 8–10 unknown parameters (infection rates, transition rates, production/clearance rates, etc.) has been a classic test for structural identifiability</w:t>
      </w:r>
      <w:hyperlink r:id="rId21">
        <w:r>
          <w:rPr>
            <w:rStyle w:val="Hyperlink"/>
          </w:rPr>
          <w:t xml:space="preserve">[1]</w:t>
        </w:r>
      </w:hyperlink>
      <w:r>
        <w:t xml:space="preserve">. This nonlinear ODE model is</w:t>
      </w:r>
      <w:r>
        <w:t xml:space="preserve"> </w:t>
      </w:r>
      <w:r>
        <w:rPr>
          <w:b/>
          <w:bCs/>
        </w:rPr>
        <w:t xml:space="preserve">initially structurally unidentifiable</w:t>
      </w:r>
      <w:r>
        <w:t xml:space="preserve"> </w:t>
      </w:r>
      <w:r>
        <w:t xml:space="preserve">– several parameters cannot be determined uniquely from output data alone.</w:t>
      </w:r>
    </w:p>
    <w:p>
      <w:pPr>
        <w:pStyle w:val="BodyText"/>
      </w:pPr>
      <w:r>
        <w:rPr>
          <w:b/>
          <w:bCs/>
        </w:rPr>
        <w:t xml:space="preserve">Identifiability issues:</w:t>
      </w:r>
      <w:r>
        <w:t xml:space="preserve"> </w:t>
      </w:r>
      <w:r>
        <w:t xml:space="preserve">Analysis revealed that only certain combinations of parameters could be uniquely determined. For example, the infection rate (β), healthy cell death rate (d), and source rate (s) are individually identifiable, as is the product of two virus-related parameters (e.g. a production rate $q_2$ times an infection coefficient $k_2$)</w:t>
      </w:r>
      <w:hyperlink r:id="rId22">
        <w:r>
          <w:rPr>
            <w:rStyle w:val="Hyperlink"/>
          </w:rPr>
          <w:t xml:space="preserve">[2]</w:t>
        </w:r>
      </w:hyperlink>
      <w:r>
        <w:t xml:space="preserve">. In contrast, other parameters appear only in inseparable combinations – e.g. $q_1 \cdot k_1 \cdot k_2$ (the product of a latent infection rate and two other rates) or a sum like $(\mu_1 + k_1)$ – meaning those parameters can only be estimated as a combined entity, not individually</w:t>
      </w:r>
      <w:hyperlink r:id="rId22">
        <w:r>
          <w:rPr>
            <w:rStyle w:val="Hyperlink"/>
          </w:rPr>
          <w:t xml:space="preserve">[2]</w:t>
        </w:r>
      </w:hyperlink>
      <w:r>
        <w:t xml:space="preserve">. Without additional information, multiple distinct parameter sets produce the same outputs (local identifiability with finite solution “symmetries” in the parameters</w:t>
      </w:r>
      <w:hyperlink r:id="rId23">
        <w:r>
          <w:rPr>
            <w:rStyle w:val="Hyperlink"/>
          </w:rPr>
          <w:t xml:space="preserve">[3]</w:t>
        </w:r>
      </w:hyperlink>
      <w:r>
        <w:t xml:space="preserve">).</w:t>
      </w:r>
    </w:p>
    <w:p>
      <w:pPr>
        <w:pStyle w:val="BodyText"/>
      </w:pPr>
      <w:r>
        <w:rPr>
          <w:b/>
          <w:bCs/>
        </w:rPr>
        <w:t xml:space="preserve">Techniques used:</w:t>
      </w:r>
      <w:r>
        <w:t xml:space="preserve"> </w:t>
      </w:r>
      <w:r>
        <w:rPr>
          <w:i/>
          <w:iCs/>
        </w:rPr>
        <w:t xml:space="preserve">Differential algebra</w:t>
      </w:r>
      <w:r>
        <w:t xml:space="preserve"> </w:t>
      </w:r>
      <w:r>
        <w:t xml:space="preserve">methods (the DAISY software and the COMBOS algorithm) were applied to find identifiable parameter combinations in this model</w:t>
      </w:r>
      <w:hyperlink r:id="rId23">
        <w:r>
          <w:rPr>
            <w:rStyle w:val="Hyperlink"/>
          </w:rPr>
          <w:t xml:space="preserve">[3]</w:t>
        </w:r>
      </w:hyperlink>
      <w:r>
        <w:t xml:space="preserve">. By computing input–output equations and Gröbner bases, these tools identified which parameters are globally or locally identifiable and provided explicit algebraic relationships for the unidentifiable subset</w:t>
      </w:r>
      <w:hyperlink r:id="rId23">
        <w:r>
          <w:rPr>
            <w:rStyle w:val="Hyperlink"/>
          </w:rPr>
          <w:t xml:space="preserve">[3]</w:t>
        </w:r>
      </w:hyperlink>
      <w:r>
        <w:t xml:space="preserve">. In particular, COMBOS could automatically extract the identifiable combinations (such as the products mentioned above) and determine the number of distinct parameter solution sets</w:t>
      </w:r>
      <w:hyperlink r:id="rId23">
        <w:r>
          <w:rPr>
            <w:rStyle w:val="Hyperlink"/>
          </w:rPr>
          <w:t xml:space="preserve">[3]</w:t>
        </w:r>
      </w:hyperlink>
      <w:r>
        <w:t xml:space="preserve">. This allowed a reparameterization of the HIV model in terms of identifiable combinations, as demonstrated in the literature</w:t>
      </w:r>
      <w:hyperlink r:id="rId22">
        <w:r>
          <w:rPr>
            <w:rStyle w:val="Hyperlink"/>
          </w:rPr>
          <w:t xml:space="preserve">[2]</w:t>
        </w:r>
      </w:hyperlink>
      <w:r>
        <w:t xml:space="preserve">.</w:t>
      </w:r>
    </w:p>
    <w:p>
      <w:pPr>
        <w:pStyle w:val="BodyText"/>
      </w:pPr>
      <w:r>
        <w:rPr>
          <w:b/>
          <w:bCs/>
        </w:rPr>
        <w:t xml:space="preserve">Result:</w:t>
      </w:r>
      <w:r>
        <w:t xml:space="preserve"> </w:t>
      </w:r>
      <w:r>
        <w:t xml:space="preserve">The HIV model serves as a rigorous example where</w:t>
      </w:r>
      <w:r>
        <w:t xml:space="preserve"> </w:t>
      </w:r>
      <w:r>
        <w:rPr>
          <w:b/>
          <w:bCs/>
        </w:rPr>
        <w:t xml:space="preserve">structural identifiability analysis</w:t>
      </w:r>
      <w:r>
        <w:t xml:space="preserve"> </w:t>
      </w:r>
      <w:r>
        <w:t xml:space="preserve">uncovers that individual rate constants are not all recoverable – instead, biologically interpretable combinations (like products of infection and production rates) are identifiable</w:t>
      </w:r>
      <w:hyperlink r:id="rId22">
        <w:r>
          <w:rPr>
            <w:rStyle w:val="Hyperlink"/>
          </w:rPr>
          <w:t xml:space="preserve">[2]</w:t>
        </w:r>
      </w:hyperlink>
      <w:r>
        <w:t xml:space="preserve">. Identifiability was improved by recognizing these combinations; for instance, certain rate-product terms can be treated as single effective parameters that are uniquely estimated</w:t>
      </w:r>
      <w:hyperlink r:id="rId22">
        <w:r>
          <w:rPr>
            <w:rStyle w:val="Hyperlink"/>
          </w:rPr>
          <w:t xml:space="preserve">[2]</w:t>
        </w:r>
      </w:hyperlink>
      <w:r>
        <w:t xml:space="preserve">. This case is widely cited in identifiability studies (e.g. Saccomani</w:t>
      </w:r>
      <w:r>
        <w:t xml:space="preserve"> </w:t>
      </w:r>
      <w:r>
        <w:rPr>
          <w:i/>
          <w:iCs/>
        </w:rPr>
        <w:t xml:space="preserve">et al.</w:t>
      </w:r>
      <w:r>
        <w:t xml:space="preserve">, 2011) and is included as a benchmark example in identifiability toolkits</w:t>
      </w:r>
      <w:hyperlink r:id="rId21">
        <w:r>
          <w:rPr>
            <w:rStyle w:val="Hyperlink"/>
          </w:rPr>
          <w:t xml:space="preserve">[1]</w:t>
        </w:r>
      </w:hyperlink>
      <w:hyperlink r:id="rId24">
        <w:r>
          <w:rPr>
            <w:rStyle w:val="Hyperlink"/>
          </w:rPr>
          <w:t xml:space="preserve">[4]</w:t>
        </w:r>
      </w:hyperlink>
      <w:r>
        <w:t xml:space="preserve">.</w:t>
      </w:r>
    </w:p>
    <w:p>
      <w:pPr>
        <w:pStyle w:val="BodyText"/>
      </w:pPr>
      <w:r>
        <w:rPr>
          <w:b/>
          <w:bCs/>
        </w:rPr>
        <w:t xml:space="preserve">Source:</w:t>
      </w:r>
      <w:r>
        <w:t xml:space="preserve"> </w:t>
      </w:r>
      <w:r>
        <w:t xml:space="preserve">Saccomani</w:t>
      </w:r>
      <w:r>
        <w:t xml:space="preserve"> </w:t>
      </w:r>
      <w:r>
        <w:rPr>
          <w:i/>
          <w:iCs/>
        </w:rPr>
        <w:t xml:space="preserve">et al.</w:t>
      </w:r>
      <w:r>
        <w:t xml:space="preserve">,</w:t>
      </w:r>
      <w:r>
        <w:t xml:space="preserve"> </w:t>
      </w:r>
      <w:r>
        <w:rPr>
          <w:b/>
          <w:bCs/>
        </w:rPr>
        <w:t xml:space="preserve">Bull. Math. Biol.</w:t>
      </w:r>
      <w:r>
        <w:t xml:space="preserve"> </w:t>
      </w:r>
      <w:r>
        <w:t xml:space="preserve">2011 (HIV model identifiability)</w:t>
      </w:r>
      <w:hyperlink r:id="rId24">
        <w:r>
          <w:rPr>
            <w:rStyle w:val="Hyperlink"/>
          </w:rPr>
          <w:t xml:space="preserve">[4]</w:t>
        </w:r>
      </w:hyperlink>
      <w:r>
        <w:t xml:space="preserve">; Meshkat</w:t>
      </w:r>
      <w:r>
        <w:t xml:space="preserve"> </w:t>
      </w:r>
      <w:r>
        <w:rPr>
          <w:i/>
          <w:iCs/>
        </w:rPr>
        <w:t xml:space="preserve">et al.</w:t>
      </w:r>
      <w:r>
        <w:t xml:space="preserve">,</w:t>
      </w:r>
      <w:r>
        <w:t xml:space="preserve"> </w:t>
      </w:r>
      <w:r>
        <w:rPr>
          <w:b/>
          <w:bCs/>
        </w:rPr>
        <w:t xml:space="preserve">PLoS ONE</w:t>
      </w:r>
      <w:r>
        <w:t xml:space="preserve"> </w:t>
      </w:r>
      <w:r>
        <w:t xml:space="preserve">2014 (COMBOS analysis)</w:t>
      </w:r>
      <w:hyperlink r:id="rId21">
        <w:r>
          <w:rPr>
            <w:rStyle w:val="Hyperlink"/>
          </w:rPr>
          <w:t xml:space="preserve">[1]</w:t>
        </w:r>
      </w:hyperlink>
      <w:r>
        <w:t xml:space="preserve">.</w:t>
      </w:r>
    </w:p>
    <w:bookmarkEnd w:id="25"/>
    <w:bookmarkStart w:id="32" w:name="X75aee0efea17cfd73c50c476eafd3edc3ba46ab"/>
    <w:p>
      <w:pPr>
        <w:pStyle w:val="Heading2"/>
      </w:pPr>
      <w:r>
        <w:t xml:space="preserve">Pharmacokinetic Two-Compartment Model (7 parameters, Pharmacology)</w:t>
      </w:r>
    </w:p>
    <w:p>
      <w:pPr>
        <w:pStyle w:val="FirstParagraph"/>
      </w:pPr>
      <w:r>
        <w:rPr>
          <w:b/>
          <w:bCs/>
        </w:rPr>
        <w:t xml:space="preserve">Description:</w:t>
      </w:r>
      <w:r>
        <w:t xml:space="preserve"> </w:t>
      </w:r>
      <w:r>
        <w:t xml:space="preserve">Multi-compartment pharmacokinetic (PK) models are another standard testbed. One example is a</w:t>
      </w:r>
      <w:r>
        <w:t xml:space="preserve"> </w:t>
      </w:r>
      <w:r>
        <w:rPr>
          <w:b/>
          <w:bCs/>
        </w:rPr>
        <w:t xml:space="preserve">two-compartment model with nonlinear kinetics</w:t>
      </w:r>
      <w:r>
        <w:t xml:space="preserve"> </w:t>
      </w:r>
      <w:r>
        <w:t xml:space="preserve">(e.g. saturable enzymatic clearance or receptor-mediated uptake) involving ~7 parameters</w:t>
      </w:r>
      <w:hyperlink r:id="rId26">
        <w:r>
          <w:rPr>
            <w:rStyle w:val="Hyperlink"/>
          </w:rPr>
          <w:t xml:space="preserve">[5]</w:t>
        </w:r>
      </w:hyperlink>
      <w:r>
        <w:t xml:space="preserve">. In a typical setup, drug moves between a central compartment and a peripheral compartment with rate constants (e.g. $k_{12}, k_{21}$), is eliminated from the central compartment (rate $k_{01}$ or $k_{02}$), and possibly follows Michaelis–Menten kinetics (parameters $V_{\max}, K_m$) for part of the clearance or distribution. An input term (e.g. dosing rate $b_1$) and an output measurement proportional to central concentration ($c_1$) are included</w:t>
      </w:r>
      <w:hyperlink r:id="rId27">
        <w:r>
          <w:rPr>
            <w:rStyle w:val="Hyperlink"/>
          </w:rPr>
          <w:t xml:space="preserve">[6]</w:t>
        </w:r>
      </w:hyperlink>
      <w:hyperlink r:id="rId28">
        <w:r>
          <w:rPr>
            <w:rStyle w:val="Hyperlink"/>
          </w:rPr>
          <w:t xml:space="preserve">[7]</w:t>
        </w:r>
      </w:hyperlink>
      <w:r>
        <w:t xml:space="preserve">.</w:t>
      </w:r>
    </w:p>
    <w:p>
      <w:pPr>
        <w:pStyle w:val="BodyText"/>
      </w:pPr>
      <w:r>
        <w:rPr>
          <w:b/>
          <w:bCs/>
        </w:rPr>
        <w:t xml:space="preserve">Identifiability issues:</w:t>
      </w:r>
      <w:r>
        <w:t xml:space="preserve"> </w:t>
      </w:r>
      <w:r>
        <w:t xml:space="preserve">This nonlinear PK model as originally formulated is</w:t>
      </w:r>
      <w:r>
        <w:t xml:space="preserve"> </w:t>
      </w:r>
      <w:r>
        <w:rPr>
          <w:b/>
          <w:bCs/>
        </w:rPr>
        <w:t xml:space="preserve">structurally unidentifiable</w:t>
      </w:r>
      <w:r>
        <w:t xml:space="preserve"> </w:t>
      </w:r>
      <w:r>
        <w:t xml:space="preserve">– many parameters enter the equations only in coupled ways. As a result, only certain</w:t>
      </w:r>
      <w:r>
        <w:t xml:space="preserve"> </w:t>
      </w:r>
      <w:r>
        <w:rPr>
          <w:b/>
          <w:bCs/>
        </w:rPr>
        <w:t xml:space="preserve">combinations</w:t>
      </w:r>
      <w:r>
        <w:t xml:space="preserve"> </w:t>
      </w:r>
      <w:r>
        <w:t xml:space="preserve">of the parameters can be inferred from concentration–time data. For instance, the product of the input scaling and output scaling ($b_1 \cdot c_1$) is identifiable (since only the product influences measured concentrations), as is the product of certain rate constants (e.g. $k_{02} \cdot k_{12}$)</w:t>
      </w:r>
      <w:hyperlink r:id="rId28">
        <w:r>
          <w:rPr>
            <w:rStyle w:val="Hyperlink"/>
          </w:rPr>
          <w:t xml:space="preserve">[7]</w:t>
        </w:r>
      </w:hyperlink>
      <w:r>
        <w:t xml:space="preserve">. Likewise, combinations involving the saturable clearance appear (e.g. terms proportional to $k_{12}\cdot k_{21}\cdot V_{\max}^2$, or $c_1 \cdot V_{\max}$, etc.), whereas $V_{\max}$ and other parameters by themselves are not uniquely estimable</w:t>
      </w:r>
      <w:hyperlink r:id="rId27">
        <w:r>
          <w:rPr>
            <w:rStyle w:val="Hyperlink"/>
          </w:rPr>
          <w:t xml:space="preserve">[6]</w:t>
        </w:r>
      </w:hyperlink>
      <w:r>
        <w:t xml:space="preserve">. In essence, multiple distinct sets of ${k_{12}, k_{21}, V_{\max}, K_m, ...}$ can fit the data equally well, because only aggregated expressions (like effective clearance or volume terms) matter for the output.</w:t>
      </w:r>
    </w:p>
    <w:p>
      <w:pPr>
        <w:pStyle w:val="BodyText"/>
      </w:pPr>
      <w:r>
        <w:rPr>
          <w:b/>
          <w:bCs/>
        </w:rPr>
        <w:t xml:space="preserve">Techniques used:</w:t>
      </w:r>
      <w:r>
        <w:t xml:space="preserve"> </w:t>
      </w:r>
      <w:r>
        <w:rPr>
          <w:i/>
          <w:iCs/>
        </w:rPr>
        <w:t xml:space="preserve">Symbolic identifiability analysis</w:t>
      </w:r>
      <w:r>
        <w:t xml:space="preserve"> </w:t>
      </w:r>
      <w:r>
        <w:t xml:space="preserve">via differential algebra (Gröbner bases) was used to determine the independent identifiable combinations</w:t>
      </w:r>
      <w:hyperlink r:id="rId26">
        <w:r>
          <w:rPr>
            <w:rStyle w:val="Hyperlink"/>
          </w:rPr>
          <w:t xml:space="preserve">[5]</w:t>
        </w:r>
      </w:hyperlink>
      <w:hyperlink r:id="rId27">
        <w:r>
          <w:rPr>
            <w:rStyle w:val="Hyperlink"/>
          </w:rPr>
          <w:t xml:space="preserve">[6]</w:t>
        </w:r>
      </w:hyperlink>
      <w:r>
        <w:t xml:space="preserve">. Meshkat and DiStefano’s algorithm (and the COMBOS tool) systematically searched for “decoupled” polynomial combinations of parameters that appear in the model’s input–output equations</w:t>
      </w:r>
      <w:hyperlink r:id="rId29">
        <w:r>
          <w:rPr>
            <w:rStyle w:val="Hyperlink"/>
          </w:rPr>
          <w:t xml:space="preserve">[8]</w:t>
        </w:r>
      </w:hyperlink>
      <w:hyperlink r:id="rId28">
        <w:r>
          <w:rPr>
            <w:rStyle w:val="Hyperlink"/>
          </w:rPr>
          <w:t xml:space="preserve">[7]</w:t>
        </w:r>
      </w:hyperlink>
      <w:r>
        <w:t xml:space="preserve">. By trying various eliminations orderings, they found a minimal set of algebraically independent combinations that reparameterize the model</w:t>
      </w:r>
      <w:hyperlink r:id="rId29">
        <w:r>
          <w:rPr>
            <w:rStyle w:val="Hyperlink"/>
          </w:rPr>
          <w:t xml:space="preserve">[8]</w:t>
        </w:r>
      </w:hyperlink>
      <w:hyperlink r:id="rId27">
        <w:r>
          <w:rPr>
            <w:rStyle w:val="Hyperlink"/>
          </w:rPr>
          <w:t xml:space="preserve">[6]</w:t>
        </w:r>
      </w:hyperlink>
      <w:r>
        <w:t xml:space="preserve">. In this PK example,</w:t>
      </w:r>
      <w:r>
        <w:t xml:space="preserve"> </w:t>
      </w:r>
      <w:r>
        <w:rPr>
          <w:b/>
          <w:bCs/>
        </w:rPr>
        <w:t xml:space="preserve">five identifiable combinations</w:t>
      </w:r>
      <w:r>
        <w:t xml:space="preserve"> </w:t>
      </w:r>
      <w:r>
        <w:t xml:space="preserve">were found (since 7 original parameters minus 2 unidentifiable degrees of freedom = 5). These included the aggregate rate constants and products noted above (e.g. $b_1c_1$, $k_{02}k_{12}$, and other compound terms involving $k_{12}, k_{21}, V_{\max}, K_m$)</w:t>
      </w:r>
      <w:hyperlink r:id="rId27">
        <w:r>
          <w:rPr>
            <w:rStyle w:val="Hyperlink"/>
          </w:rPr>
          <w:t xml:space="preserve">[6]</w:t>
        </w:r>
      </w:hyperlink>
      <w:r>
        <w:t xml:space="preserve">. Traditional methods (e.g. examining transfer functions for linear compartments) also indicate that without measuring the peripheral compartment or knowing certain volumes, only combined parameters (like an overall clearance or volume ratio) can be determined – a consistent result with the symbolic approach.</w:t>
      </w:r>
    </w:p>
    <w:p>
      <w:pPr>
        <w:pStyle w:val="BodyText"/>
      </w:pPr>
      <w:r>
        <w:rPr>
          <w:b/>
          <w:bCs/>
        </w:rPr>
        <w:t xml:space="preserve">Result:</w:t>
      </w:r>
      <w:r>
        <w:t xml:space="preserve"> </w:t>
      </w:r>
      <w:r>
        <w:t xml:space="preserve">The two-compartment PK model demonstrates how an initially non-identifiable model can be</w:t>
      </w:r>
      <w:r>
        <w:t xml:space="preserve"> </w:t>
      </w:r>
      <w:r>
        <w:rPr>
          <w:b/>
          <w:bCs/>
        </w:rPr>
        <w:t xml:space="preserve">reparameterized by identifiable combinations</w:t>
      </w:r>
      <w:r>
        <w:t xml:space="preserve">. After identifying $5$ new composite parameters (each a specific product or sum of the original 7), the model can be written in an equivalent form that is globally identifiable</w:t>
      </w:r>
      <w:hyperlink r:id="rId29">
        <w:r>
          <w:rPr>
            <w:rStyle w:val="Hyperlink"/>
          </w:rPr>
          <w:t xml:space="preserve">[8]</w:t>
        </w:r>
      </w:hyperlink>
      <w:hyperlink r:id="rId28">
        <w:r>
          <w:rPr>
            <w:rStyle w:val="Hyperlink"/>
          </w:rPr>
          <w:t xml:space="preserve">[7]</w:t>
        </w:r>
      </w:hyperlink>
      <w:r>
        <w:t xml:space="preserve">. This satisfies reviewers that the example is realistic (multi-compartment PK models are widely used in pharmacology) yet challenging, and it highlights the utility of identifiability analysis: one learns exactly which lumped pharmacokinetic parameters (e.g. an apparent clearance or total volume of distribution) can be estimated from available measurements, even if the individual rate constants cannot</w:t>
      </w:r>
      <w:hyperlink r:id="rId27">
        <w:r>
          <w:rPr>
            <w:rStyle w:val="Hyperlink"/>
          </w:rPr>
          <w:t xml:space="preserve">[6]</w:t>
        </w:r>
      </w:hyperlink>
      <w:hyperlink r:id="rId28">
        <w:r>
          <w:rPr>
            <w:rStyle w:val="Hyperlink"/>
          </w:rPr>
          <w:t xml:space="preserve">[7]</w:t>
        </w:r>
      </w:hyperlink>
      <w:r>
        <w:t xml:space="preserve">. Such models have frequently appeared in identifiability benchmark studies</w:t>
      </w:r>
      <w:hyperlink r:id="rId30">
        <w:r>
          <w:rPr>
            <w:rStyle w:val="Hyperlink"/>
          </w:rPr>
          <w:t xml:space="preserve">[9]</w:t>
        </w:r>
      </w:hyperlink>
      <w:hyperlink r:id="rId31">
        <w:r>
          <w:rPr>
            <w:rStyle w:val="Hyperlink"/>
          </w:rPr>
          <w:t xml:space="preserve">[10]</w:t>
        </w:r>
      </w:hyperlink>
      <w:r>
        <w:t xml:space="preserve">.</w:t>
      </w:r>
    </w:p>
    <w:p>
      <w:pPr>
        <w:pStyle w:val="BodyText"/>
      </w:pPr>
      <w:r>
        <w:rPr>
          <w:b/>
          <w:bCs/>
        </w:rPr>
        <w:t xml:space="preserve">Source:</w:t>
      </w:r>
      <w:r>
        <w:t xml:space="preserve"> </w:t>
      </w:r>
      <w:r>
        <w:t xml:space="preserve">Meshkat</w:t>
      </w:r>
      <w:r>
        <w:t xml:space="preserve"> </w:t>
      </w:r>
      <w:r>
        <w:rPr>
          <w:i/>
          <w:iCs/>
        </w:rPr>
        <w:t xml:space="preserve">et al.</w:t>
      </w:r>
      <w:r>
        <w:t xml:space="preserve">,</w:t>
      </w:r>
      <w:r>
        <w:t xml:space="preserve"> </w:t>
      </w:r>
      <w:r>
        <w:rPr>
          <w:b/>
          <w:bCs/>
        </w:rPr>
        <w:t xml:space="preserve">Math. Biosci.</w:t>
      </w:r>
      <w:r>
        <w:t xml:space="preserve"> </w:t>
      </w:r>
      <w:r>
        <w:t xml:space="preserve">2012 (identifiable combinations in PK model)</w:t>
      </w:r>
      <w:hyperlink r:id="rId29">
        <w:r>
          <w:rPr>
            <w:rStyle w:val="Hyperlink"/>
          </w:rPr>
          <w:t xml:space="preserve">[8]</w:t>
        </w:r>
      </w:hyperlink>
      <w:hyperlink r:id="rId27">
        <w:r>
          <w:rPr>
            <w:rStyle w:val="Hyperlink"/>
          </w:rPr>
          <w:t xml:space="preserve">[6]</w:t>
        </w:r>
      </w:hyperlink>
      <w:r>
        <w:t xml:space="preserve">; Chis</w:t>
      </w:r>
      <w:r>
        <w:t xml:space="preserve"> </w:t>
      </w:r>
      <w:r>
        <w:rPr>
          <w:i/>
          <w:iCs/>
        </w:rPr>
        <w:t xml:space="preserve">et al.</w:t>
      </w:r>
      <w:r>
        <w:t xml:space="preserve">,</w:t>
      </w:r>
      <w:r>
        <w:t xml:space="preserve"> </w:t>
      </w:r>
      <w:r>
        <w:rPr>
          <w:b/>
          <w:bCs/>
        </w:rPr>
        <w:t xml:space="preserve">PLoS ONE</w:t>
      </w:r>
      <w:r>
        <w:t xml:space="preserve"> </w:t>
      </w:r>
      <w:r>
        <w:t xml:space="preserve">2011 (PK identifiability case study)</w:t>
      </w:r>
      <w:hyperlink r:id="rId30">
        <w:r>
          <w:rPr>
            <w:rStyle w:val="Hyperlink"/>
          </w:rPr>
          <w:t xml:space="preserve">[9]</w:t>
        </w:r>
      </w:hyperlink>
      <w:r>
        <w:t xml:space="preserve">.</w:t>
      </w:r>
    </w:p>
    <w:bookmarkEnd w:id="32"/>
    <w:bookmarkStart w:id="38" w:name="X441ed82829204211be545d375da075dfafef325"/>
    <w:p>
      <w:pPr>
        <w:pStyle w:val="Heading2"/>
      </w:pPr>
      <w:r>
        <w:t xml:space="preserve">Goodwin Oscillator Model (6–8 parameters, Systems Biology)</w:t>
      </w:r>
    </w:p>
    <w:p>
      <w:pPr>
        <w:pStyle w:val="FirstParagraph"/>
      </w:pPr>
      <w:r>
        <w:rPr>
          <w:b/>
          <w:bCs/>
        </w:rPr>
        <w:t xml:space="preserve">Description:</w:t>
      </w:r>
      <w:r>
        <w:t xml:space="preserve"> </w:t>
      </w:r>
      <w:r>
        <w:t xml:space="preserve">Goodwin’s oscillator is a</w:t>
      </w:r>
      <w:r>
        <w:t xml:space="preserve"> </w:t>
      </w:r>
      <w:r>
        <w:rPr>
          <w:b/>
          <w:bCs/>
        </w:rPr>
        <w:t xml:space="preserve">nonlinear gene-regulatory network model</w:t>
      </w:r>
      <w:r>
        <w:t xml:space="preserve"> </w:t>
      </w:r>
      <w:r>
        <w:t xml:space="preserve">that produces self-sustained oscillations (originally proposed for circadian rhythms)</w:t>
      </w:r>
      <w:hyperlink r:id="rId33">
        <w:r>
          <w:rPr>
            <w:rStyle w:val="Hyperlink"/>
          </w:rPr>
          <w:t xml:space="preserve">[11]</w:t>
        </w:r>
      </w:hyperlink>
      <w:r>
        <w:t xml:space="preserve">. It consists of three differential equations (a negative feedback loop): an mRNA or enzyme $X$ that is synthesized with a Hill-function term and degraded, a subsequent protein or metabolite $Y$ activated by $X$, and a final product $Z$ that represses $X$ synthesis. Typical formulations involve 6 or more parameters – e.g. a maximum transcription rate, a Hill coefficient $n$, a half-saturation constant $K$, and degradation or dilution rates for each species ($k_1,\dots,k_3$)</w:t>
      </w:r>
      <w:hyperlink r:id="rId34">
        <w:r>
          <w:rPr>
            <w:rStyle w:val="Hyperlink"/>
          </w:rPr>
          <w:t xml:space="preserve">[12]</w:t>
        </w:r>
      </w:hyperlink>
      <w:hyperlink r:id="rId35">
        <w:r>
          <w:rPr>
            <w:rStyle w:val="Hyperlink"/>
          </w:rPr>
          <w:t xml:space="preserve">[13]</w:t>
        </w:r>
      </w:hyperlink>
      <w:r>
        <w:t xml:space="preserve">. This model is often cited in identifiability analyses because of its nonlinear feedback and rational (non-polynomial) terms.</w:t>
      </w:r>
    </w:p>
    <w:p>
      <w:pPr>
        <w:pStyle w:val="BodyText"/>
      </w:pPr>
      <w:r>
        <w:rPr>
          <w:b/>
          <w:bCs/>
        </w:rPr>
        <w:t xml:space="preserve">Identifiability issues:</w:t>
      </w:r>
      <w:r>
        <w:t xml:space="preserve"> </w:t>
      </w:r>
      <w:r>
        <w:t xml:space="preserve">In a realistic scenario where only one observable output is measured (for example, only the final protein $Z$ is observed over time), the Goodwin model is</w:t>
      </w:r>
      <w:r>
        <w:t xml:space="preserve"> </w:t>
      </w:r>
      <w:r>
        <w:rPr>
          <w:b/>
          <w:bCs/>
        </w:rPr>
        <w:t xml:space="preserve">structurally unidentifiable</w:t>
      </w:r>
      <w:hyperlink r:id="rId35">
        <w:r>
          <w:rPr>
            <w:rStyle w:val="Hyperlink"/>
          </w:rPr>
          <w:t xml:space="preserve">[13]</w:t>
        </w:r>
      </w:hyperlink>
      <w:hyperlink r:id="rId36">
        <w:r>
          <w:rPr>
            <w:rStyle w:val="Hyperlink"/>
          </w:rPr>
          <w:t xml:space="preserve">[14]</w:t>
        </w:r>
      </w:hyperlink>
      <w:r>
        <w:t xml:space="preserve">. Intuitively, several parameters can trade off to produce similar oscillation patterns – for instance, the Hill coefficient and the threshold $K$ both affect the sigmoidal feedback strength, and certain rate constants can only be determined up to proportional scalings if their effects on period/amplitude can compensate each other. Formal analysis confirms that with a single output, the system’s</w:t>
      </w:r>
      <w:r>
        <w:t xml:space="preserve"> </w:t>
      </w:r>
      <w:r>
        <w:rPr>
          <w:b/>
          <w:bCs/>
        </w:rPr>
        <w:t xml:space="preserve">identifiability rank</w:t>
      </w:r>
      <w:r>
        <w:t xml:space="preserve"> </w:t>
      </w:r>
      <w:r>
        <w:t xml:space="preserve">is deficient: power series methods failed to obtain a full-rank identifiability tableau in this case</w:t>
      </w:r>
      <w:hyperlink r:id="rId35">
        <w:r>
          <w:rPr>
            <w:rStyle w:val="Hyperlink"/>
          </w:rPr>
          <w:t xml:space="preserve">[13]</w:t>
        </w:r>
      </w:hyperlink>
      <w:r>
        <w:t xml:space="preserve">. This indicates not all parameters can be solved uniquely from the output; some parameters are locally or infinitely non-identifiable (e.g. multiple sets of Hill kinetics parameters yield the same output behavior)</w:t>
      </w:r>
      <w:hyperlink r:id="rId35">
        <w:r>
          <w:rPr>
            <w:rStyle w:val="Hyperlink"/>
          </w:rPr>
          <w:t xml:space="preserve">[13]</w:t>
        </w:r>
      </w:hyperlink>
      <w:r>
        <w:t xml:space="preserve">.</w:t>
      </w:r>
    </w:p>
    <w:p>
      <w:pPr>
        <w:pStyle w:val="BodyText"/>
      </w:pPr>
      <w:r>
        <w:rPr>
          <w:b/>
          <w:bCs/>
        </w:rPr>
        <w:t xml:space="preserve">Techniques used:</w:t>
      </w:r>
      <w:r>
        <w:t xml:space="preserve"> </w:t>
      </w:r>
      <w:r>
        <w:t xml:space="preserve">A variety of structural identifiability techniques have been tested on the Goodwin model.</w:t>
      </w:r>
      <w:r>
        <w:t xml:space="preserve"> </w:t>
      </w:r>
      <w:r>
        <w:rPr>
          <w:b/>
          <w:bCs/>
        </w:rPr>
        <w:t xml:space="preserve">Taylor series expansion</w:t>
      </w:r>
      <w:r>
        <w:t xml:space="preserve"> </w:t>
      </w:r>
      <w:r>
        <w:t xml:space="preserve">and</w:t>
      </w:r>
      <w:r>
        <w:t xml:space="preserve"> </w:t>
      </w:r>
      <w:r>
        <w:rPr>
          <w:b/>
          <w:bCs/>
        </w:rPr>
        <w:t xml:space="preserve">generating series</w:t>
      </w:r>
      <w:r>
        <w:t xml:space="preserve"> </w:t>
      </w:r>
      <w:r>
        <w:t xml:space="preserve">methods were applied by Chis</w:t>
      </w:r>
      <w:r>
        <w:t xml:space="preserve"> </w:t>
      </w:r>
      <w:r>
        <w:rPr>
          <w:i/>
          <w:iCs/>
        </w:rPr>
        <w:t xml:space="preserve">et al.</w:t>
      </w:r>
      <w:r>
        <w:t xml:space="preserve"> </w:t>
      </w:r>
      <w:r>
        <w:t xml:space="preserve">to build an identifiability tableau</w:t>
      </w:r>
      <w:hyperlink r:id="rId35">
        <w:r>
          <w:rPr>
            <w:rStyle w:val="Hyperlink"/>
          </w:rPr>
          <w:t xml:space="preserve">[13]</w:t>
        </w:r>
      </w:hyperlink>
      <w:r>
        <w:t xml:space="preserve">. These methods could not fully resolve the parameter dependencies with limited outputs, illustrating the limitations of power series approaches for rational-function models. The</w:t>
      </w:r>
      <w:r>
        <w:t xml:space="preserve"> </w:t>
      </w:r>
      <w:r>
        <w:rPr>
          <w:b/>
          <w:bCs/>
        </w:rPr>
        <w:t xml:space="preserve">differential algebra (DAISY)</w:t>
      </w:r>
      <w:r>
        <w:t xml:space="preserve"> </w:t>
      </w:r>
      <w:r>
        <w:t xml:space="preserve">approach likewise reported the model unidentifiable under single-output conditions (and even encountered difficulties solving the nonlinear algebraic equations when the model included the Hill-term nonlinearity)</w:t>
      </w:r>
      <w:hyperlink r:id="rId36">
        <w:r>
          <w:rPr>
            <w:rStyle w:val="Hyperlink"/>
          </w:rPr>
          <w:t xml:space="preserve">[14]</w:t>
        </w:r>
      </w:hyperlink>
      <w:r>
        <w:t xml:space="preserve">. To overcome this, researchers tried reformulating the model – e.g.</w:t>
      </w:r>
      <w:r>
        <w:t xml:space="preserve"> </w:t>
      </w:r>
      <w:r>
        <w:rPr>
          <w:b/>
          <w:bCs/>
        </w:rPr>
        <w:t xml:space="preserve">polynomial approximation</w:t>
      </w:r>
      <w:r>
        <w:t xml:space="preserve">: converting the Hill function into a polynomial form – which made the equations more tractable</w:t>
      </w:r>
      <w:hyperlink r:id="rId36">
        <w:r>
          <w:rPr>
            <w:rStyle w:val="Hyperlink"/>
          </w:rPr>
          <w:t xml:space="preserve">[14]</w:t>
        </w:r>
      </w:hyperlink>
      <w:r>
        <w:t xml:space="preserve">. They also examined an idealized scenario with</w:t>
      </w:r>
      <w:r>
        <w:t xml:space="preserve"> </w:t>
      </w:r>
      <w:r>
        <w:rPr>
          <w:b/>
          <w:bCs/>
        </w:rPr>
        <w:t xml:space="preserve">full state observability</w:t>
      </w:r>
      <w:r>
        <w:t xml:space="preserve"> </w:t>
      </w:r>
      <w:r>
        <w:t xml:space="preserve">(i.e. measuring $X$, $Y$, and $Z$). In that hypothetical case, the power series method was able to achieve a full rank tableau and conclude the model would be globally identifiable if all state variables were observed</w:t>
      </w:r>
      <w:hyperlink r:id="rId35">
        <w:r>
          <w:rPr>
            <w:rStyle w:val="Hyperlink"/>
          </w:rPr>
          <w:t xml:space="preserve">[13]</w:t>
        </w:r>
      </w:hyperlink>
      <w:r>
        <w:t xml:space="preserve">. In summary, the analysis employed symbolic series expansion, implicit function theorem approaches, and DAISY’s Gröbner basis method, each highlighting different aspects of the model’s identifiability (or lack thereof)</w:t>
      </w:r>
      <w:hyperlink r:id="rId35">
        <w:r>
          <w:rPr>
            <w:rStyle w:val="Hyperlink"/>
          </w:rPr>
          <w:t xml:space="preserve">[13]</w:t>
        </w:r>
      </w:hyperlink>
      <w:hyperlink r:id="rId37">
        <w:r>
          <w:rPr>
            <w:rStyle w:val="Hyperlink"/>
          </w:rPr>
          <w:t xml:space="preserve">[15]</w:t>
        </w:r>
      </w:hyperlink>
      <w:r>
        <w:t xml:space="preserve">.</w:t>
      </w:r>
    </w:p>
    <w:p>
      <w:pPr>
        <w:pStyle w:val="BodyText"/>
      </w:pPr>
      <w:r>
        <w:rPr>
          <w:b/>
          <w:bCs/>
        </w:rPr>
        <w:t xml:space="preserve">Result:</w:t>
      </w:r>
      <w:r>
        <w:t xml:space="preserve"> </w:t>
      </w:r>
      <w:r>
        <w:t xml:space="preserve">The Goodwin oscillator example underscores how</w:t>
      </w:r>
      <w:r>
        <w:t xml:space="preserve"> </w:t>
      </w:r>
      <w:r>
        <w:rPr>
          <w:b/>
          <w:bCs/>
        </w:rPr>
        <w:t xml:space="preserve">model output structure</w:t>
      </w:r>
      <w:r>
        <w:t xml:space="preserve"> </w:t>
      </w:r>
      <w:r>
        <w:t xml:space="preserve">(which variables are observed) strongly influences identifiability. With realistic limited observables, certain parameters (e.g. the Hill exponent or some rate constants) remain non-identifiable – effectively, only an</w:t>
      </w:r>
      <w:r>
        <w:t xml:space="preserve"> </w:t>
      </w:r>
      <w:r>
        <w:rPr>
          <w:b/>
          <w:bCs/>
        </w:rPr>
        <w:t xml:space="preserve">identifiable combination</w:t>
      </w:r>
      <w:r>
        <w:t xml:space="preserve"> </w:t>
      </w:r>
      <w:r>
        <w:t xml:space="preserve">of those parameters (governing the oscillation period and amplitude) can be estimated without additional data</w:t>
      </w:r>
      <w:hyperlink r:id="rId35">
        <w:r>
          <w:rPr>
            <w:rStyle w:val="Hyperlink"/>
          </w:rPr>
          <w:t xml:space="preserve">[13]</w:t>
        </w:r>
      </w:hyperlink>
      <w:r>
        <w:t xml:space="preserve">. Researchers showed that adding more measurement outputs or simplifying the model equations can recover identifiability</w:t>
      </w:r>
      <w:hyperlink r:id="rId37">
        <w:r>
          <w:rPr>
            <w:rStyle w:val="Hyperlink"/>
          </w:rPr>
          <w:t xml:space="preserve">[15]</w:t>
        </w:r>
      </w:hyperlink>
      <w:r>
        <w:t xml:space="preserve">. This model, although hypothetical, is complex enough (3 states, nonlinear feedback, ~6 parameters) to be convincing to reviewers as a challenging test case, rather than a trivial toy. It has been used in comparisons of identifiability techniques</w:t>
      </w:r>
      <w:hyperlink r:id="rId35">
        <w:r>
          <w:rPr>
            <w:rStyle w:val="Hyperlink"/>
          </w:rPr>
          <w:t xml:space="preserve">[13]</w:t>
        </w:r>
      </w:hyperlink>
      <w:hyperlink r:id="rId36">
        <w:r>
          <w:rPr>
            <w:rStyle w:val="Hyperlink"/>
          </w:rPr>
          <w:t xml:space="preserve">[14]</w:t>
        </w:r>
      </w:hyperlink>
      <w:r>
        <w:t xml:space="preserve">, illustrating issues like unidentifiable Hill kinetics and the benefits of experiment design (choosing additional outputs to measure) to resolve parameter ambiguity</w:t>
      </w:r>
      <w:hyperlink r:id="rId35">
        <w:r>
          <w:rPr>
            <w:rStyle w:val="Hyperlink"/>
          </w:rPr>
          <w:t xml:space="preserve">[13]</w:t>
        </w:r>
      </w:hyperlink>
      <w:hyperlink r:id="rId37">
        <w:r>
          <w:rPr>
            <w:rStyle w:val="Hyperlink"/>
          </w:rPr>
          <w:t xml:space="preserve">[15]</w:t>
        </w:r>
      </w:hyperlink>
      <w:r>
        <w:t xml:space="preserve">.</w:t>
      </w:r>
    </w:p>
    <w:p>
      <w:pPr>
        <w:pStyle w:val="BodyText"/>
      </w:pPr>
      <w:r>
        <w:rPr>
          <w:b/>
          <w:bCs/>
        </w:rPr>
        <w:t xml:space="preserve">Source:</w:t>
      </w:r>
      <w:r>
        <w:t xml:space="preserve"> </w:t>
      </w:r>
      <w:r>
        <w:t xml:space="preserve">Chis</w:t>
      </w:r>
      <w:r>
        <w:t xml:space="preserve"> </w:t>
      </w:r>
      <w:r>
        <w:rPr>
          <w:i/>
          <w:iCs/>
        </w:rPr>
        <w:t xml:space="preserve">et al.</w:t>
      </w:r>
      <w:r>
        <w:t xml:space="preserve">,</w:t>
      </w:r>
      <w:r>
        <w:t xml:space="preserve"> </w:t>
      </w:r>
      <w:r>
        <w:rPr>
          <w:b/>
          <w:bCs/>
        </w:rPr>
        <w:t xml:space="preserve">PLoS ONE</w:t>
      </w:r>
      <w:r>
        <w:t xml:space="preserve"> </w:t>
      </w:r>
      <w:r>
        <w:t xml:space="preserve">2011 (Goodwin model identifiability study)</w:t>
      </w:r>
      <w:hyperlink r:id="rId35">
        <w:r>
          <w:rPr>
            <w:rStyle w:val="Hyperlink"/>
          </w:rPr>
          <w:t xml:space="preserve">[13]</w:t>
        </w:r>
      </w:hyperlink>
      <w:hyperlink r:id="rId36">
        <w:r>
          <w:rPr>
            <w:rStyle w:val="Hyperlink"/>
          </w:rPr>
          <w:t xml:space="preserve">[14]</w:t>
        </w:r>
      </w:hyperlink>
      <w:r>
        <w:t xml:space="preserve">; Denis-Vidal &amp; Joly, 1998 (global identifiability via reparameterization of Hill functions).</w:t>
      </w:r>
    </w:p>
    <w:bookmarkEnd w:id="38"/>
    <w:bookmarkStart w:id="45" w:name="Xb85f78c09b3847dbf8de55cb1c30e71844e6222"/>
    <w:p>
      <w:pPr>
        <w:pStyle w:val="Heading2"/>
      </w:pPr>
      <w:r>
        <w:t xml:space="preserve">JAK-STAT Signaling Pathway Model (≈8–23 parameters, Cell Signaling)</w:t>
      </w:r>
    </w:p>
    <w:p>
      <w:pPr>
        <w:pStyle w:val="FirstParagraph"/>
      </w:pPr>
      <w:r>
        <w:rPr>
          <w:b/>
          <w:bCs/>
        </w:rPr>
        <w:t xml:space="preserve">Description:</w:t>
      </w:r>
      <w:r>
        <w:t xml:space="preserve"> </w:t>
      </w:r>
      <w:r>
        <w:t xml:space="preserve">Cytokine-induced JAK-STAT signaling cascades (such as the IL-13/STAT5 pathway or EPO/JAK2/STAT5 pathway) have served as</w:t>
      </w:r>
      <w:r>
        <w:t xml:space="preserve"> </w:t>
      </w:r>
      <w:r>
        <w:rPr>
          <w:b/>
          <w:bCs/>
        </w:rPr>
        <w:t xml:space="preserve">practical identifiability case studies</w:t>
      </w:r>
      <w:r>
        <w:t xml:space="preserve"> </w:t>
      </w:r>
      <w:r>
        <w:t xml:space="preserve">in systems biology. These models typically involve a chain of phosphorylation and transcription events with dozens of species and reactions. A simplified JAK-STAT module (as in Swameye</w:t>
      </w:r>
      <w:r>
        <w:t xml:space="preserve"> </w:t>
      </w:r>
      <w:r>
        <w:rPr>
          <w:i/>
          <w:iCs/>
        </w:rPr>
        <w:t xml:space="preserve">et al.</w:t>
      </w:r>
      <w:r>
        <w:t xml:space="preserve"> </w:t>
      </w:r>
      <w:r>
        <w:t xml:space="preserve">2003) might have around 8–10 parameters (rate constants for receptor binding, phosphorylation, nuclear import/export, etc.), whereas more detailed versions can include 20+ parameters</w:t>
      </w:r>
      <w:hyperlink r:id="rId39">
        <w:r>
          <w:rPr>
            <w:rStyle w:val="Hyperlink"/>
          </w:rPr>
          <w:t xml:space="preserve">[16]</w:t>
        </w:r>
      </w:hyperlink>
      <w:r>
        <w:t xml:space="preserve">. The outputs are usually phospho-STAT levels in cytoplasm or nucleus over time, measured by assays.</w:t>
      </w:r>
    </w:p>
    <w:p>
      <w:pPr>
        <w:pStyle w:val="BodyText"/>
      </w:pPr>
      <w:r>
        <w:rPr>
          <w:b/>
          <w:bCs/>
        </w:rPr>
        <w:t xml:space="preserve">Identifiability issues:</w:t>
      </w:r>
      <w:r>
        <w:t xml:space="preserve"> </w:t>
      </w:r>
      <w:r>
        <w:t xml:space="preserve">JAK-STAT models are often</w:t>
      </w:r>
      <w:r>
        <w:t xml:space="preserve"> </w:t>
      </w:r>
      <w:r>
        <w:rPr>
          <w:b/>
          <w:bCs/>
        </w:rPr>
        <w:t xml:space="preserve">partially observed</w:t>
      </w:r>
      <w:r>
        <w:t xml:space="preserve"> </w:t>
      </w:r>
      <w:r>
        <w:t xml:space="preserve">(not all molecular species in the cascade are measured), leading to practical and structural identifiability problems. A common issue is an initial condition or scale parameter that is confounded with a kinetic rate. For example, the total amount of STAT protein and a rate constant for activation might only appear as a product in the model’s output, making them unidentifiable individually. Indeed, studies have found that certain rate constants in the JAK-STAT pathway cannot be reliably estimated from a single type of experiment – multiple parameter sets produce virtually identical fits (flat likelihood profiles) indicating</w:t>
      </w:r>
      <w:r>
        <w:t xml:space="preserve"> </w:t>
      </w:r>
      <w:r>
        <w:rPr>
          <w:b/>
          <w:bCs/>
        </w:rPr>
        <w:t xml:space="preserve">practical non-identifiability</w:t>
      </w:r>
      <w:hyperlink r:id="rId40">
        <w:r>
          <w:rPr>
            <w:rStyle w:val="Hyperlink"/>
          </w:rPr>
          <w:t xml:space="preserve">[17]</w:t>
        </w:r>
      </w:hyperlink>
      <w:r>
        <w:t xml:space="preserve">. In one case, modelers discovered that only the</w:t>
      </w:r>
      <w:r>
        <w:t xml:space="preserve"> </w:t>
      </w:r>
      <w:r>
        <w:rPr>
          <w:b/>
          <w:bCs/>
        </w:rPr>
        <w:t xml:space="preserve">ratio</w:t>
      </w:r>
      <w:r>
        <w:t xml:space="preserve"> </w:t>
      </w:r>
      <w:r>
        <w:t xml:space="preserve">of two parameters (a phosphorylation rate and a dephosphorylation rate) was determined by the data, whereas the absolute values could not be separated. This degeneracy manifests as a long, flat valley in the likelihood or cost function (the “sloppy” parameter phenomenon) rather than a distinct optimum.</w:t>
      </w:r>
    </w:p>
    <w:p>
      <w:pPr>
        <w:pStyle w:val="BodyText"/>
      </w:pPr>
      <w:r>
        <w:rPr>
          <w:b/>
          <w:bCs/>
        </w:rPr>
        <w:t xml:space="preserve">Techniques used:</w:t>
      </w:r>
      <w:r>
        <w:t xml:space="preserve"> </w:t>
      </w:r>
      <w:r>
        <w:rPr>
          <w:b/>
          <w:bCs/>
        </w:rPr>
        <w:t xml:space="preserve">Profile likelihood analysis</w:t>
      </w:r>
      <w:r>
        <w:t xml:space="preserve"> </w:t>
      </w:r>
      <w:r>
        <w:t xml:space="preserve">has been a key tool to assess identifiability in JAK-STAT models. Raue</w:t>
      </w:r>
      <w:r>
        <w:t xml:space="preserve"> </w:t>
      </w:r>
      <w:r>
        <w:rPr>
          <w:i/>
          <w:iCs/>
        </w:rPr>
        <w:t xml:space="preserve">et al.</w:t>
      </w:r>
      <w:r>
        <w:t xml:space="preserve"> </w:t>
      </w:r>
      <w:r>
        <w:t xml:space="preserve">(2009) exploited profile likelihood to combine structural and practical identifiability analysis</w:t>
      </w:r>
      <w:hyperlink r:id="rId41">
        <w:r>
          <w:rPr>
            <w:rStyle w:val="Hyperlink"/>
          </w:rPr>
          <w:t xml:space="preserve">[18]</w:t>
        </w:r>
      </w:hyperlink>
      <w:r>
        <w:t xml:space="preserve">. By scanning the likelihood as a function of each parameter (while re-optimizing others), they identified which parameters have finite confidence intervals and which effectively have unbounded or very wide intervals (indicating non-identifiability). This method can also reveal identifiable combinations: for instance, if two parameters are non-identifiable individually but a certain combination is fixed, the profile likelihoods will show a ridge along that combination. In the JAK-STAT application, the profile likelihood approach pinpointed the problematic parameter subset and suggested reparameterizing by a single identifiable combination (such as an effective signaling rate that lumped an initial STAT concentration with a rate constant)</w:t>
      </w:r>
      <w:hyperlink r:id="rId42">
        <w:r>
          <w:rPr>
            <w:rStyle w:val="Hyperlink"/>
          </w:rPr>
          <w:t xml:space="preserve">[19]</w:t>
        </w:r>
      </w:hyperlink>
      <w:hyperlink r:id="rId43">
        <w:r>
          <w:rPr>
            <w:rStyle w:val="Hyperlink"/>
          </w:rPr>
          <w:t xml:space="preserve">[20]</w:t>
        </w:r>
      </w:hyperlink>
      <w:r>
        <w:t xml:space="preserve">. Other techniques used include</w:t>
      </w:r>
      <w:r>
        <w:t xml:space="preserve"> </w:t>
      </w:r>
      <w:r>
        <w:rPr>
          <w:b/>
          <w:bCs/>
        </w:rPr>
        <w:t xml:space="preserve">Fisher Information Matrix (FIM) analysis</w:t>
      </w:r>
      <w:r>
        <w:t xml:space="preserve"> </w:t>
      </w:r>
      <w:r>
        <w:t xml:space="preserve">– which, in these models, often yields a high-condition-number matrix indicating a sloppy mode – and</w:t>
      </w:r>
      <w:r>
        <w:t xml:space="preserve"> </w:t>
      </w:r>
      <w:r>
        <w:rPr>
          <w:b/>
          <w:bCs/>
        </w:rPr>
        <w:t xml:space="preserve">experimental design</w:t>
      </w:r>
      <w:r>
        <w:t xml:space="preserve"> </w:t>
      </w:r>
      <w:r>
        <w:t xml:space="preserve">strategies to improve identifiability (e.g. measuring additional phospho-form species or using multiple ligand dose profiles).</w:t>
      </w:r>
    </w:p>
    <w:p>
      <w:pPr>
        <w:pStyle w:val="BodyText"/>
      </w:pPr>
      <w:r>
        <w:rPr>
          <w:b/>
          <w:bCs/>
        </w:rPr>
        <w:t xml:space="preserve">Result:</w:t>
      </w:r>
      <w:r>
        <w:t xml:space="preserve"> </w:t>
      </w:r>
      <w:r>
        <w:t xml:space="preserve">JAK-STAT models have become</w:t>
      </w:r>
      <w:r>
        <w:t xml:space="preserve"> </w:t>
      </w:r>
      <w:r>
        <w:rPr>
          <w:b/>
          <w:bCs/>
        </w:rPr>
        <w:t xml:space="preserve">benchmark examples for identifiability</w:t>
      </w:r>
      <w:r>
        <w:t xml:space="preserve"> </w:t>
      </w:r>
      <w:r>
        <w:t xml:space="preserve">studies</w:t>
      </w:r>
      <w:hyperlink r:id="rId44">
        <w:r>
          <w:rPr>
            <w:rStyle w:val="Hyperlink"/>
          </w:rPr>
          <w:t xml:space="preserve">[21]</w:t>
        </w:r>
      </w:hyperlink>
      <w:r>
        <w:t xml:space="preserve">. They show how even biologically important, well-calibrated models can suffer from identifiability issues if data are limited. The outcome of analyses has been that certain parameters (e.g. some feedback strengths or nuclear transport rates) are practically unidentifiable without further data, but identifiable combinations (like an overall “effective signaling efficiency”) can often be obtained and have biological meaning. These insights have informed model reduction – e.g. fixing one parameter or reparameterizing to a product of two – and guided experimentalists to measure previously unobserved components. The JAK-STAT case, documented in Raue</w:t>
      </w:r>
      <w:r>
        <w:t xml:space="preserve"> </w:t>
      </w:r>
      <w:r>
        <w:rPr>
          <w:i/>
          <w:iCs/>
        </w:rPr>
        <w:t xml:space="preserve">et al.</w:t>
      </w:r>
      <w:r>
        <w:t xml:space="preserve"> </w:t>
      </w:r>
      <w:r>
        <w:t xml:space="preserve">(Bioinformatics 2009) and subsequent works, is widely accepted in the literature as a convincing</w:t>
      </w:r>
      <w:r>
        <w:t xml:space="preserve"> </w:t>
      </w:r>
      <w:r>
        <w:rPr>
          <w:b/>
          <w:bCs/>
        </w:rPr>
        <w:t xml:space="preserve">real-world example</w:t>
      </w:r>
      <w:r>
        <w:t xml:space="preserve"> </w:t>
      </w:r>
      <w:r>
        <w:t xml:space="preserve">where profile-likelihood-based identifiability analysis was critical</w:t>
      </w:r>
      <w:hyperlink r:id="rId40">
        <w:r>
          <w:rPr>
            <w:rStyle w:val="Hyperlink"/>
          </w:rPr>
          <w:t xml:space="preserve">[17]</w:t>
        </w:r>
      </w:hyperlink>
      <w:hyperlink r:id="rId44">
        <w:r>
          <w:rPr>
            <w:rStyle w:val="Hyperlink"/>
          </w:rPr>
          <w:t xml:space="preserve">[21]</w:t>
        </w:r>
      </w:hyperlink>
      <w:r>
        <w:t xml:space="preserve">.</w:t>
      </w:r>
    </w:p>
    <w:p>
      <w:pPr>
        <w:pStyle w:val="BodyText"/>
      </w:pPr>
      <w:r>
        <w:rPr>
          <w:b/>
          <w:bCs/>
        </w:rPr>
        <w:t xml:space="preserve">Source:</w:t>
      </w:r>
      <w:r>
        <w:t xml:space="preserve"> </w:t>
      </w:r>
      <w:r>
        <w:t xml:space="preserve">Raue</w:t>
      </w:r>
      <w:r>
        <w:t xml:space="preserve"> </w:t>
      </w:r>
      <w:r>
        <w:rPr>
          <w:i/>
          <w:iCs/>
        </w:rPr>
        <w:t xml:space="preserve">et al.</w:t>
      </w:r>
      <w:r>
        <w:t xml:space="preserve">,</w:t>
      </w:r>
      <w:r>
        <w:t xml:space="preserve"> </w:t>
      </w:r>
      <w:r>
        <w:rPr>
          <w:b/>
          <w:bCs/>
        </w:rPr>
        <w:t xml:space="preserve">Bioinformatics</w:t>
      </w:r>
      <w:r>
        <w:t xml:space="preserve"> </w:t>
      </w:r>
      <w:r>
        <w:t xml:space="preserve">2009 (JAK-STAT identifiability via profile likelihood); Becker</w:t>
      </w:r>
      <w:r>
        <w:t xml:space="preserve"> </w:t>
      </w:r>
      <w:r>
        <w:rPr>
          <w:i/>
          <w:iCs/>
        </w:rPr>
        <w:t xml:space="preserve">et al.</w:t>
      </w:r>
      <w:r>
        <w:t xml:space="preserve">,</w:t>
      </w:r>
      <w:r>
        <w:t xml:space="preserve"> </w:t>
      </w:r>
      <w:r>
        <w:rPr>
          <w:b/>
          <w:bCs/>
        </w:rPr>
        <w:t xml:space="preserve">Science</w:t>
      </w:r>
      <w:r>
        <w:t xml:space="preserve"> </w:t>
      </w:r>
      <w:r>
        <w:t xml:space="preserve">2010 (JAK-STAT model with parameter estimation); Chis</w:t>
      </w:r>
      <w:r>
        <w:t xml:space="preserve"> </w:t>
      </w:r>
      <w:r>
        <w:rPr>
          <w:i/>
          <w:iCs/>
        </w:rPr>
        <w:t xml:space="preserve">et al.</w:t>
      </w:r>
      <w:r>
        <w:t xml:space="preserve"> </w:t>
      </w:r>
      <w:r>
        <w:t xml:space="preserve">2011 (notes JAK/STAT as a benchmark)</w:t>
      </w:r>
      <w:hyperlink r:id="rId44">
        <w:r>
          <w:rPr>
            <w:rStyle w:val="Hyperlink"/>
          </w:rPr>
          <w:t xml:space="preserve">[21]</w:t>
        </w:r>
      </w:hyperlink>
      <w:r>
        <w:t xml:space="preserve">.</w:t>
      </w:r>
    </w:p>
    <w:bookmarkEnd w:id="45"/>
    <w:bookmarkStart w:id="48" w:name="Xf052a76867e2cb636e7037afc36ced997b1f48e"/>
    <w:p>
      <w:pPr>
        <w:pStyle w:val="Heading2"/>
      </w:pPr>
      <w:r>
        <w:t xml:space="preserve">NF-κB Signaling Module (≈15 parameters, Systems Biology)</w:t>
      </w:r>
    </w:p>
    <w:p>
      <w:pPr>
        <w:pStyle w:val="FirstParagraph"/>
      </w:pPr>
      <w:r>
        <w:rPr>
          <w:b/>
          <w:bCs/>
        </w:rPr>
        <w:t xml:space="preserve">Description:</w:t>
      </w:r>
      <w:r>
        <w:t xml:space="preserve"> </w:t>
      </w:r>
      <w:r>
        <w:t xml:space="preserve">The NF-κB regulatory module is a classic signaling network involving kinase cascades and feedback regulators (IκB proteins). A typical model (e.g. Hoffmann</w:t>
      </w:r>
      <w:r>
        <w:t xml:space="preserve"> </w:t>
      </w:r>
      <w:r>
        <w:rPr>
          <w:i/>
          <w:iCs/>
        </w:rPr>
        <w:t xml:space="preserve">et al.</w:t>
      </w:r>
      <w:r>
        <w:t xml:space="preserve"> </w:t>
      </w:r>
      <w:r>
        <w:t xml:space="preserve">2002 core NF-κB module) has on the order of 15–20 parameters, including reaction rates for IKK activation, IκB–NFκB binding and degradation, mRNA synthesis and decay, etc. This model produces characteristic oscillations in NF-κB nuclear localization and has been extensively studied.</w:t>
      </w:r>
    </w:p>
    <w:p>
      <w:pPr>
        <w:pStyle w:val="BodyText"/>
      </w:pPr>
      <w:r>
        <w:rPr>
          <w:b/>
          <w:bCs/>
        </w:rPr>
        <w:t xml:space="preserve">Identifiability issues:</w:t>
      </w:r>
      <w:r>
        <w:t xml:space="preserve"> </w:t>
      </w:r>
      <w:r>
        <w:t xml:space="preserve">Under “standard” experimental conditions (e.g. a single dose of stimulant and measuring only nuclear NF-κB over time), the NF-κB model was found to be</w:t>
      </w:r>
      <w:r>
        <w:t xml:space="preserve"> </w:t>
      </w:r>
      <w:r>
        <w:rPr>
          <w:b/>
          <w:bCs/>
        </w:rPr>
        <w:t xml:space="preserve">unidentifiable</w:t>
      </w:r>
      <w:r>
        <w:t xml:space="preserve"> </w:t>
      </w:r>
      <w:r>
        <w:t xml:space="preserve">in several parameters</w:t>
      </w:r>
      <w:hyperlink r:id="rId46">
        <w:r>
          <w:rPr>
            <w:rStyle w:val="Hyperlink"/>
          </w:rPr>
          <w:t xml:space="preserve">[22]</w:t>
        </w:r>
      </w:hyperlink>
      <w:r>
        <w:t xml:space="preserve">. Balsa-Canto</w:t>
      </w:r>
      <w:r>
        <w:t xml:space="preserve"> </w:t>
      </w:r>
      <w:r>
        <w:rPr>
          <w:i/>
          <w:iCs/>
        </w:rPr>
        <w:t xml:space="preserve">et al.</w:t>
      </w:r>
      <w:r>
        <w:t xml:space="preserve"> </w:t>
      </w:r>
      <w:r>
        <w:t xml:space="preserve">(2010) reported that</w:t>
      </w:r>
      <w:r>
        <w:t xml:space="preserve"> </w:t>
      </w:r>
      <w:r>
        <w:rPr>
          <w:b/>
          <w:bCs/>
        </w:rPr>
        <w:t xml:space="preserve">structural unidentifiability</w:t>
      </w:r>
      <w:r>
        <w:t xml:space="preserve"> </w:t>
      </w:r>
      <w:r>
        <w:t xml:space="preserve">plagued the model – essentially, there were insufficient independent outputs to constrain all rate constants. For example, the two negative feedback loops (via IκBα and A20 proteins) introduce redundant effects: different combinations of their synthesis and degradation rates can produce similar NF-κB oscillation profiles. As a result, parameter estimation could not determine a unique set of values; some parameters were only determinable as combinations or not at all</w:t>
      </w:r>
      <w:hyperlink r:id="rId46">
        <w:r>
          <w:rPr>
            <w:rStyle w:val="Hyperlink"/>
          </w:rPr>
          <w:t xml:space="preserve">[22]</w:t>
        </w:r>
      </w:hyperlink>
      <w:r>
        <w:t xml:space="preserve">. This led to large uncertainties and sloppy directions in the parameter space, which is problematic for reliable predictions.</w:t>
      </w:r>
    </w:p>
    <w:p>
      <w:pPr>
        <w:pStyle w:val="BodyText"/>
      </w:pPr>
      <w:r>
        <w:rPr>
          <w:b/>
          <w:bCs/>
        </w:rPr>
        <w:t xml:space="preserve">Techniques used:</w:t>
      </w:r>
      <w:r>
        <w:t xml:space="preserve"> </w:t>
      </w:r>
      <w:r>
        <w:t xml:space="preserve">A</w:t>
      </w:r>
      <w:r>
        <w:t xml:space="preserve"> </w:t>
      </w:r>
      <w:r>
        <w:rPr>
          <w:b/>
          <w:bCs/>
        </w:rPr>
        <w:t xml:space="preserve">comprehensive identifiability workflow</w:t>
      </w:r>
      <w:r>
        <w:t xml:space="preserve"> </w:t>
      </w:r>
      <w:r>
        <w:t xml:space="preserve">was applied to the NF-κB module. Initially, a</w:t>
      </w:r>
      <w:r>
        <w:t xml:space="preserve"> </w:t>
      </w:r>
      <w:r>
        <w:rPr>
          <w:b/>
          <w:bCs/>
        </w:rPr>
        <w:t xml:space="preserve">structural identifiability analysis</w:t>
      </w:r>
      <w:r>
        <w:t xml:space="preserve"> </w:t>
      </w:r>
      <w:r>
        <w:t xml:space="preserve">(using DAISY or a similar differential algebra tool) identified which parameters or combinations are theoretically estimable given the model structure</w:t>
      </w:r>
      <w:hyperlink r:id="rId46">
        <w:r>
          <w:rPr>
            <w:rStyle w:val="Hyperlink"/>
          </w:rPr>
          <w:t xml:space="preserve">[22]</w:t>
        </w:r>
      </w:hyperlink>
      <w:r>
        <w:t xml:space="preserve">. Then, a</w:t>
      </w:r>
      <w:r>
        <w:t xml:space="preserve"> </w:t>
      </w:r>
      <w:r>
        <w:rPr>
          <w:b/>
          <w:bCs/>
        </w:rPr>
        <w:t xml:space="preserve">practical identifiability check</w:t>
      </w:r>
      <w:r>
        <w:t xml:space="preserve"> </w:t>
      </w:r>
      <w:r>
        <w:t xml:space="preserve">(profile likelihood or Markov-chain Monte Carlo for posterior distributions) was done to see how current data constrain the parameters. In Balsa-Canto’s study, an</w:t>
      </w:r>
      <w:r>
        <w:t xml:space="preserve"> </w:t>
      </w:r>
      <w:r>
        <w:rPr>
          <w:b/>
          <w:bCs/>
        </w:rPr>
        <w:t xml:space="preserve">iterative identification procedure</w:t>
      </w:r>
      <w:r>
        <w:t xml:space="preserve"> </w:t>
      </w:r>
      <w:r>
        <w:t xml:space="preserve">was employed: they first found identifiable subsets, then designed new experiments to target the unidentifiable directions</w:t>
      </w:r>
      <w:hyperlink r:id="rId46">
        <w:r>
          <w:rPr>
            <w:rStyle w:val="Hyperlink"/>
          </w:rPr>
          <w:t xml:space="preserve">[22]</w:t>
        </w:r>
      </w:hyperlink>
      <w:r>
        <w:t xml:space="preserve">. Notably, an</w:t>
      </w:r>
      <w:r>
        <w:t xml:space="preserve"> </w:t>
      </w:r>
      <w:r>
        <w:rPr>
          <w:b/>
          <w:bCs/>
        </w:rPr>
        <w:t xml:space="preserve">optimal experimental design</w:t>
      </w:r>
      <w:r>
        <w:t xml:space="preserve"> </w:t>
      </w:r>
      <w:r>
        <w:t xml:space="preserve">step was included: by selecting additional measurements (e.g. monitoring inhibitor mRNA or using perturbation experiments), they showed the identifiability could be greatly improved</w:t>
      </w:r>
      <w:hyperlink r:id="rId46">
        <w:r>
          <w:rPr>
            <w:rStyle w:val="Hyperlink"/>
          </w:rPr>
          <w:t xml:space="preserve">[22]</w:t>
        </w:r>
      </w:hyperlink>
      <w:r>
        <w:t xml:space="preserve">. Separately, other researchers (Findeisen</w:t>
      </w:r>
      <w:r>
        <w:t xml:space="preserve"> </w:t>
      </w:r>
      <w:r>
        <w:rPr>
          <w:i/>
          <w:iCs/>
        </w:rPr>
        <w:t xml:space="preserve">et al.</w:t>
      </w:r>
      <w:r>
        <w:t xml:space="preserve"> </w:t>
      </w:r>
      <w:r>
        <w:t xml:space="preserve">2008) demonstrated an</w:t>
      </w:r>
      <w:r>
        <w:t xml:space="preserve"> </w:t>
      </w:r>
      <w:r>
        <w:rPr>
          <w:b/>
          <w:bCs/>
        </w:rPr>
        <w:t xml:space="preserve">observability/identifiability Gramian</w:t>
      </w:r>
      <w:r>
        <w:t xml:space="preserve"> </w:t>
      </w:r>
      <w:r>
        <w:t xml:space="preserve">approach on the NF-κB network</w:t>
      </w:r>
      <w:hyperlink r:id="rId47">
        <w:r>
          <w:rPr>
            <w:rStyle w:val="Hyperlink"/>
          </w:rPr>
          <w:t xml:space="preserve">[23]</w:t>
        </w:r>
      </w:hyperlink>
      <w:r>
        <w:t xml:space="preserve">. Because analytic methods struggled with such a high-dimensional nonlinear system, they used an empirical observability gramian to numerically assess parameter influence on outputs</w:t>
      </w:r>
      <w:hyperlink r:id="rId47">
        <w:r>
          <w:rPr>
            <w:rStyle w:val="Hyperlink"/>
          </w:rPr>
          <w:t xml:space="preserve">[23]</w:t>
        </w:r>
      </w:hyperlink>
      <w:r>
        <w:t xml:space="preserve">. This allowed identifiability ranking of parameters without needing a full symbolic solution, and confirmed which combinations of rate constants were unobservable.</w:t>
      </w:r>
    </w:p>
    <w:p>
      <w:pPr>
        <w:pStyle w:val="BodyText"/>
      </w:pPr>
      <w:r>
        <w:rPr>
          <w:b/>
          <w:bCs/>
        </w:rPr>
        <w:t xml:space="preserve">Result:</w:t>
      </w:r>
      <w:r>
        <w:t xml:space="preserve"> </w:t>
      </w:r>
      <w:r>
        <w:t xml:space="preserve">The NF-κB module is a prime example where</w:t>
      </w:r>
      <w:r>
        <w:t xml:space="preserve"> </w:t>
      </w:r>
      <w:r>
        <w:rPr>
          <w:b/>
          <w:bCs/>
        </w:rPr>
        <w:t xml:space="preserve">identifiability analysis and experiment design intersect</w:t>
      </w:r>
      <w:r>
        <w:t xml:space="preserve">. The initial analysis showed several parameters were unidentifiable (only certain lumped combinations mattered for the output)</w:t>
      </w:r>
      <w:hyperlink r:id="rId46">
        <w:r>
          <w:rPr>
            <w:rStyle w:val="Hyperlink"/>
          </w:rPr>
          <w:t xml:space="preserve">[22]</w:t>
        </w:r>
      </w:hyperlink>
      <w:r>
        <w:t xml:space="preserve">. For instance, the synthesis and degradation rates of IκB could only be determined up to a ratio given one type of experiment. By performing additional targeted experiments (as suggested by the analysis), those ambiguities were resolved and all parameters became identifiable in the augmented data set</w:t>
      </w:r>
      <w:hyperlink r:id="rId46">
        <w:r>
          <w:rPr>
            <w:rStyle w:val="Hyperlink"/>
          </w:rPr>
          <w:t xml:space="preserve">[22]</w:t>
        </w:r>
      </w:hyperlink>
      <w:r>
        <w:t xml:space="preserve">. This example, drawn from a real biochemical network, is highly regarded by peer reviewers: it demonstrates the full workflow of detecting identifiability issues and then fixing them via new experiments. It also highlights multiple techniques – symbolic (differential algebra) to find structural issues, numerical (profile likelihood, Fisher info, Gramians) to confirm practical issues, and optimal design to address them</w:t>
      </w:r>
      <w:hyperlink r:id="rId46">
        <w:r>
          <w:rPr>
            <w:rStyle w:val="Hyperlink"/>
          </w:rPr>
          <w:t xml:space="preserve">[22]</w:t>
        </w:r>
      </w:hyperlink>
      <w:hyperlink r:id="rId47">
        <w:r>
          <w:rPr>
            <w:rStyle w:val="Hyperlink"/>
          </w:rPr>
          <w:t xml:space="preserve">[23]</w:t>
        </w:r>
      </w:hyperlink>
      <w:r>
        <w:t xml:space="preserve">. The case of NF-κB is frequently cited in reviews as a</w:t>
      </w:r>
      <w:r>
        <w:t xml:space="preserve"> </w:t>
      </w:r>
      <w:r>
        <w:rPr>
          <w:b/>
          <w:bCs/>
        </w:rPr>
        <w:t xml:space="preserve">benchmark for identifiability</w:t>
      </w:r>
      <w:r>
        <w:t xml:space="preserve"> </w:t>
      </w:r>
      <w:r>
        <w:t xml:space="preserve">methods, alongside the JAK/STAT pathway</w:t>
      </w:r>
      <w:hyperlink r:id="rId44">
        <w:r>
          <w:rPr>
            <w:rStyle w:val="Hyperlink"/>
          </w:rPr>
          <w:t xml:space="preserve">[21]</w:t>
        </w:r>
      </w:hyperlink>
      <w:r>
        <w:t xml:space="preserve">.</w:t>
      </w:r>
    </w:p>
    <w:p>
      <w:pPr>
        <w:pStyle w:val="BodyText"/>
      </w:pPr>
      <w:r>
        <w:rPr>
          <w:b/>
          <w:bCs/>
        </w:rPr>
        <w:t xml:space="preserve">Source:</w:t>
      </w:r>
      <w:r>
        <w:t xml:space="preserve"> </w:t>
      </w:r>
      <w:r>
        <w:t xml:space="preserve">Balsa-Canto</w:t>
      </w:r>
      <w:r>
        <w:t xml:space="preserve"> </w:t>
      </w:r>
      <w:r>
        <w:rPr>
          <w:i/>
          <w:iCs/>
        </w:rPr>
        <w:t xml:space="preserve">et al.</w:t>
      </w:r>
      <w:r>
        <w:t xml:space="preserve">,</w:t>
      </w:r>
      <w:r>
        <w:t xml:space="preserve"> </w:t>
      </w:r>
      <w:r>
        <w:rPr>
          <w:b/>
          <w:bCs/>
        </w:rPr>
        <w:t xml:space="preserve">BMC Syst. Biol.</w:t>
      </w:r>
      <w:r>
        <w:t xml:space="preserve"> </w:t>
      </w:r>
      <w:r>
        <w:t xml:space="preserve">2010 (NF-κB identifiability and experiment design)</w:t>
      </w:r>
      <w:hyperlink r:id="rId46">
        <w:r>
          <w:rPr>
            <w:rStyle w:val="Hyperlink"/>
          </w:rPr>
          <w:t xml:space="preserve">[22]</w:t>
        </w:r>
      </w:hyperlink>
      <w:r>
        <w:t xml:space="preserve">; Findeisen</w:t>
      </w:r>
      <w:r>
        <w:t xml:space="preserve"> </w:t>
      </w:r>
      <w:r>
        <w:rPr>
          <w:i/>
          <w:iCs/>
        </w:rPr>
        <w:t xml:space="preserve">et al.</w:t>
      </w:r>
      <w:r>
        <w:t xml:space="preserve"> </w:t>
      </w:r>
      <w:r>
        <w:t xml:space="preserve">2008 (Gramian identifiability analysis on NF-κB)</w:t>
      </w:r>
      <w:hyperlink r:id="rId47">
        <w:r>
          <w:rPr>
            <w:rStyle w:val="Hyperlink"/>
          </w:rPr>
          <w:t xml:space="preserve">[23]</w:t>
        </w:r>
      </w:hyperlink>
      <w:r>
        <w:t xml:space="preserve">; Chis</w:t>
      </w:r>
      <w:r>
        <w:t xml:space="preserve"> </w:t>
      </w:r>
      <w:r>
        <w:rPr>
          <w:i/>
          <w:iCs/>
        </w:rPr>
        <w:t xml:space="preserve">et al.</w:t>
      </w:r>
      <w:r>
        <w:t xml:space="preserve"> </w:t>
      </w:r>
      <w:r>
        <w:t xml:space="preserve">2011 (notes NF-κB as benchmark)</w:t>
      </w:r>
      <w:hyperlink r:id="rId44">
        <w:r>
          <w:rPr>
            <w:rStyle w:val="Hyperlink"/>
          </w:rPr>
          <w:t xml:space="preserve">[21]</w:t>
        </w:r>
      </w:hyperlink>
      <w:r>
        <w:t xml:space="preserve">.</w:t>
      </w:r>
    </w:p>
    <w:p>
      <w:r>
        <w:pict>
          <v:rect style="width:0;height:1.5pt" o:hralign="center" o:hrstd="t" o:hr="t"/>
        </w:pict>
      </w:r>
    </w:p>
    <w:p>
      <w:pPr>
        <w:pStyle w:val="FirstParagraph"/>
      </w:pPr>
      <w:r>
        <w:t xml:space="preserve">Each of the above models provides a</w:t>
      </w:r>
      <w:r>
        <w:t xml:space="preserve"> </w:t>
      </w:r>
      <w:r>
        <w:rPr>
          <w:b/>
          <w:bCs/>
        </w:rPr>
        <w:t xml:space="preserve">realistic yet non-trivial test case</w:t>
      </w:r>
      <w:r>
        <w:t xml:space="preserve"> </w:t>
      </w:r>
      <w:r>
        <w:t xml:space="preserve">for identifiability analysis methods. They have all appeared in the literature as exemplars of how to handle unidentifiable parameters by finding identifiable reparameterizations or by improving data collection. The range of techniques used – from differential-algebraic methods (DAISY, COMBOS) to numerical profile likelihoods and information-theoretic methods – underlines the importance of choosing appropriate tools for a given model. Together, these case studies cover</w:t>
      </w:r>
      <w:r>
        <w:t xml:space="preserve"> </w:t>
      </w:r>
      <w:r>
        <w:rPr>
          <w:b/>
          <w:bCs/>
        </w:rPr>
        <w:t xml:space="preserve">5–30 parameter regimes</w:t>
      </w:r>
      <w:r>
        <w:t xml:space="preserve"> </w:t>
      </w:r>
      <w:r>
        <w:t xml:space="preserve">and demonstrate how identifiable parameter combinations can be extracted from initially unidentifiable models</w:t>
      </w:r>
      <w:hyperlink r:id="rId23">
        <w:r>
          <w:rPr>
            <w:rStyle w:val="Hyperlink"/>
          </w:rPr>
          <w:t xml:space="preserve">[3]</w:t>
        </w:r>
      </w:hyperlink>
      <w:hyperlink r:id="rId29">
        <w:r>
          <w:rPr>
            <w:rStyle w:val="Hyperlink"/>
          </w:rPr>
          <w:t xml:space="preserve">[8]</w:t>
        </w:r>
      </w:hyperlink>
      <w:r>
        <w:t xml:space="preserve">, satisfying the criteria for rigorous examples to validate new identifiability analysis methods. Each model’s inclusion in peer-reviewed studies and reviews attests to its suitability and credibility as a benchmark for identifiability research</w:t>
      </w:r>
      <w:hyperlink r:id="rId44">
        <w:r>
          <w:rPr>
            <w:rStyle w:val="Hyperlink"/>
          </w:rPr>
          <w:t xml:space="preserve">[21]</w:t>
        </w:r>
      </w:hyperlink>
      <w:hyperlink r:id="rId30">
        <w:r>
          <w:rPr>
            <w:rStyle w:val="Hyperlink"/>
          </w:rPr>
          <w:t xml:space="preserve">[9]</w:t>
        </w:r>
      </w:hyperlink>
      <w:r>
        <w:t xml:space="preserve">.</w:t>
      </w:r>
    </w:p>
    <w:bookmarkEnd w:id="48"/>
    <w:bookmarkEnd w:id="49"/>
    <w:bookmarkEnd w:id="50"/>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On Finding and Using Identifiable Parameter Combinations in Nonlinear Dynamic Systems Biology Models and COMBOS: A Novel Web Implementation | PLOS One</w:t>
      </w:r>
    </w:p>
    <w:p>
      <w:pPr>
        <w:pStyle w:val="BodyText"/>
      </w:pPr>
      <w:hyperlink r:id="rId51">
        <w:r>
          <w:rPr>
            <w:rStyle w:val="Hyperlink"/>
          </w:rPr>
          <w:t xml:space="preserve">https://journals.plos.org/plosone/article?id=10.1371/journal.pone.0110261</w:t>
        </w:r>
      </w:hyperlink>
    </w:p>
    <w:p>
      <w:pPr>
        <w:pStyle w:val="BodyText"/>
      </w:pPr>
      <w:hyperlink r:id="rId22">
        <w:r>
          <w:rPr>
            <w:rStyle w:val="Hyperlink"/>
          </w:rPr>
          <w:t xml:space="preserve">[2]</w:t>
        </w:r>
      </w:hyperlink>
      <w:r>
        <w:t xml:space="preserve"> </w:t>
      </w:r>
      <w:r>
        <w:t xml:space="preserve">ww3.math.ucla.edu</w:t>
      </w:r>
    </w:p>
    <w:p>
      <w:pPr>
        <w:pStyle w:val="BodyText"/>
      </w:pPr>
      <w:hyperlink r:id="rId52">
        <w:r>
          <w:rPr>
            <w:rStyle w:val="Hyperlink"/>
          </w:rPr>
          <w:t xml:space="preserve">https://ww3.math.ucla.edu/camreport/cam08-80.pdf</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qcb.ucla.edu</w:t>
      </w:r>
    </w:p>
    <w:p>
      <w:pPr>
        <w:pStyle w:val="BodyText"/>
      </w:pPr>
      <w:hyperlink r:id="rId53">
        <w:r>
          <w:rPr>
            <w:rStyle w:val="Hyperlink"/>
          </w:rPr>
          <w:t xml:space="preserve">https://qcb.ucla.edu/wp-content/uploads/sites/14/2021/01/Meshkat-Anderson-DiStefano-2011.pdf</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Structural Identifiability of Systems Biology Models: A Critical Comparison of Methods | PLOS One</w:t>
      </w:r>
    </w:p>
    <w:p>
      <w:pPr>
        <w:pStyle w:val="BodyText"/>
      </w:pPr>
      <w:hyperlink r:id="rId54">
        <w:r>
          <w:rPr>
            <w:rStyle w:val="Hyperlink"/>
          </w:rPr>
          <w:t xml:space="preserve">https://journals.plos.org/plosone/article?id=10.1371/journal.pone.0027755</w:t>
        </w:r>
      </w:hyperlink>
    </w:p>
    <w:p>
      <w:pPr>
        <w:pStyle w:val="BodyText"/>
      </w:pPr>
      <w:hyperlink r:id="rId39">
        <w:r>
          <w:rPr>
            <w:rStyle w:val="Hyperlink"/>
          </w:rPr>
          <w:t xml:space="preserve">[16]</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Comparison of approaches for parameter identifiability analysis of biological systems | Request PDF</w:t>
      </w:r>
    </w:p>
    <w:p>
      <w:pPr>
        <w:pStyle w:val="BodyText"/>
      </w:pPr>
      <w:hyperlink r:id="rId55">
        <w:r>
          <w:rPr>
            <w:rStyle w:val="Hyperlink"/>
          </w:rPr>
          <w:t xml:space="preserve">https://www.researchgate.net/publication/259917765_Comparison_of_approaches_for_parameter_identifiability_analysis_of_biological_systems</w:t>
        </w:r>
      </w:hyperlink>
    </w:p>
    <w:p>
      <w:pPr>
        <w:pStyle w:val="BodyText"/>
      </w:pPr>
      <w:hyperlink r:id="rId40">
        <w:r>
          <w:rPr>
            <w:rStyle w:val="Hyperlink"/>
          </w:rPr>
          <w:t xml:space="preserve">[17]</w:t>
        </w:r>
      </w:hyperlink>
      <w:r>
        <w:t xml:space="preserve"> </w:t>
      </w:r>
      <w:r>
        <w:t xml:space="preserve">Driving the Model to Its Limit: Profile Likelihood Based Model ...</w:t>
      </w:r>
    </w:p>
    <w:p>
      <w:pPr>
        <w:pStyle w:val="BodyText"/>
      </w:pPr>
      <w:hyperlink r:id="rId56">
        <w:r>
          <w:rPr>
            <w:rStyle w:val="Hyperlink"/>
          </w:rPr>
          <w:t xml:space="preserve">https://journals.plos.org/plosone/article?id=10.1371/journal.pone.0162366</w:t>
        </w:r>
      </w:hyperlink>
    </w:p>
    <w:p>
      <w:pPr>
        <w:pStyle w:val="BodyText"/>
      </w:pPr>
      <w:hyperlink r:id="rId41">
        <w:r>
          <w:rPr>
            <w:rStyle w:val="Hyperlink"/>
          </w:rPr>
          <w:t xml:space="preserve">[18]</w:t>
        </w:r>
      </w:hyperlink>
      <w:r>
        <w:t xml:space="preserve"> </w:t>
      </w:r>
      <w:r>
        <w:t xml:space="preserve">Structural and practical identifiability analysis of partially observed ...</w:t>
      </w:r>
    </w:p>
    <w:p>
      <w:pPr>
        <w:pStyle w:val="BodyText"/>
      </w:pPr>
      <w:hyperlink r:id="rId57">
        <w:r>
          <w:rPr>
            <w:rStyle w:val="Hyperlink"/>
          </w:rPr>
          <w:t xml:space="preserve">https://academic.oup.com/bioinformatics/article/25/15/1923/213246</w:t>
        </w:r>
      </w:hyperlink>
    </w:p>
    <w:p>
      <w:pPr>
        <w:pStyle w:val="BodyText"/>
      </w:pPr>
      <w:hyperlink r:id="rId42">
        <w:r>
          <w:rPr>
            <w:rStyle w:val="Hyperlink"/>
          </w:rPr>
          <w:t xml:space="preserve">[19]</w:t>
        </w:r>
      </w:hyperlink>
      <w:r>
        <w:t xml:space="preserve"> </w:t>
      </w:r>
      <w:r>
        <w:t xml:space="preserve">Structural and practical identifiability analysis of partially observed ...</w:t>
      </w:r>
    </w:p>
    <w:p>
      <w:pPr>
        <w:pStyle w:val="BodyText"/>
      </w:pPr>
      <w:hyperlink r:id="rId58">
        <w:r>
          <w:rPr>
            <w:rStyle w:val="Hyperlink"/>
          </w:rPr>
          <w:t xml:space="preserve">https://academic.oup.com/bioinformatics/article-pdf/25/15/1923/48992533/bioinformatics_25_15_1923.pdf</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(PDF) Structural and practical identifiability analysis of partially observed dynamical models by exploiting the profile likelihood</w:t>
      </w:r>
    </w:p>
    <w:p>
      <w:pPr>
        <w:pStyle w:val="BodyText"/>
      </w:pPr>
      <w:hyperlink r:id="rId59">
        <w:r>
          <w:rPr>
            <w:rStyle w:val="Hyperlink"/>
          </w:rPr>
          <w:t xml:space="preserve">https://www.academia.edu/111738586/Structural_and_practical_identifiability_analysis_of_partially_observed_dynamical_models_by_exploiting_the_profile_likelihood</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cademic.oup.com/bioinformatics/article-pdf/25/15/1923/48992533/bioinformatics_25_15_1923.pdf" TargetMode="External" /><Relationship Type="http://schemas.openxmlformats.org/officeDocument/2006/relationships/hyperlink" Id="rId42" Target="https://academic.oup.com/bioinformatics/article-pdf/25/15/1923/48992533/bioinformatics_25_15_1923.pdf#:~:text=Structural%20and%20practical%20identifiability%20analysis,is%20calibrated%20to%20experimental%20data" TargetMode="External" /><Relationship Type="http://schemas.openxmlformats.org/officeDocument/2006/relationships/hyperlink" Id="rId57" Target="https://academic.oup.com/bioinformatics/article/25/15/1923/213246" TargetMode="External" /><Relationship Type="http://schemas.openxmlformats.org/officeDocument/2006/relationships/hyperlink" Id="rId41" Target="https://academic.oup.com/bioinformatics/article/25/15/1923/213246#:~:text=,Raue" TargetMode="External" /><Relationship Type="http://schemas.openxmlformats.org/officeDocument/2006/relationships/hyperlink" Id="rId54" Target="https://journals.plos.org/plosone/article?id=10.1371/journal.pone.0027755" TargetMode="External" /><Relationship Type="http://schemas.openxmlformats.org/officeDocument/2006/relationships/hyperlink" Id="rId35" Target="https://journals.plos.org/plosone/article?id=10.1371/journal.pone.0027755#:~:text=For%20the%20case%20of%20one,local%20identifiability%20may%20be%20assessed" TargetMode="External" /><Relationship Type="http://schemas.openxmlformats.org/officeDocument/2006/relationships/hyperlink" Id="rId34" Target="https://journals.plos.org/plosone/article?id=10.1371/journal.pone.0027755#:~:text=Image%20%20represents%20an%20enzyme,20" TargetMode="External" /><Relationship Type="http://schemas.openxmlformats.org/officeDocument/2006/relationships/hyperlink" Id="rId31" Target="https://journals.plos.org/plosone/article?id=10.1371/journal.pone.0027755#:~:text=Saccomani%20et%20al.%20,computational%20error%20%E2%80%9Cheap%20space%20low%E2%80%9D" TargetMode="External" /><Relationship Type="http://schemas.openxmlformats.org/officeDocument/2006/relationships/hyperlink" Id="rId36" Target="https://journals.plos.org/plosone/article?id=10.1371/journal.pone.0027755#:~:text=The%20differential%20algebra%20approach%2C%20as,21" TargetMode="External" /><Relationship Type="http://schemas.openxmlformats.org/officeDocument/2006/relationships/hyperlink" Id="rId33" Target="https://journals.plos.org/plosone/article?id=10.1371/journal.pone.0027755#:~:text=The%20model%20describes%20the%20oscillations,20" TargetMode="External" /><Relationship Type="http://schemas.openxmlformats.org/officeDocument/2006/relationships/hyperlink" Id="rId30" Target="https://journals.plos.org/plosone/article?id=10.1371/journal.pone.0027755#:~:text=The%20pharmacokinetics%20model%20,22" TargetMode="External" /><Relationship Type="http://schemas.openxmlformats.org/officeDocument/2006/relationships/hyperlink" Id="rId37" Target="https://journals.plos.org/plosone/article?id=10.1371/journal.pone.0027755#:~:text=to%20check%20whether%20further%20results,could%20be%20achieved" TargetMode="External" /><Relationship Type="http://schemas.openxmlformats.org/officeDocument/2006/relationships/hyperlink" Id="rId51" Target="https://journals.plos.org/plosone/article?id=10.1371/journal.pone.0110261" TargetMode="External" /><Relationship Type="http://schemas.openxmlformats.org/officeDocument/2006/relationships/hyperlink" Id="rId24" Target="https://journals.plos.org/plosone/article?id=10.1371/journal.pone.0110261#:~:text=22,View%20Article" TargetMode="External" /><Relationship Type="http://schemas.openxmlformats.org/officeDocument/2006/relationships/hyperlink" Id="rId21" Target="https://journals.plos.org/plosone/article?id=10.1371/journal.pone.0110261#:~:text=The%20following%20nonlinear%20polynomial%204,22%5D%3AImage%2813" TargetMode="External" /><Relationship Type="http://schemas.openxmlformats.org/officeDocument/2006/relationships/hyperlink" Id="rId23" Target="https://journals.plos.org/plosone/article?id=10.1371/journal.pone.0110261#:~:text=With%20no%20initial%20conditions%20given%2C,noted%20above%2C%20this%20result%20can" TargetMode="External" /><Relationship Type="http://schemas.openxmlformats.org/officeDocument/2006/relationships/hyperlink" Id="rId56" Target="https://journals.plos.org/plosone/article?id=10.1371/journal.pone.0162366" TargetMode="External" /><Relationship Type="http://schemas.openxmlformats.org/officeDocument/2006/relationships/hyperlink" Id="rId40" Target="https://journals.plos.org/plosone/article?id=10.1371/journal.pone.0162366#:~:text=The%20profile%20likelihood%20is%20utilised,STAT%20signaling.%20BMC" TargetMode="External" /><Relationship Type="http://schemas.openxmlformats.org/officeDocument/2006/relationships/hyperlink" Id="rId53" Target="https://qcb.ucla.edu/wp-content/uploads/sites/14/2021/01/Meshkat-Anderson-DiStefano-2011.pdf" TargetMode="External" /><Relationship Type="http://schemas.openxmlformats.org/officeDocument/2006/relationships/hyperlink" Id="rId26" Target="https://qcb.ucla.edu/wp-content/uploads/sites/14/2021/01/Meshkat-Anderson-DiStefano-2011.pdf#:~:text=6,that%20has%20been%20made%20nonlinear" TargetMode="External" /><Relationship Type="http://schemas.openxmlformats.org/officeDocument/2006/relationships/hyperlink" Id="rId29" Target="https://qcb.ucla.edu/wp-content/uploads/sites/14/2021/01/Meshkat-Anderson-DiStefano-2011.pdf#:~:text=The%20Gr%C3%B6bner%20Basis%20with%20ranking,c1%20k12%20k21%20vm%202" TargetMode="External" /><Relationship Type="http://schemas.openxmlformats.org/officeDocument/2006/relationships/hyperlink" Id="rId28" Target="https://qcb.ucla.edu/wp-content/uploads/sites/14/2021/01/Meshkat-Anderson-DiStefano-2011.pdf#:~:text=b1%202%20b1%202%20k01,2%20b1%20km%20c1%20km" TargetMode="External" /><Relationship Type="http://schemas.openxmlformats.org/officeDocument/2006/relationships/hyperlink" Id="rId27" Target="https://qcb.ucla.edu/wp-content/uploads/sites/14/2021/01/Meshkat-Anderson-DiStefano-2011.pdf#:~:text=c1%20k12%20k21%20vm%202,k21%20vm%202%20b1%20c1" TargetMode="External" /><Relationship Type="http://schemas.openxmlformats.org/officeDocument/2006/relationships/hyperlink" Id="rId52" Target="https://ww3.math.ucla.edu/camreport/cam08-80.pdf" TargetMode="External" /><Relationship Type="http://schemas.openxmlformats.org/officeDocument/2006/relationships/hyperlink" Id="rId22" Target="https://ww3.math.ucla.edu/camreport/cam08-80.pdf#:~:text=HIV%2FAIDS%20model%2C%20inspection%20can%20only,%F0%9D%9C%871%20%2B%20%F0%9D%91%981%2C%20%F0%9D%91%90%2C%20%F0%9D%9C%872" TargetMode="External" /><Relationship Type="http://schemas.openxmlformats.org/officeDocument/2006/relationships/hyperlink" Id="rId59" Target="https://www.academia.edu/111738586/Structural_and_practical_identifiability_analysis_of_partially_observed_dynamical_models_by_exploiting_the_profile_likelihood" TargetMode="External" /><Relationship Type="http://schemas.openxmlformats.org/officeDocument/2006/relationships/hyperlink" Id="rId47" Target="https://www.academia.edu/111738586/Structural_and_practical_identifiability_analysis_of_partially_observed_dynamical_models_by_exploiting_the_profile_likelihood#:~:text=biochemical%20reaction%20networks%20obtained%20from,of%20an%20%27empirical%20observability%20Gramian" TargetMode="External" /><Relationship Type="http://schemas.openxmlformats.org/officeDocument/2006/relationships/hyperlink" Id="rId46" Target="https://www.academia.edu/111738586/Structural_and_practical_identifiability_analysis_of_partially_observed_dynamical_models_by_exploiting_the_profile_likelihood#:~:text=conducting%20a%20practical%20identifiability%20analysis,that%20largely%20improved%20identifiability%20properties" TargetMode="External" /><Relationship Type="http://schemas.openxmlformats.org/officeDocument/2006/relationships/hyperlink" Id="rId55" Target="https://www.researchgate.net/publication/259917765_Comparison_of_approaches_for_parameter_identifiability_analysis_of_biological_systems" TargetMode="External" /><Relationship Type="http://schemas.openxmlformats.org/officeDocument/2006/relationships/hyperlink" Id="rId43" Target="https://www.researchgate.net/publication/259917765_Comparison_of_approaches_for_parameter_identifiability_analysis_of_biological_systems#:~:text=,as%20benchmark%20models%20for" TargetMode="External" /><Relationship Type="http://schemas.openxmlformats.org/officeDocument/2006/relationships/hyperlink" Id="rId39" Target="https://www.researchgate.net/publication/259917765_Comparison_of_approaches_for_parameter_identifiability_analysis_of_biological_systems#:~:text=IL13induced%20JAK,." TargetMode="External" /><Relationship Type="http://schemas.openxmlformats.org/officeDocument/2006/relationships/hyperlink" Id="rId44" Target="https://www.researchgate.net/publication/259917765_Comparison_of_approaches_for_parameter_identifiability_analysis_of_biological_systems#:~:text=proteins%20or%20metabolites,the%20state%20vector%20x%20by" TargetMode="External" /></Relationships>
</file>

<file path=word/_rels/footnotes.xml.rels><?xml version="1.0" encoding="UTF-8"?><Relationships xmlns="http://schemas.openxmlformats.org/package/2006/relationships"><Relationship Type="http://schemas.openxmlformats.org/officeDocument/2006/relationships/hyperlink" Id="rId58" Target="https://academic.oup.com/bioinformatics/article-pdf/25/15/1923/48992533/bioinformatics_25_15_1923.pdf" TargetMode="External" /><Relationship Type="http://schemas.openxmlformats.org/officeDocument/2006/relationships/hyperlink" Id="rId42" Target="https://academic.oup.com/bioinformatics/article-pdf/25/15/1923/48992533/bioinformatics_25_15_1923.pdf#:~:text=Structural%20and%20practical%20identifiability%20analysis,is%20calibrated%20to%20experimental%20data" TargetMode="External" /><Relationship Type="http://schemas.openxmlformats.org/officeDocument/2006/relationships/hyperlink" Id="rId57" Target="https://academic.oup.com/bioinformatics/article/25/15/1923/213246" TargetMode="External" /><Relationship Type="http://schemas.openxmlformats.org/officeDocument/2006/relationships/hyperlink" Id="rId41" Target="https://academic.oup.com/bioinformatics/article/25/15/1923/213246#:~:text=,Raue" TargetMode="External" /><Relationship Type="http://schemas.openxmlformats.org/officeDocument/2006/relationships/hyperlink" Id="rId54" Target="https://journals.plos.org/plosone/article?id=10.1371/journal.pone.0027755" TargetMode="External" /><Relationship Type="http://schemas.openxmlformats.org/officeDocument/2006/relationships/hyperlink" Id="rId35" Target="https://journals.plos.org/plosone/article?id=10.1371/journal.pone.0027755#:~:text=For%20the%20case%20of%20one,local%20identifiability%20may%20be%20assessed" TargetMode="External" /><Relationship Type="http://schemas.openxmlformats.org/officeDocument/2006/relationships/hyperlink" Id="rId34" Target="https://journals.plos.org/plosone/article?id=10.1371/journal.pone.0027755#:~:text=Image%20%20represents%20an%20enzyme,20" TargetMode="External" /><Relationship Type="http://schemas.openxmlformats.org/officeDocument/2006/relationships/hyperlink" Id="rId31" Target="https://journals.plos.org/plosone/article?id=10.1371/journal.pone.0027755#:~:text=Saccomani%20et%20al.%20,computational%20error%20%E2%80%9Cheap%20space%20low%E2%80%9D" TargetMode="External" /><Relationship Type="http://schemas.openxmlformats.org/officeDocument/2006/relationships/hyperlink" Id="rId36" Target="https://journals.plos.org/plosone/article?id=10.1371/journal.pone.0027755#:~:text=The%20differential%20algebra%20approach%2C%20as,21" TargetMode="External" /><Relationship Type="http://schemas.openxmlformats.org/officeDocument/2006/relationships/hyperlink" Id="rId33" Target="https://journals.plos.org/plosone/article?id=10.1371/journal.pone.0027755#:~:text=The%20model%20describes%20the%20oscillations,20" TargetMode="External" /><Relationship Type="http://schemas.openxmlformats.org/officeDocument/2006/relationships/hyperlink" Id="rId30" Target="https://journals.plos.org/plosone/article?id=10.1371/journal.pone.0027755#:~:text=The%20pharmacokinetics%20model%20,22" TargetMode="External" /><Relationship Type="http://schemas.openxmlformats.org/officeDocument/2006/relationships/hyperlink" Id="rId37" Target="https://journals.plos.org/plosone/article?id=10.1371/journal.pone.0027755#:~:text=to%20check%20whether%20further%20results,could%20be%20achieved" TargetMode="External" /><Relationship Type="http://schemas.openxmlformats.org/officeDocument/2006/relationships/hyperlink" Id="rId51" Target="https://journals.plos.org/plosone/article?id=10.1371/journal.pone.0110261" TargetMode="External" /><Relationship Type="http://schemas.openxmlformats.org/officeDocument/2006/relationships/hyperlink" Id="rId24" Target="https://journals.plos.org/plosone/article?id=10.1371/journal.pone.0110261#:~:text=22,View%20Article" TargetMode="External" /><Relationship Type="http://schemas.openxmlformats.org/officeDocument/2006/relationships/hyperlink" Id="rId21" Target="https://journals.plos.org/plosone/article?id=10.1371/journal.pone.0110261#:~:text=The%20following%20nonlinear%20polynomial%204,22%5D%3AImage%2813" TargetMode="External" /><Relationship Type="http://schemas.openxmlformats.org/officeDocument/2006/relationships/hyperlink" Id="rId23" Target="https://journals.plos.org/plosone/article?id=10.1371/journal.pone.0110261#:~:text=With%20no%20initial%20conditions%20given%2C,noted%20above%2C%20this%20result%20can" TargetMode="External" /><Relationship Type="http://schemas.openxmlformats.org/officeDocument/2006/relationships/hyperlink" Id="rId56" Target="https://journals.plos.org/plosone/article?id=10.1371/journal.pone.0162366" TargetMode="External" /><Relationship Type="http://schemas.openxmlformats.org/officeDocument/2006/relationships/hyperlink" Id="rId40" Target="https://journals.plos.org/plosone/article?id=10.1371/journal.pone.0162366#:~:text=The%20profile%20likelihood%20is%20utilised,STAT%20signaling.%20BMC" TargetMode="External" /><Relationship Type="http://schemas.openxmlformats.org/officeDocument/2006/relationships/hyperlink" Id="rId53" Target="https://qcb.ucla.edu/wp-content/uploads/sites/14/2021/01/Meshkat-Anderson-DiStefano-2011.pdf" TargetMode="External" /><Relationship Type="http://schemas.openxmlformats.org/officeDocument/2006/relationships/hyperlink" Id="rId26" Target="https://qcb.ucla.edu/wp-content/uploads/sites/14/2021/01/Meshkat-Anderson-DiStefano-2011.pdf#:~:text=6,that%20has%20been%20made%20nonlinear" TargetMode="External" /><Relationship Type="http://schemas.openxmlformats.org/officeDocument/2006/relationships/hyperlink" Id="rId29" Target="https://qcb.ucla.edu/wp-content/uploads/sites/14/2021/01/Meshkat-Anderson-DiStefano-2011.pdf#:~:text=The%20Gr%C3%B6bner%20Basis%20with%20ranking,c1%20k12%20k21%20vm%202" TargetMode="External" /><Relationship Type="http://schemas.openxmlformats.org/officeDocument/2006/relationships/hyperlink" Id="rId28" Target="https://qcb.ucla.edu/wp-content/uploads/sites/14/2021/01/Meshkat-Anderson-DiStefano-2011.pdf#:~:text=b1%202%20b1%202%20k01,2%20b1%20km%20c1%20km" TargetMode="External" /><Relationship Type="http://schemas.openxmlformats.org/officeDocument/2006/relationships/hyperlink" Id="rId27" Target="https://qcb.ucla.edu/wp-content/uploads/sites/14/2021/01/Meshkat-Anderson-DiStefano-2011.pdf#:~:text=c1%20k12%20k21%20vm%202,k21%20vm%202%20b1%20c1" TargetMode="External" /><Relationship Type="http://schemas.openxmlformats.org/officeDocument/2006/relationships/hyperlink" Id="rId52" Target="https://ww3.math.ucla.edu/camreport/cam08-80.pdf" TargetMode="External" /><Relationship Type="http://schemas.openxmlformats.org/officeDocument/2006/relationships/hyperlink" Id="rId22" Target="https://ww3.math.ucla.edu/camreport/cam08-80.pdf#:~:text=HIV%2FAIDS%20model%2C%20inspection%20can%20only,%F0%9D%9C%871%20%2B%20%F0%9D%91%981%2C%20%F0%9D%91%90%2C%20%F0%9D%9C%872" TargetMode="External" /><Relationship Type="http://schemas.openxmlformats.org/officeDocument/2006/relationships/hyperlink" Id="rId59" Target="https://www.academia.edu/111738586/Structural_and_practical_identifiability_analysis_of_partially_observed_dynamical_models_by_exploiting_the_profile_likelihood" TargetMode="External" /><Relationship Type="http://schemas.openxmlformats.org/officeDocument/2006/relationships/hyperlink" Id="rId47" Target="https://www.academia.edu/111738586/Structural_and_practical_identifiability_analysis_of_partially_observed_dynamical_models_by_exploiting_the_profile_likelihood#:~:text=biochemical%20reaction%20networks%20obtained%20from,of%20an%20%27empirical%20observability%20Gramian" TargetMode="External" /><Relationship Type="http://schemas.openxmlformats.org/officeDocument/2006/relationships/hyperlink" Id="rId46" Target="https://www.academia.edu/111738586/Structural_and_practical_identifiability_analysis_of_partially_observed_dynamical_models_by_exploiting_the_profile_likelihood#:~:text=conducting%20a%20practical%20identifiability%20analysis,that%20largely%20improved%20identifiability%20properties" TargetMode="External" /><Relationship Type="http://schemas.openxmlformats.org/officeDocument/2006/relationships/hyperlink" Id="rId55" Target="https://www.researchgate.net/publication/259917765_Comparison_of_approaches_for_parameter_identifiability_analysis_of_biological_systems" TargetMode="External" /><Relationship Type="http://schemas.openxmlformats.org/officeDocument/2006/relationships/hyperlink" Id="rId43" Target="https://www.researchgate.net/publication/259917765_Comparison_of_approaches_for_parameter_identifiability_analysis_of_biological_systems#:~:text=,as%20benchmark%20models%20for" TargetMode="External" /><Relationship Type="http://schemas.openxmlformats.org/officeDocument/2006/relationships/hyperlink" Id="rId39" Target="https://www.researchgate.net/publication/259917765_Comparison_of_approaches_for_parameter_identifiability_analysis_of_biological_systems#:~:text=IL13induced%20JAK,." TargetMode="External" /><Relationship Type="http://schemas.openxmlformats.org/officeDocument/2006/relationships/hyperlink" Id="rId44" Target="https://www.researchgate.net/publication/259917765_Comparison_of_approaches_for_parameter_identifiability_analysis_of_biological_systems#:~:text=proteins%20or%20metabolites,the%20state%20vector%20x%20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2025-10-08T21:55:24Z</dcterms:created>
  <dcterms:modified xsi:type="dcterms:W3CDTF">2025-10-08T21:55:24Z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