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r>
        <w:t>Does crop-host supervision improve Swin-based multi-crop condition recognition? A controlled 90-run in-domain audit of performance, consistency, and confidence</w:t>
      </w:r>
    </w:p>
    <w:p>
      <w:pPr>
        <w:pStyle w:val="ListBullet"/>
      </w:pPr>
      <w:r>
        <w:t>Family-balanced testing preserves the near-null 43-class effect</w:t>
      </w:r>
    </w:p>
    <w:p>
      <w:pPr>
        <w:pStyle w:val="ListBullet"/>
      </w:pPr>
      <w:r>
        <w:t>Ninety Swin-S runs audit host supervision across three benchmarks</w:t>
      </w:r>
    </w:p>
    <w:p>
      <w:pPr>
        <w:pStyle w:val="ListBullet"/>
      </w:pPr>
      <w:r>
        <w:t>Flat and dual models are equivalent on all 43-class primary outcomes</w:t>
      </w:r>
    </w:p>
    <w:p>
      <w:pPr>
        <w:pStyle w:val="ListBullet"/>
      </w:pPr>
      <w:r>
        <w:t>Ground-truth-host oracle gains 2.2 points on the hardest benchmark</w:t>
      </w:r>
    </w:p>
    <w:p>
      <w:pPr>
        <w:pStyle w:val="ListBullet"/>
      </w:pPr>
      <w:r>
        <w:t>Temperature scaling cuts hardest-set ECE from 5.4% to about 1.6%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Highlights: Does crop-host supervision improve Swin-based multi-crop condition recognition? A controlled 90-run in-domain audit of performance, consistency, and confidence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