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48"/>
        </w:rPr>
        <w:t>Learner-State-Aware Generative User Interfaces: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48"/>
        </w:rPr>
        <w:t>A Closed-Loop Control Architecture for Adaptive Learning Environments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Omanand Prashant Swami, Sanjana Shashikant Chavan, K. V. Deshpande,</w:t>
      </w:r>
    </w:p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Pratik Rajendra Patil, Abhishek Ganesh Tirpude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Dept. of Computer Science and Business Systems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JSPM's Rajarshi Shahu College of Engineering, Pune, India</w:t>
      </w:r>
    </w:p>
    <w:p>
      <w:pPr>
        <w:spacing w:before="0" w:after="280" w:line="240" w:lineRule="auto"/>
        <w:ind w:firstLine="0"/>
        <w:jc w:val="center"/>
        <w:sectPr>
          <w:footnotePr>
            <w:numRestart w:val="eachSect"/>
          </w:footnotePr>
          <w:type w:val="continuous"/>
          <w:pgSz w:w="12240" w:h="15840"/>
          <w:pgMar w:top="938" w:bottom="1462" w:left="960" w:right="960" w:header="432" w:footer="432" w:gutter="0"/>
          <w:cols w:num="1" w:space="240"/>
        </w:sect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{opswami_csbs, sschavan_csbs, kvdeshpande_comp, prpatil_csbs, agtirpude_csbs}@jspmrscoe.edu.in</w:t>
      </w:r>
    </w:p>
    <w:p>
      <w:pPr>
        <w:pStyle w:val="FirstParagraph"/>
        <w:spacing w:before="0" w:after="80" w:line="210" w:lineRule="exact"/>
        <w:ind w:firstLine="202"/>
        <w:jc w:val="both"/>
      </w:pPr>
      <w:r>
        <w:rPr>
          <w:rFonts w:ascii="Times New Roman" w:hAnsi="Times New Roman" w:cs="Times New Roman" w:eastAsia="Times New Roman"/>
          <w:b/>
          <w:i/>
          <w:color w:val="000000"/>
          <w:sz w:val="18"/>
        </w:rPr>
        <w:t>Abstract—</w:t>
      </w:r>
      <w:r>
        <w:rPr>
          <w:rFonts w:ascii="Times New Roman" w:hAnsi="Times New Roman" w:cs="Times New Roman" w:eastAsia="Times New Roman"/>
          <w:b/>
          <w:color w:val="000000"/>
          <w:sz w:val="18"/>
        </w:rPr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Intelligent tutoring systems estimate what a learner knows but present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fixed interface, while generative user interfaces (GenUI) synthesize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interfaces at runtime without any model of the learner. We propose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closed-loop architecture that couples the two. Bayesian Knowledge Tracing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estimates mastery; a PID governor turns the mastery deficit into a structural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complexity budget; a rule-based policy selects scaffolding; a planner fixes the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layout closest to the budget; and a foundation model writes its content as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JSON component tree, with a fallback when schema or budget checks fail. We evaluate the architecture in silico on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1,000 synthetic learners from three archetypes, replayed through four arms.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The closed loop keeps the rendered interface within 0.012 of the governor’s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budget on average, against 0.131 for unconstrained GenUI and 0.123 for a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rule-based baseline, with 3.5 times less jitter than unconstrained GenUI,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which matches latent mastery slightly better but skips levels three times as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often. Standard BKT saturates after long success runs, so a later streak of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errors leaves the interface unchanged; a CUSUM lapse detector cuts overload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in a forgetting cohort by 25%. In 300 single calls to the real model with the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planner (not full learner sessions), 98.7% of screens were within budget, against 92% when the model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also chose the layout. All claims concern algorithmic behavior;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no learning gains are claimed.</w:t>
      </w:r>
    </w:p>
    <w:p>
      <w:pPr>
        <w:pStyle w:val="BodyText"/>
        <w:spacing w:before="0" w:after="80" w:line="210" w:lineRule="exact"/>
        <w:ind w:firstLine="202"/>
        <w:jc w:val="both"/>
      </w:pPr>
      <w:r>
        <w:rPr>
          <w:rFonts w:ascii="Times New Roman" w:hAnsi="Times New Roman" w:cs="Times New Roman" w:eastAsia="Times New Roman"/>
          <w:b/>
          <w:i/>
          <w:color w:val="000000"/>
          <w:sz w:val="18"/>
        </w:rPr>
        <w:t>Index Terms—</w:t>
      </w:r>
      <w:r>
        <w:rPr>
          <w:rFonts w:ascii="Times New Roman" w:hAnsi="Times New Roman" w:cs="Times New Roman" w:eastAsia="Times New Roman"/>
          <w:b/>
          <w:color w:val="000000"/>
          <w:sz w:val="18"/>
        </w:rPr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generative user interfaces, Bayesian knowledge tracing, PID control,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18"/>
        </w:rPr>
        <w:t xml:space="preserve">cognitive load, adaptive learning, simulation</w:t>
      </w:r>
    </w:p>
    <w:bookmarkStart w:id="9" w:name="i.-introduction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I. Introduction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Intelligent tutoring systems (ITS) have long modeled learners precisely.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Knowledge tracing maintains a probability that a learner has mastered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knowledge component [1],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tutors built on it have been deployed at scale in mathematics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[2], [3]. Their interface,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however, is authored in advance: the learner model selects the next problem,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not its presentation.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Generative user interfaces take the opposite position. A foundation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produces a task-specific interface for each request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[4], including interactive courseware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[5]. These systems are open loop: the model does not observe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learner’s state, and nothing bounds how complex the generated interface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becomes.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Cognitive load theory explains why this matters. The same material can help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 novice and hinder an expert (the expertise reversal effect)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[6], and guidance should fade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competence grows [7], [8].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adaptive interface therefore needs a learner model and a mechanism that holds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its complexity to that model without the abrupt changes that make adaptive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interfaces hard to use [9], [10].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BKT, PID control, layout search and constrained generation are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established; our contribution is their integration, in which a learner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sets a structural budget that a generated interface must meet at runtime: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 closed loop in which BKT mastery drives a PID governor whose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complexity budget is met by a layout planner and a generative model,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schema validation and a fallback.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 computable structural complexity metric over a component tree for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linear-equation tasks, built from features linked to cognitive load.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 w:eastAsia="Times New Roman"/>
          <w:color w:val="000000"/>
        </w:rPr>
        <w:t xml:space="preserve">An in-silico benchmark of 1,000 synthetic learners across four arms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ablations, including an analysis of BKT saturation after success runs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two remedies, with sensitivity to controller, metric and BKT parameters.</w:t>
      </w:r>
    </w:p>
    <w:bookmarkEnd w:id="9"/>
    <w:bookmarkStart w:id="10" w:name="ii.-related-work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II. Related Work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Learner modeling: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Bayesian Knowledge Tracing (BKT) models each knowledge component as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two-state hidden Markov model with prior, learning, guess and slip parameters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[1]. Extensions individualize parameters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[11], add forgetting [12] 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contextualize guess and slip [13]; its fixed points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analyzed in [14]. Extended BKT stays competitive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 logistic and deep models [12], [15]; its state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probability that can serve directly as a control variable.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Adaptive and generative interfaces: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Model-based interface generation [16] adapts presentation to users,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adaptation has costs: unpredictable changes reduce usability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[9], [10]. Recent GenUI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systems let a large language model produce the interface itself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[4], [5]. To our knowledge, none of these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systems bounds the generated interface by a learner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I).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Prior approaches against the three properties combined here</w:t>
      </w:r>
    </w:p>
    <w:tbl>
      <w:tblPr>
        <w:tblStyle w:val="Table"/>
        <w:tblW w:w="503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75"/>
        <w:gridCol w:w="921"/>
        <w:gridCol w:w="1167"/>
        <w:gridCol w:w="1475"/>
      </w:tblGrid>
      <w:tr>
        <w:trPr>
          <w:tblHeader w:val="on"/>
          <w:cantSplit/>
        </w:trPr>
        <w:tc>
          <w:tcPr>
            <w:tcW w:w="1475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Approach</w:t>
            </w:r>
          </w:p>
        </w:tc>
        <w:tc>
          <w:tcPr>
            <w:tcW w:w="92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Knowledge model</w:t>
            </w:r>
          </w:p>
        </w:tc>
        <w:tc>
          <w:tcPr>
            <w:tcW w:w="1167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Generated interface</w:t>
            </w:r>
          </w:p>
        </w:tc>
        <w:tc>
          <w:tcPr>
            <w:tcW w:w="1475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Bounded by learner state</w:t>
            </w:r>
          </w:p>
        </w:tc>
      </w:tr>
      <w:tr>
        <w:trPr>
          <w:cantSplit/>
        </w:trPr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Tracing tutors [1], [2]</w:t>
            </w:r>
          </w:p>
        </w:tc>
        <w:tc>
          <w:tcPr>
            <w:tcW w:w="92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67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Adaptive fading [8]</w:t>
            </w:r>
          </w:p>
        </w:tc>
        <w:tc>
          <w:tcPr>
            <w:tcW w:w="92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67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fixed rule</w:t>
            </w:r>
          </w:p>
        </w:tc>
      </w:tr>
      <w:tr>
        <w:trPr>
          <w:cantSplit/>
        </w:trPr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Model-based UI [16]</w:t>
            </w:r>
          </w:p>
        </w:tc>
        <w:tc>
          <w:tcPr>
            <w:tcW w:w="92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167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LLM-based GenUI [4], [5]</w:t>
            </w:r>
          </w:p>
        </w:tc>
        <w:tc>
          <w:tcPr>
            <w:tcW w:w="92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  <w:tc>
          <w:tcPr>
            <w:tcW w:w="1167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This work</w:t>
            </w:r>
          </w:p>
        </w:tc>
        <w:tc>
          <w:tcPr>
            <w:tcW w:w="92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167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  <w:tc>
          <w:tcPr>
            <w:tcW w:w="1475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yes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Cognitive load and scaffolding: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Cognitive load theory [17]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attributes intrinsic load to element interactivity [18].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Worked examples help algebra novices [19] and should fade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into problem solving [7], [8],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concrete representations should fade into symbolic ones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[20]. The balance model aids early understanding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linear equations but fails with negative quantities [21],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misconceptions about equality persist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[22], [23].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Control and constrained generation: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PID control with anti-windup and derivative filtering is standard practice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[24], [25]. Constrained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decoding guarantees well-formed model output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[26], though schema-constrained output is not perfectly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reliable in practice [27].</w:t>
      </w:r>
    </w:p>
    <w:bookmarkEnd w:id="10"/>
    <w:bookmarkStart w:id="25" w:name="iii.-architecture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III. Architecture</w:t>
      </w:r>
    </w:p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2944368" cy="1410108"/>
            <wp:effectExtent b="0" l="0" r="0" t="0"/>
            <wp:docPr descr="image" title="" id="12" name="Picture"/>
            <a:graphic>
              <a:graphicData uri="http://schemas.openxmlformats.org/drawingml/2006/picture">
                <pic:pic>
                  <pic:nvPicPr>
                    <pic:cNvPr descr="fig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368" cy="1410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1. The closed loop as deployed. The gate rechecks the budget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(dashed); failing trees are replaced from the fallback catalog. The learner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(shaded) is simulated here.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The loop has five stages (Fig. 1): a psychometric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estimator, a complexity governor, a fast policy, a layout planner, and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generative plant whose output passes a validation gate before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deterministic client renders it.</w:t>
      </w:r>
    </w:p>
    <w:bookmarkStart w:id="14" w:name="a.-mastery-estimati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Mastery estimation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After response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{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}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mastery estimate is updated by Bayes’ rule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the learning transition [1]. Writing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acc>
          <m:accPr>
            <m:chr m:val="̂"/>
          </m:accPr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</m:acc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∣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eqAr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∣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g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∣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−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=</m:t>
              </m:r>
              <m:acc>
                <m:accPr>
                  <m:chr m:val="̂"/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acc>
                <m:accPr>
                  <m:chr m:val="̂"/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>  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where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gives standard BKT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adds forgetting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[12]. Default parameters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0.20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They are design values, not fitted (sensitivity in Section V-C); they satisfy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bounds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0.3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0.1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 and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non-degeneracy conditions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&lt;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[14].</w:t>
      </w:r>
    </w:p>
    <w:bookmarkEnd w:id="14"/>
    <w:bookmarkStart w:id="15" w:name="b.-complexity-governor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B. Complexity governor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setpoint is the conventional mastery threshold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p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0.95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[1], [28]. The tracking error is normalized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each side of the setpoint so that deficit and surplus have equal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authority: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/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≤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/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−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&gt;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*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1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so that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control effort is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d</m:t>
              </m:r>
            </m:sub>
          </m:sSub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D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2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with the clamped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c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l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 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 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for anti-windup [25] and the first-order filtered derivative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[24].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inverted logistic maps effort to the complexity budget,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1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p>
            <m:e>
              <m:r>
                <w:rPr>
                  <w:rFonts w:ascii="Cambria Math" w:hAnsi="Cambria Math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sub>
              </m:sSub>
            </m:sup>
          </m:sSup>
          <m:sSup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3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which is quantized into four levels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ℓ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min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⌊</m:t>
        </m:r>
        <m:r>
          <w:rPr>
            <w:rFonts w:ascii="Cambria Math" w:hAnsi="Cambria Math"/>
            <w:sz w:val="20"/>
            <w:szCs w:val="20"/>
          </w:rPr>
          <m:t>4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⌋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hysteresis deadband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commits a new budget only when it differs from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last committed budget by at least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. The governor steps once per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 (unit sample time) from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e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 so the first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step has no derivative kick, and its first budget is always committed.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Gain selection: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Classical tuning rules [29], [30]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assume an identified plant, but here the interface does not alter simulated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responses (Section IV). Instead,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were selected by minimizing the cost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I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E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J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(Section IV) [31] on a separate 1,000-learner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tuning cohort; all reported results use a disjoint test cohort. A random search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200 uniform samples over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0.25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2.5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</w:t>
      </w:r>
      <m:oMath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≥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6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0.15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selected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0.865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0.377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0.672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γ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0.398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1.253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0.141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The cost surface is flat: the selected point scores 0.104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the tuning cohort against 0.110 for hand-set initial values, which rank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22nd of 201. The logistic slope 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k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ln</m:t>
        </m:r>
        <m:r>
          <w:rPr>
            <w:rFonts w:ascii="Cambria Math" w:hAnsi="Cambria Math"/>
            <w:sz w:val="20"/>
            <w:szCs w:val="20"/>
          </w:rPr>
          <m:t>19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2.202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so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that the effort range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sSub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maps to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0.95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bookmarkEnd w:id="15"/>
    <w:bookmarkStart w:id="16" w:name="c.-fast-policy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C. Fast policy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 fast policy maps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L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ℓ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m:rPr>
            <m:nor/>
          </m:rPr>
          <w:rPr>
            <w:rFonts w:ascii="Cambria Math" w:hAnsi="Cambria Math"/>
            <w:sz w:val="20"/>
            <w:szCs w:val="20"/>
          </w:rPr>
          <m:t>recent errors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to discrete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affordances: scaffolding mode (worked example, guided scaffold, open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symbolic), whether to show the balance-scale manipulative, whether hints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enabled, and an instructional density limit. The policy is deterministic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rule-based in every reported result. An open-weight decision model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[32], evaluated zero-shot, took 1.32 s per decision (median, CPU)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chose a worked example in all 200 test states, so it is not used.</w:t>
      </w:r>
    </w:p>
    <w:bookmarkEnd w:id="16"/>
    <w:bookmarkStart w:id="23" w:name="Xf5353b6fc128bbb19b355fc38e78750b7f8773e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D. Layout planner, generative plant and validation gate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planner turns the budget into a layout. The policy fixes the abstraction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the planner then enumerates every admissible layout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1–8 interactive elements, 0–3 hint tiers and nesting depth 1–4 (at most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168 candidates) and picks the one whose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closest to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</m:oMath>
      <w:r>
        <w:rPr>
          <w:rFonts w:ascii="Times New Roman" w:hAnsi="Times New Roman" w:cs="Times New Roman" w:eastAsia="Times New Roman"/>
          <w:color w:val="000000"/>
        </w:rPr>
        <w:t xml:space="preserve">. It keeps a requested worked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example when that stays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ties go to fewer elements,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then shallower nesting. The plant, Gemini 3.7 Flash served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through Vertex AI, receives this layout with the policy decision and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equation and writes the content as a JSON component tree. In the original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design (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free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mode) the plant also chose the layout; we measure both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III). Nodes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drawn from a closed set of six components (balance scale, worked step,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operation pad, symbolic workspace, hint accordion, verification plane). The client renders these components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directly and never executes generated code. Each emission is parsed against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schema; if parsing fails, or if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a precompiled fallback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tree nearest to the budget is rendered instead. A web client renders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trees for inspection (Fig. 2); the benchmark does not use it.</w:t>
      </w:r>
    </w:p>
    <w:tbl>
      <w:tblPr>
        <w:tblpPr w:leftFromText="0" w:rightFromText="0" w:topFromText="0" w:bottomFromText="200" w:vertAnchor="margin" w:horzAnchor="margin" w:tblpXSpec="center" w:tblpYSpec="top"/>
        <w:tblOverlap w:val="never"/>
        <w:tblW w:w="1032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20"/>
      </w:tblGrid>
      <w:tr>
        <w:tc>
          <w:tcPr>
            <w:tcW w:w="10320" w:type="dxa"/>
          </w:tcPr>
          <w:p>
            <w:pPr>
              <w:pStyle w:val="BodyText"/>
              <w:keepNext/>
              <w:spacing w:before="12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</w:rPr>
              <w:drawing>
                <wp:inline>
                  <wp:extent cx="2957651" cy="2103120"/>
                  <wp:effectExtent b="0" l="0" r="0" t="0"/>
                  <wp:docPr descr="image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/screen_l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651" cy="2103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>
              <w:rPr>
                <w:rFonts w:ascii="Times New Roman" w:hAnsi="Times New Roman" w:cs="Times New Roman" w:eastAsia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</w:rPr>
              <w:drawing>
                <wp:inline>
                  <wp:extent cx="2256238" cy="2103120"/>
                  <wp:effectExtent b="0" l="0" r="0" t="0"/>
                  <wp:docPr descr="image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/screen_l4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238" cy="2103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  <w:spacing w:before="60" w:after="160" w:line="190" w:lineRule="exact"/>
              <w:ind w:firstLine="0"/>
              <w:jc w:val="both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>Fig. 2. Screens written by Gemini 3.7 Flash in guided mode; both passed the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gate. Left: level 1, balance scale with a worked step (</w:t>
            </w:r>
            <m:oMath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0.091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0.111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). Right: level 4, graph verification (</w:t>
            </w:r>
            <m:oMath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0.903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=</m:t>
              </m:r>
              <m:r>
                <w:rPr>
                  <w:rFonts w:ascii="Cambria Math" w:hAnsi="Cambria Math"/>
                  <w:sz w:val="16"/>
                  <w:szCs w:val="16"/>
                </w:rPr>
                <m:t>0.905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).</w:t>
            </w:r>
          </w:p>
        </w:tc>
      </w:tr>
    </w:tbl>
    <w:bookmarkEnd w:id="23"/>
    <w:bookmarkStart w:id="24" w:name="e.-structural-complexity-metric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E. Structural complexity metric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For a tree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ρ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interactive elements, abstraction 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nesting depth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δ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</w:p>
    <w:p>
      <w:pPr>
        <w:pStyle w:val="BodyText"/>
        <w:spacing w:before="60" w:after="60" w:line="240" w:lineRule="auto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ρ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+</m:t>
          </m:r>
          <m:sSub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sub>
          </m:sSub>
          <m:f>
            <m:fPr>
              <m:type m:val="bar"/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−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,</m:t>
          </m:r>
          <m:r>
            <w:rPr>
              <w:rFonts w:ascii="Cambria Math" w:hAnsi="Cambria Math"/>
              <w:sz w:val="20"/>
              <w:szCs w:val="20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4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ρ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8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α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δ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∈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4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Each feature has a basis in prior work: element interactivity raises load [18]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display density is a classic complexity measure [33];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abstraction ladder from balance scale to operation pad to symbolic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workspace follows concreteness fading [20];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deeper structures cost users more [34].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Placing the Cartesian plane at the top of the ladder is our design choice.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 no data to fit weights, we use equal weights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3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which are robust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that setting [35], and test sensitivity to the weights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(Section V).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structural proxy; it has not been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validated against measured cognitive load.</w:t>
      </w:r>
    </w:p>
    <w:bookmarkEnd w:id="24"/>
    <w:bookmarkEnd w:id="25"/>
    <w:bookmarkStart w:id="27" w:name="iv.-method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IV. Method</w:t>
      </w:r>
    </w:p>
    <w:bookmarkStart w:id="26" w:name="a.-synthetic-learner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Synthetic learners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Simulated learners are an established way to test instructional designs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before human studies [36], [37],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BKT-generated data have been used to evaluate mastery assessment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[38]. Each learner is a two-state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HMM whose parameters are drawn uniformly from archetype ranges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(Table II). Novice and guesser ranges exceed the bounds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[1] by design but respect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[14]. The cohort has 1,000 learners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(300/400/300) with 40 items each. Responses are sampled once per learner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replayed unchanged through every arm (paired design). The interface therefore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does not influence the simulated responses: the benchmark measures controller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behavior, not learning.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Learner archetypes (uniform parameter ranges).</w:t>
      </w:r>
    </w:p>
    <w:tbl>
      <w:tblPr>
        <w:tblStyle w:val="Table"/>
        <w:tblW w:w="5036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19"/>
        <w:gridCol w:w="1064"/>
        <w:gridCol w:w="851"/>
        <w:gridCol w:w="851"/>
        <w:gridCol w:w="851"/>
      </w:tblGrid>
      <w:tr>
        <w:trPr>
          <w:tblHeader w:val="on"/>
          <w:cantSplit/>
        </w:trPr>
        <w:tc>
          <w:tcPr>
            <w:tcW w:w="1419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Archetype</w:t>
            </w:r>
          </w:p>
        </w:tc>
        <w:tc>
          <w:tcPr>
            <w:tcW w:w="1064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85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85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85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(</m:t>
              </m:r>
              <m:r>
                <w:rPr>
                  <w:rFonts w:ascii="Cambria Math" w:hAnsi="Cambria Math"/>
                  <w:sz w:val="20"/>
                  <w:szCs w:val="2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oMath>
          </w:p>
        </w:tc>
      </w:tr>
      <w:tr>
        <w:trPr>
          <w:cantSplit/>
        </w:trPr>
        <w:tc>
          <w:tcPr>
            <w:tcW w:w="1419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Struggling novice</w:t>
            </w:r>
          </w:p>
        </w:tc>
        <w:tc>
          <w:tcPr>
            <w:tcW w:w="1064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.02–.08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.03–.07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.10–.20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.20–.30</w:t>
            </w:r>
          </w:p>
        </w:tc>
      </w:tr>
      <w:tr>
        <w:trPr>
          <w:cantSplit/>
        </w:trPr>
        <w:tc>
          <w:tcPr>
            <w:tcW w:w="1419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Inconsistent guesser</w:t>
            </w:r>
          </w:p>
        </w:tc>
        <w:tc>
          <w:tcPr>
            <w:tcW w:w="1064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.05–.20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.10–.20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.15–.40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.08–.30</w:t>
            </w:r>
          </w:p>
        </w:tc>
      </w:tr>
      <w:tr>
        <w:trPr>
          <w:cantSplit/>
        </w:trPr>
        <w:tc>
          <w:tcPr>
            <w:tcW w:w="1419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Fast master</w:t>
            </w:r>
          </w:p>
        </w:tc>
        <w:tc>
          <w:tcPr>
            <w:tcW w:w="1064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.15–.30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.30–.40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.15–.25</w:t>
            </w:r>
          </w:p>
        </w:tc>
        <w:tc>
          <w:tcPr>
            <w:tcW w:w="85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.01–.03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Arms: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All arms see the same responses and BKT estimate. (1)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Static</w:t>
      </w:r>
      <w:r>
        <w:rPr>
          <w:rFonts w:ascii="Times New Roman" w:hAnsi="Times New Roman" w:cs="Times New Roman" w:eastAsia="Times New Roman"/>
          <w:color w:val="000000"/>
        </w:rPr>
        <w:t xml:space="preserve">: a fixed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level-2 interface. (2)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Unconstrained GenUI</w:t>
      </w:r>
      <w:r>
        <w:rPr>
          <w:rFonts w:ascii="Times New Roman" w:hAnsi="Times New Roman" w:cs="Times New Roman" w:eastAsia="Times New Roman"/>
          <w:color w:val="000000"/>
        </w:rPr>
        <w:t xml:space="preserve">: the plant sets its own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complexity to the estimate plus Gaussian noise (</w:t>
      </w:r>
      <m:oMath>
        <m:r>
          <w:rPr>
            <w:rFonts w:ascii="Cambria Math" w:hAnsi="Cambria Math"/>
            <w:sz w:val="20"/>
            <w:szCs w:val="20"/>
          </w:rPr>
          <m:t>σ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0.15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); only the schema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checked. (3)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Rule-based</w:t>
      </w:r>
      <w:r>
        <w:rPr>
          <w:rFonts w:ascii="Times New Roman" w:hAnsi="Times New Roman" w:cs="Times New Roman" w:eastAsia="Times New Roman"/>
          <w:color w:val="000000"/>
        </w:rPr>
        <w:t xml:space="preserve">: step up after three consecutive correct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responses and down after two consecutive errors, an up-down rule in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spirit of [39]. Arms 1 and 3 render catalog trees. (4)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Closed loop</w:t>
      </w:r>
      <w:r>
        <w:rPr>
          <w:rFonts w:ascii="Times New Roman" w:hAnsi="Times New Roman" w:cs="Times New Roman" w:eastAsia="Times New Roman"/>
          <w:color w:val="000000"/>
        </w:rPr>
        <w:t xml:space="preserve">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full architecture. Ablations remove the derivative filter, remove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anti-windup, and add a one-level slew limit.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Plant model in the benchmark: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benchmark replaces the foundation model with a surrogate that compiles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planner’s layout and injects faults: with probability 0.15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drifts off budget, and with probability 0.03 it emits malformed output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(e.g., truncated JSON, unknown component). These rates were set before the real model was measured.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unconstrained arm uses the same surrogate without the budget check.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We measured the real model in free mode, which tests the model alone,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guided mode, the deployed configuration with the planner. Each mode received 300 requests (JSON mode without a response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schema, thinking level low, temperature 0.4, 30 s timeout) with budgets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uniform on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[</m:t>
        </m:r>
        <m:r>
          <w:rPr>
            <w:rFonts w:ascii="Cambria Math" w:hAnsi="Cambria Math"/>
            <w:sz w:val="20"/>
            <w:szCs w:val="20"/>
          </w:rPr>
          <m:t>0.02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,</m:t>
        </m:r>
        <m:r>
          <w:rPr>
            <w:rFonts w:ascii="Cambria Math" w:hAnsi="Cambria Math"/>
            <w:sz w:val="20"/>
            <w:szCs w:val="20"/>
          </w:rPr>
          <m:t>0.98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]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scored by the same gate (Table III).</w:t>
      </w:r>
    </w:p>
    <w:p>
      <w:pPr>
        <w:pStyle w:val="BodyText"/>
        <w:keepNext/>
        <w:spacing w:before="120" w:after="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 w:val="0"/>
          <w:color w:val="000000"/>
          <w:sz w:val="16"/>
        </w:rPr>
        <w:t>TABLE III</w:t>
      </w:r>
    </w:p>
    <w:p>
      <w:pPr>
        <w:pStyle w:val="BodyText"/>
        <w:keepNext/>
        <w:spacing w:before="0" w:after="60" w:line="190" w:lineRule="exact"/>
        <w:ind w:firstLine="0"/>
        <w:jc w:val="center"/>
      </w:pPr>
      <w:r>
        <w:rPr>
          <w:rFonts w:ascii="Times New Roman" w:hAnsi="Times New Roman" w:cs="Times New Roman" w:eastAsia="Times New Roman"/>
          <w:smallCaps/>
          <w:color w:val="000000"/>
          <w:sz w:val="16"/>
        </w:rPr>
        <w:t>Gemini 3.7 Flash, 300 calls per mode.</w:t>
      </w:r>
    </w:p>
    <w:tbl>
      <w:tblPr>
        <w:tblStyle w:val="Table"/>
        <w:tblW w:w="5039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1061"/>
        <w:gridCol w:w="972"/>
      </w:tblGrid>
      <w:tr>
        <w:trPr>
          <w:tblHeader w:val="on"/>
          <w:cantSplit/>
        </w:trPr>
        <w:tc>
          <w:tcPr>
            <w:tcW w:w="3006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</w:p>
        </w:tc>
        <w:tc>
          <w:tcPr>
            <w:tcW w:w="1061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Free</w:t>
            </w:r>
          </w:p>
        </w:tc>
        <w:tc>
          <w:tcPr>
            <w:tcW w:w="972" w:type="dxa"/>
            <w:tcBorders>
              <w:bottom w:val="single" w:sz="4" w:space="0" w:color="000000"/>
            </w:tcBorders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Guided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Transport failures (HTTP error, timeout)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Content-malformed, of completed calls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3.4%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Off budget, of valid trees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2.8%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Within budget, of all calls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92.0%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98.7%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Median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|</m:t>
              </m:r>
              <m:sSub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−</m:t>
              </m:r>
              <m:sSubSup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16"/>
                      <w:szCs w:val="16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|</m:t>
              </m:r>
            </m:oMath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of valid trees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0.012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keepNext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0.007</w:t>
            </w:r>
          </w:p>
        </w:tc>
      </w:tr>
      <w:tr>
        <w:trPr>
          <w:cantSplit/>
        </w:trPr>
        <w:tc>
          <w:tcPr>
            <w:tcW w:w="3006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Latency of completed calls, median / p95</w:t>
            </w:r>
          </w:p>
        </w:tc>
        <w:tc>
          <w:tcPr>
            <w:tcW w:w="1061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7.7 / 18.6 s</w:t>
            </w:r>
          </w:p>
        </w:tc>
        <w:tc>
          <w:tcPr>
            <w:tcW w:w="972" w:type="dxa"/>
            <w:tcMar>
              <w:left w:w="60" w:type="dxa"/>
              <w:right w:w="60" w:type="dxa"/>
            </w:tcMar>
          </w:tcPr>
          <w:p>
            <w:pPr>
              <w:pStyle w:val="Compact"/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2.7 / 5.1 s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Free-mode failures lacked an interactive element (10/294) or missed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budget (8/284, mostly level 1); guided-mode failures were all in transport. The surrogate’s 3% malformed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rate thus matches free mode, and its 15% drift rate is a stress setting.</w:t>
      </w:r>
    </w:p>
    <w:p>
      <w:pPr>
        <w:pStyle w:val="BodyText"/>
      </w:pP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Metrics: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Constraint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Sup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measured against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budget the closed-loop governor commits for the same responses, so that all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arms share one reference;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“within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”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the share of steps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≤</m:t>
        </m:r>
        <m:r>
          <w:rPr>
            <w:rFonts w:ascii="Cambria Math" w:hAnsi="Cambria Math"/>
            <w:sz w:val="20"/>
            <w:szCs w:val="20"/>
          </w:rPr>
          <m:t>0.05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Interface jitter 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J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den>
        </m:f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|</m:t>
            </m:r>
          </m:e>
        </m:nary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|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and a skip is a change of two 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more levels between consecutive items. Jitter operationalizes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stability concern of [9]; the formula is ours.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Recovery time is the number of items after a streak of five or more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until the level returns to its pre-streak value. Fallback rate is the share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 steps rendered from the fallback catalog. Because the simulator knows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learner’s latent state, we also report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overload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(level 3 or 4 shown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while the skill is not known),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</w:rPr>
        <w:t xml:space="preserve">underload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(level 1 or 2 shown while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known) and an ITAE-weighted mismatch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(</m:t>
            </m:r>
          </m:e>
        </m:nary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nary>
          <m:naryPr>
            <m:chr m:val="∑"/>
            <m:limLoc m:val="subSup"/>
            <m:subHide m:val="off"/>
            <m:supHide m:val="on"/>
          </m:naryPr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(</m:t>
            </m:r>
          </m:e>
        </m:nary>
        <m:r>
          <w:rPr>
            <w:rFonts w:ascii="Cambria Math" w:hAnsi="Cambria Math"/>
            <w:sz w:val="20"/>
            <w:szCs w:val="20"/>
          </w:rPr>
          <m:t>n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[31], where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n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marks either case. These are level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mismatches, not measured load.</w:t>
      </w:r>
    </w:p>
    <w:bookmarkEnd w:id="26"/>
    <w:bookmarkEnd w:id="27"/>
    <w:bookmarkStart w:id="38" w:name="v.-result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V. Results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All numbers come from one run on the test cohort (seed 20261003; tuning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seed 20261004), with normal-approximation 95% CIs over 1,000 learners. The CIs reflect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variation across learners in this run, not across independent runs.</w:t>
      </w:r>
    </w:p>
    <w:tbl>
      <w:tblPr>
        <w:tblpPr w:leftFromText="0" w:rightFromText="0" w:topFromText="0" w:bottomFromText="200" w:vertAnchor="margin" w:horzAnchor="margin" w:tblpXSpec="center" w:tblpYSpec="top"/>
        <w:tblOverlap w:val="never"/>
        <w:tblW w:w="1032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20"/>
      </w:tblGrid>
      <w:tr>
        <w:tc>
          <w:tcPr>
            <w:tcW w:w="10320" w:type="dxa"/>
          </w:tcPr>
          <w:p>
            <w:pPr>
              <w:pStyle w:val="BodyText"/>
              <w:keepNext/>
              <w:spacing w:before="120" w:after="0" w:line="190" w:lineRule="exact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mallCaps w:val="0"/>
                <w:color w:val="000000"/>
                <w:sz w:val="16"/>
              </w:rPr>
              <w:t>TABLE IV</w:t>
            </w:r>
          </w:p>
          <w:p>
            <w:pPr>
              <w:pStyle w:val="BodyText"/>
              <w:keepNext/>
              <w:spacing w:before="0" w:after="60" w:line="190" w:lineRule="exact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>Main results and ablations on the test cohort.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Δ</m:t>
              </m:r>
              <m:r>
                <w:rPr>
                  <w:rFonts w:ascii="Cambria Math" w:hAnsi="Cambria Math"/>
                  <w:sz w:val="16"/>
                  <w:szCs w:val="16"/>
                </w:rPr>
                <m:t>M</m:t>
              </m:r>
            </m:oMath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and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“within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m:oMath>
              <m:r>
                <w:rPr>
                  <w:rFonts w:ascii="Cambria Math" w:hAnsi="Cambria Math"/>
                  <w:sz w:val="16"/>
                  <w:szCs w:val="16"/>
                </w:rPr>
                <m:t>ε</m:t>
              </m:r>
            </m:oMath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”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are measured against the closed-loop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reference budget; every closed-loop variant meets its own budget at every step. Overload,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underload and ITAE use the latent learner state and exist only in simulation.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mallCaps/>
                <w:color w:val="000000"/>
                <w:sz w:val="16"/>
              </w:rPr>
              <w:t xml:space="preserve">Fallback rates follow from the surrogate’s fault rates.</w:t>
            </w:r>
          </w:p>
          <w:tbl>
            <w:tblPr>
              <w:tblStyle w:val="Table"/>
              <w:tblW w:w="10316" w:type="dxa"/>
              <w:jc w:val="center"/>
              <w:tblBorders>
                <w:top w:val="single" w:sz="8" w:space="0" w:color="000000"/>
                <w:bottom w:val="single" w:sz="8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84"/>
              <w:gridCol w:w="2293"/>
              <w:gridCol w:w="938"/>
              <w:gridCol w:w="938"/>
              <w:gridCol w:w="938"/>
              <w:gridCol w:w="833"/>
              <w:gridCol w:w="938"/>
              <w:gridCol w:w="521"/>
              <w:gridCol w:w="833"/>
            </w:tblGrid>
            <w:tr>
              <w:trPr>
                <w:tblHeader w:val="on"/>
                <w:cantSplit/>
              </w:trPr>
              <w:tc>
                <w:tcPr>
                  <w:tcW w:w="2084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Arm</w:t>
                  </w:r>
                </w:p>
              </w:tc>
              <w:tc>
                <w:tcPr>
                  <w:tcW w:w="2293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6"/>
                        <w:szCs w:val="16"/>
                      </w:rPr>
                      <m:t>Δ</m:t>
                    </m:r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oMath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(95% CI)</w:t>
                  </w:r>
                </w:p>
              </w:tc>
              <w:tc>
                <w:tcPr>
                  <w:tcW w:w="938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Within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m:oMath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ε</m:t>
                    </m:r>
                  </m:oMath>
                </w:p>
              </w:tc>
              <w:tc>
                <w:tcPr>
                  <w:tcW w:w="938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Jitter</w:t>
                  </w: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 </w:t>
                  </w:r>
                  <m:oMath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J</m:t>
                    </m:r>
                  </m:oMath>
                </w:p>
              </w:tc>
              <w:tc>
                <w:tcPr>
                  <w:tcW w:w="938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Skips/run</w:t>
                  </w:r>
                </w:p>
              </w:tc>
              <w:tc>
                <w:tcPr>
                  <w:tcW w:w="833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Overload</w:t>
                  </w:r>
                </w:p>
              </w:tc>
              <w:tc>
                <w:tcPr>
                  <w:tcW w:w="938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Underload</w:t>
                  </w:r>
                </w:p>
              </w:tc>
              <w:tc>
                <w:tcPr>
                  <w:tcW w:w="521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ITAE</w:t>
                  </w:r>
                </w:p>
              </w:tc>
              <w:tc>
                <w:tcPr>
                  <w:tcW w:w="833" w:type="dxa"/>
                  <w:tcBorders>
                    <w:bottom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Fallback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Static</w:t>
                  </w:r>
                </w:p>
              </w:tc>
              <w:tc>
                <w:tcPr>
                  <w:tcW w:w="229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0.426 (0.422–0.430)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0.004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0.800</w:t>
                  </w:r>
                </w:p>
              </w:tc>
              <w:tc>
                <w:tcPr>
                  <w:tcW w:w="5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0.892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–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Unconstrained GenUI</w:t>
                  </w:r>
                </w:p>
              </w:tc>
              <w:tc>
                <w:tcPr>
                  <w:tcW w:w="229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0.131 (0.128–0.134)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0.321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0.123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2.06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0.024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0.054</w:t>
                  </w:r>
                </w:p>
              </w:tc>
              <w:tc>
                <w:tcPr>
                  <w:tcW w:w="5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0.043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0.030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Rule-based</w:t>
                  </w:r>
                </w:p>
              </w:tc>
              <w:tc>
                <w:tcPr>
                  <w:tcW w:w="229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0.123 (0.119–0.128)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0.596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0.025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0.000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0.245</w:t>
                  </w:r>
                </w:p>
              </w:tc>
              <w:tc>
                <w:tcPr>
                  <w:tcW w:w="5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0.180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–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Closed loop</w:t>
                  </w:r>
                </w:p>
              </w:tc>
              <w:tc>
                <w:tcPr>
                  <w:tcW w:w="229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0.0122 (0.0119–0.0124)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1.000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0.035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0.67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0.121</w:t>
                  </w:r>
                </w:p>
              </w:tc>
              <w:tc>
                <w:tcPr>
                  <w:tcW w:w="5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0.073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0.154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no derivative filter</w:t>
                  </w:r>
                </w:p>
              </w:tc>
              <w:tc>
                <w:tcPr>
                  <w:tcW w:w="2293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0.031 (0.030–0.033)</w:t>
                  </w:r>
                </w:p>
              </w:tc>
              <w:tc>
                <w:tcPr>
                  <w:tcW w:w="938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0.811</w:t>
                  </w:r>
                </w:p>
              </w:tc>
              <w:tc>
                <w:tcPr>
                  <w:tcW w:w="938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0.044</w:t>
                  </w:r>
                </w:p>
              </w:tc>
              <w:tc>
                <w:tcPr>
                  <w:tcW w:w="938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1.19</w:t>
                  </w:r>
                </w:p>
              </w:tc>
              <w:tc>
                <w:tcPr>
                  <w:tcW w:w="833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938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0.124</w:t>
                  </w:r>
                </w:p>
              </w:tc>
              <w:tc>
                <w:tcPr>
                  <w:tcW w:w="521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0.076</w:t>
                  </w:r>
                </w:p>
              </w:tc>
              <w:tc>
                <w:tcPr>
                  <w:tcW w:w="833" w:type="dxa"/>
                  <w:tcBorders>
                    <w:top w:val="single" w:sz="4" w:space="0" w:color="000000"/>
                  </w:tcBorders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0.156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no anti-windup</w:t>
                  </w:r>
                </w:p>
              </w:tc>
              <w:tc>
                <w:tcPr>
                  <w:tcW w:w="229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0.107 (0.102–0.112)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0.549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0.024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0.42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0.001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0.217</w:t>
                  </w:r>
                </w:p>
              </w:tc>
              <w:tc>
                <w:tcPr>
                  <w:tcW w:w="5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0.174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keepNext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0.159</w:t>
                  </w:r>
                </w:p>
              </w:tc>
            </w:tr>
            <w:tr>
              <w:trPr>
                <w:cantSplit/>
              </w:trPr>
              <w:tc>
                <w:tcPr>
                  <w:tcW w:w="2084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 w:left="173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one-level slew limit</w:t>
                  </w:r>
                </w:p>
              </w:tc>
              <w:tc>
                <w:tcPr>
                  <w:tcW w:w="229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0.025 (0.023–0.026)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0.875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0.034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0.02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0.002</w:t>
                  </w:r>
                </w:p>
              </w:tc>
              <w:tc>
                <w:tcPr>
                  <w:tcW w:w="938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0.121</w:t>
                  </w:r>
                </w:p>
              </w:tc>
              <w:tc>
                <w:tcPr>
                  <w:tcW w:w="521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0.073</w:t>
                  </w:r>
                </w:p>
              </w:tc>
              <w:tc>
                <w:tcPr>
                  <w:tcW w:w="833" w:type="dxa"/>
                  <w:tcMar>
                    <w:left w:w="60" w:type="dxa"/>
                    <w:right w:w="60" w:type="dxa"/>
                  </w:tcMar>
                </w:tcPr>
                <w:p>
                  <w:pPr>
                    <w:pStyle w:val="Compact"/>
                    <w:spacing w:before="20" w:after="20" w:line="240" w:lineRule="auto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color w:val="000000"/>
                      <w:sz w:val="16"/>
                    </w:rPr>
                    <w:t xml:space="preserve">0.153</w:t>
                  </w:r>
                </w:p>
              </w:tc>
            </w:tr>
          </w:tbl>
          <w:p/>
        </w:tc>
      </w:tr>
    </w:tbl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3200400" cy="1143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fig/resul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3. Main comparison on the test cohort (means, 95% CIs); closed loop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dark.</w:t>
      </w:r>
    </w:p>
    <w:bookmarkStart w:id="31" w:name="a.-main-comparis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A. Main comparison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closed loop keeps the rendered interface within 0.012 of its budget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 average (Table IV, Fig. 3), against 0.131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0.123 for unconstrained GenUI and the rule-based arm. Every rendered tree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 partly by construction: the generator’s own output met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budget on 84.6% of steps, and the gate replaced the other 15.4% from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fallback catalog. Compliance thus belongs to governor, planner and gate together. The closed loop’s jitter (0.035) is 3.5 times lower than that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unconstrained GenUI (0.123), which also skips levels 2.06 times per run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against 0.67. The rule-based arm is smoother still (0.025, no skips), because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 moves one level at a time. Against the latent learner state, the picture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mixed. Unconstrained GenUI has the lowest ITAE mismatch (0.043 against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0.073) and the least underload (5.4% of steps against 12.1%), but shows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abstract interface to a learner who does not know the skill twelve times as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often (2.4% against 0.2%). After streaks of five or more errors that lowered the level, the closed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loop regained its pre-streak level in 34 of 51 cases (median 5 items),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rule-based arm in 9 of 19 (median 12).</w:t>
      </w:r>
    </w:p>
    <w:bookmarkEnd w:id="31"/>
    <w:bookmarkStart w:id="32" w:name="b.-ablation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B. Ablations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Removing the derivative filter raises jitter from 0.035 to 0.044 and nearly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doubles level skips (1.19 per run). Removing anti-windup lets the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grow without bound: underload rises from 12.1% to 21.7%, only 84%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learners reach level 4 against 95%, and median recovery after an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streak grows from 5 to 14 items. In a scripted probe the unclamped integral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reached 22.9 (clamp 1.25). A one-level slew limit removes nearly all skips (0.02 per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run) and leaves the ground-truth measures unchanged.</w:t>
      </w:r>
    </w:p>
    <w:bookmarkEnd w:id="32"/>
    <w:bookmarkStart w:id="33" w:name="c.-sensitivity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C. Sensitivity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Changing each controller parameter by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raised the cost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I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E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r>
          <w:rPr>
            <w:rFonts w:ascii="Cambria Math" w:hAnsi="Cambria Math"/>
            <w:sz w:val="20"/>
            <w:szCs w:val="20"/>
          </w:rPr>
          <m:t>J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 from 0.108 to at most 0.118, except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1.5</m:t>
        </m:r>
        <m:sSub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Δ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h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which lowered it to 0.104 but more than doubled level skips. For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metric weights, the closed loop’s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stays between 0.007 and 0.017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under equal weights, the initial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0.40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0.35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split and three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single-feature-heavy splits (</w:t>
      </w:r>
      <m:oMath>
        <m:r>
          <w:rPr>
            <w:rFonts w:ascii="Cambria Math" w:hAnsi="Cambria Math"/>
            <w:sz w:val="20"/>
            <w:szCs w:val="20"/>
          </w:rPr>
          <m:t>0.6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/</m:t>
        </m:r>
        <m:r>
          <w:rPr>
            <w:rFonts w:ascii="Cambria Math" w:hAnsi="Cambria Math"/>
            <w:sz w:val="20"/>
            <w:szCs w:val="20"/>
          </w:rPr>
          <m:t>0.2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). Dropping abstraction or depth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roughly doubles it (0.023 and 0.022) while keeping more than 99% of steps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Dropping element density breaks the loop: fallbacks rise to 84% and only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18% of screens are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Changing each BKT parameter by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kept every step within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Δ</m:t>
        </m:r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between 0.010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0.017, jitter between 0.034 and 0.041 and fallbacks at 15–16%.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 mainly shift when the interface escalates: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G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move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ITAE between 0.048 and 0.115, and skips rise to at most 1.20 per run.</w:t>
      </w:r>
    </w:p>
    <w:bookmarkEnd w:id="33"/>
    <w:bookmarkStart w:id="37" w:name="d.-bkt-saturation-and-lapse-handling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  <w:smallCaps w:val="0"/>
          <w:color w:val="000000"/>
          <w:sz w:val="20"/>
        </w:rPr>
        <w:t xml:space="preserve">D. BKT saturation and lapse handling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Under correct responses the BKT estimate converges to a stable fixed point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one [14]. With the default parameters the estimate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exceeds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sSup>
          <m:e>
            <m:r>
              <w:rPr>
                <w:rFonts w:ascii="Cambria Math" w:hAnsi="Cambria Math"/>
                <w:sz w:val="20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−</m:t>
            </m:r>
            <m:r>
              <w:rPr>
                <w:rFonts w:ascii="Cambria Math" w:hAnsi="Cambria Math"/>
                <w:sz w:val="20"/>
                <w:szCs w:val="20"/>
              </w:rPr>
              <m:t>6</m:t>
            </m:r>
          </m:sup>
        </m:sSup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after ten correct responses and five subsequent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lower it only to about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0.98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; after 24 correct responses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equals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1.0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in double precision and no further evidence can lower it. The interface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then stays at its highest level through a streak of errors.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We compare two remedies: forgetting,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&gt;</m:t>
        </m:r>
        <m:r>
          <w:rPr>
            <w:rFonts w:ascii="Cambria Math" w:hAnsi="Cambria Math"/>
            <w:sz w:val="20"/>
            <w:szCs w:val="20"/>
          </w:rPr>
          <m:t>0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[12],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a CUSUM detector [40] on the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log-likelihood ratio between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“not known”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and the tracker’s prediction,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which resets the estimate to 0.5 when the sum exceeds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h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6.5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accumulates only when a confident estimate is contradicted, so isolated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slips are absorbed. Forgetting uses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(</m:t>
        </m:r>
        <m:r>
          <w:rPr>
            <w:rFonts w:ascii="Cambria Math" w:hAnsi="Cambria Math"/>
            <w:sz w:val="20"/>
            <w:szCs w:val="20"/>
          </w:rPr>
          <m:t>F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)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0.02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p>
      <w:pPr>
        <w:pStyle w:val="BodyText"/>
        <w:keepNext/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</w:rPr>
        <w:drawing>
          <wp:inline>
            <wp:extent cx="3200400" cy="1097279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fig/prob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97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160" w:line="190" w:lineRule="exact"/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16"/>
        </w:rPr>
        <w:t>Fig. 4. Scripted probe: 15 correct responses, five errors, then correct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again. With plain BKT the estimate is saturated and the budget never moves.</w:t>
      </w:r>
    </w:p>
    <w:p>
      <w:pPr>
        <w:pStyle w:val="BodyText"/>
      </w:pPr>
      <w:r>
        <w:rPr>
          <w:rFonts w:ascii="Times New Roman" w:hAnsi="Times New Roman" w:cs="Times New Roman" w:eastAsia="Times New Roman"/>
          <w:color w:val="000000"/>
        </w:rPr>
        <w:t xml:space="preserve">In a scripted probe with fifteen correct responses followed by five errors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(Fig. 4), the plain closed loop never lowers the interface; the CUSUM variant drops a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level 3 items after the streak begins and forgetting after 1. To test this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at scale, a second cohort of 1,000 learners can forget the skill with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probability 0.02–0.06 per item. There the plain closed loop shows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abstract interface to a learner who does not know the skill on 7.6%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steps. The CUSUM detector lowers this to 5.6% (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−</m:t>
        </m:r>
        <m:r>
          <w:rPr>
            <w:rFonts w:ascii="Cambria Math" w:hAnsi="Cambria Math"/>
            <w:sz w:val="20"/>
            <w:szCs w:val="20"/>
          </w:rPr>
          <m:t>25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) at the cost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higher jitter (0.052 against 0.042) and an almost unchanged ITAE mismatch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(0.189 against 0.184). Forgetting lowers overload further, to 3.0%,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underloads on 25.3% of steps against 12.8%, raises ITAE to 0.273 and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lets only 80% of learners reach level 4. Neither remedy dominates; weighting recent responses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[41] is left for future work.</w:t>
      </w:r>
    </w:p>
    <w:bookmarkEnd w:id="37"/>
    <w:bookmarkEnd w:id="38"/>
    <w:bookmarkStart w:id="39" w:name="vi.-discussion-and-limitation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VI. Discussion and Limitations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benchmark tests whether the controller does what it is designed to do; it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does not test whether learners benefit. Because simulated responses do not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depend on the interface, the loop is closed only through the mastery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estimate, not through the learner.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sSub>
          <m:e>
            <m:r>
              <w:rPr>
                <w:rFonts w:ascii="Cambria Math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is a structural proxy that has not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been validated against measured or perceived load, for which instruments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exist [42]; the results show structural complexity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regulation, not reduced cognitive load. BKT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parameters are design values rather than fits to tutor data;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±</m:t>
        </m:r>
        <m:r>
          <w:rPr>
            <w:rFonts w:ascii="Cambria Math" w:hAnsi="Cambria Math"/>
            <w:sz w:val="20"/>
            <w:szCs w:val="20"/>
          </w:rPr>
          <m:t>50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%</m:t>
        </m:r>
      </m:oMath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changes leave tracking intact but shift when the interface escalates. Long error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streaks may reflect misconceptions rather than slips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[23]; the controller does not distinguish these.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surrogate plant’s fault rates match or exceed the real model’s, but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the real model was measured on single calls, not full trajectories. Its latency (median 7.7 s free,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2.7 s guided) calls for prefetching or caching.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 learned fast policy would need real interaction data.</w:t>
      </w:r>
    </w:p>
    <w:bookmarkEnd w:id="39"/>
    <w:bookmarkStart w:id="40" w:name="vii.-conclusion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VII. Conclusion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We coupled a learner model to a generative interface through a PID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governor, a layout planner and a validation gate, and tested the loop in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simulation. The governor’s budget is met at every step, with the gate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replacing the 15.4% of generated trees that miss it, and the interface changes 3.5 times less than an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unconstrained generator while rarely showing abstract screens to simulated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learners who have not mastered the skill. Anti-windup and the derivative filter each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matter, and a slew limit removes level skips. Standard BKT stops reacting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after long success runs; a CUSUM lapse detector restores the reaction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a modest cost in jitter, while forgetting trades overload for underload. In 300 single real calls, 98.7%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screens met the budget with the planner and 92% without it. The next steps are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running full trajectories with the real model, a learned fast policy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trained on real interaction data, and a study with learners. We claim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structural budget regulation in simulation, not learning gains or reduced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cognitive load.</w:t>
      </w:r>
    </w:p>
    <w:bookmarkEnd w:id="40"/>
    <w:bookmarkStart w:id="42" w:name="code-and-data-availability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Code and Data Availability</w:t>
      </w:r>
    </w:p>
    <w:p>
      <w:pPr>
        <w:pStyle w:val="FirstParagraph"/>
      </w:pPr>
      <w:r>
        <w:rPr>
          <w:rFonts w:ascii="Times New Roman" w:hAnsi="Times New Roman" w:cs="Times New Roman" w:eastAsia="Times New Roman"/>
          <w:color w:val="000000"/>
        </w:rPr>
        <w:t xml:space="preserve">The engine, simulation harness, benchmark results and the sources of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this manuscript are openly available at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hyperlink r:id="rId41">
        <w:r>
          <w:rPr>
            <w:rStyle w:val="Hyperlink"/>
          </w:rPr>
          <w:t xml:space="preserve">https://github.com/omanandswami2005/closed-loop-genui-research-implementation</w:t>
        </w:r>
      </w:hyperlink>
      <w:r>
        <w:rPr>
          <w:rFonts w:ascii="Times New Roman" w:hAnsi="Times New Roman" w:cs="Times New Roman" w:eastAsia="Times New Roman"/>
          <w:color w:val="000000"/>
        </w:rPr>
        <w:t xml:space="preserve">.</w:t>
      </w:r>
    </w:p>
    <w:bookmarkEnd w:id="42"/>
    <w:bookmarkStart w:id="81" w:name="references"/>
    <w:p>
      <w:pPr>
        <w:pStyle w:val="Heading1"/>
      </w:pPr>
      <w:r>
        <w:rPr>
          <w:rFonts w:ascii="Times New Roman" w:hAnsi="Times New Roman" w:cs="Times New Roman" w:eastAsia="Times New Roman"/>
          <w:b w:val="0"/>
          <w:i w:val="0"/>
          <w:smallCaps/>
          <w:color w:val="000000"/>
          <w:sz w:val="20"/>
        </w:rPr>
        <w:t xml:space="preserve">References</w:t>
      </w:r>
    </w:p>
    <w:p>
      <w:pPr>
        <w:pStyle w:val="FirstParagraph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[1] A. T. Corbett and J. R. Anderson,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“Knowledge tracing: Modeling the acquisition of procedural knowledge,”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 and User-Adapted Interaction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4, no. 4, pp. 253–278, 1995.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https://doi.org/10.1007/BF01099821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[2] S. Ritter, J. R. Anderson, K. R. Koedinger, and A. Corbett,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Cognitive Tutor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Applied research in mathematics education,”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Psychonomic Bulletin &amp;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14, no. 2, pp. 249–255, 2007.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https://doi.org/10.3758/BF03194060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[3] K. VanLehn,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relative effectiveness of human tutoring, intelligent tutoring systems, and other tutoring systems,”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46, no. 4, pp. 197–221, 2011.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https://doi.org/10.1080/00461520.2011.611369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[4] Y. Leviathan, D. Valevski, M. Kalman, D. Lumen, E. Segalis, E. Molad, S. Pasternak, V. Natchu, V. Nygaard, V. Srinivasan, J. Manyika, and Y. Matias,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“Generative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LLMs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are effective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generators,”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arXiv:2604.09577, 2026.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https://arxiv.org/abs/2604.09577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[5] S. Tu, Y. Li, K. Chen, S. Zhang, J. Yu, D. Zhang-Li, L. Hou, J. Li, Y. Zhang, H. Liu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et al.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MAIC-UI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Making interactive courseware with generative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arXiv:2604.25806, 2026.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[6] S. Kalyuga, P. Ayres, P. Chandler, and J. Sweller,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expertise reversal effect,”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1, pp. 23–31,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https://doi.org/10.1207/S15326985EP3801_4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[7] A. Renkl and R. K. Atkinson,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“Structuring the transition from example study to problem solving in cognitive skill acquisition: A cognitive load perspective,”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1, pp. 15–22,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https://doi.org/10.1207/S15326985EP3801_3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[8] R. J. C. M. Salden, V. Aleven, R. Schwonke, and A. Renkl,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expertise reversal effect and worked examples in tutored problem solving,”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Instructional Science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38, no. 3, pp. 289–307,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4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https://doi.org/10.1007/s11251-009-9107-8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[9] K. Z. Gajos, K. Everitt, D. S. Tan, M. Czerwinski, and D. S. Weld,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“Predictability and accuracy in adaptive user interfaces,”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SIGCHI Conference on Human Factors in Computing Systems (CHI)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ACM, 2008, pp. 1271–1274.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https://doi.org/10.1145/1357054.1357252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[10] L. Findlater and J. McGrenere,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 comparison of static, adaptive, and adaptable menus,”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SIGCHI Conference on Human Factors in Computing Systems (CHI)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ACM, 2004, pp. 89–96.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https://doi.org/10.1145/985692.985704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[11] Z. A. Pardos and N. T. Heffernan,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“Modeling individualization in 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networks implementation of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Modeling, Adaptation, and Personalization (UMAP 2010)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Science. Springer, 2010, pp. 255–266.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https://doi.org/10.1007/978-3-642-13470-8_24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[12] M. Khajah, R. V. Lindsey, and M. C. Mozer,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“How deep is knowledge tracing?”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9th International Conference on Educational Data Mining (EDM 2016)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2016.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https://arxiv.org/abs/1604.02416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[13] R. S. J. d. Baker, A. T. Corbett, and V. Aleven,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“More accurate student modeling through contextual estimation of slip and guess probabilities 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Intelligent Tutoring Systems (ITS 2008)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ser. Lecture Notes in Computer Science. Springer, 2008, pp. 406–415.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https://doi.org/10.1007/978-3-540-69132-7_44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[14] B. van de Sande,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“Properties of 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 model,”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Educational Data Mining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5, no. 2, pp. 1–10, 2013.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https://jedm.educationaldatamining.org/index.php/JEDM/article/view/35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[15] R. Pel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á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nek,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 logistic models, and beyond: An overview of learner modeling techniques,”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User Modeling and User-Adapted Interaction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27, no. 3–5, pp. 313–350, 2017.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https://doi.org/10.1007/s11257-017-9193-2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[16] K. Z. Gajos, D. S. Weld, and J. O. Wobbrock,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“Automatically generating personalized user interfaces with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Supple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Artificial Intelligence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 174, no. 12–13, pp. 910–950,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https://doi.org/10.1016/j.artint.2010.05.005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[17] J. Sweller,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“Cognitive load during problem solving: Effects on learning,”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Cognitive Science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12, no. 2, pp. 257–285, 1988.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https://doi.org/10.1207/s15516709cog1202_4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[18] ——,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“Element interactivity and intrinsic, extraneous, and germane cognitive load,”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Psychology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22, no. 2, pp. 123–138, 2010.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5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https://doi.org/10.1007/s10648-010-9128-5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[19] J. Sweller and G. A. Cooper,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use of worked examples as a substitute for problem solving in learning algebra,”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Cognition and Instruction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2, no. 1, pp. 59–89, 1985.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https://doi.org/10.1207/s1532690xci0201_3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[20] E. R. Fyfe, N. M. McNeil, J. Y. Son, and R. L. Goldstone,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“Concreteness fading in mathematics and science instruction: A systematic review,”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Psychology Review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26, no. 1, pp. 9–25, 2014.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https://doi.org/10.1007/s10648-014-9249-3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[21] J. Vlassis,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balance model: Hindrance or support for the solving of linear equations with one unknown,”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Studies in Mathematics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49, no. 3, pp. 341–359, 2002.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https://doi.org/10.1023/A:1020229023965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[22] C. Kieran,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“Concepts associated with the equality symbol,”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Educational Studies in Mathematics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12, no. 3, pp. 317–326, 1981.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https://doi.org/10.1007/BF00311062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[23] J. L. Booth, C. Barbieri, F. Eyer, and E. J. Par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é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-Blagoev,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“Persistent and pernicious errors in algebraic problem solving,”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The Journal of Problem Solving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7, no. 1, 2014.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https://doi.org/10.7771/1932-6246.1161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[24] K. J.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Å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str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ö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 and T. 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ä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gglund,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Advanced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PID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Control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Research Triangle Park, NC: ISA – The Instrumentation, Systems, and Automation Society, 2006.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[25] K. J.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Å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str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ö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 and L. Rundqwist,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“Integrator windup and how to avoid it,”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1989 American Control Conference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. IEEE, 1989, pp. 1693–1698.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https://doi.org/10.23919/ACC.1989.4790464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[26] B. T. Willard and R. Louf,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“Efficient guided generation for large language models,”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arXiv:2307.09702, 2023.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https://arxiv.org/abs/2307.09702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[27] S. Geng, H. Cooper, M. Moskal, S. Jenkins, J. Berman, N. Ranchin, R. West, E. Horvitz, and H. Nori,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JSONSchemaBench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: A rigorous benchmark of structured outputs for language models,”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arXiv:2501.10868, 2025.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https://arxiv.org/abs/2501.10868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[28] J. Zhang, K. Vanacore, R. S. Baker, N. Ch, C. Mills, and O. Henkel,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“How much mastery is enough mastery?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The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relationship between mastery in a lesson and the performance on the subsequent lesson,”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18th International Conference on Educational Data Mining (EDM 2025)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2025.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https://doi.org/10.5281/zenodo.15870292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[29] J. G. Ziegler and N. B. Nichols,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“Optimum settings for automatic controllers,”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Transactions of the ASME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64, no. 8, pp. 759–765, 1942.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6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https://doi.org/10.1115/1.4019264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[30] S. Skogestad,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“Simple analytic rules for model reduction and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PID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controller tuning,”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Process Control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13, no. 4, pp. 291–309, 2003.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https://doi.org/10.1016/S0959-1524(02)00062-8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[31] D. Graham and R. C. Lathrop,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synthesis of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‘optimum’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transient response: Criteria and standard forms,”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Transactions of the American Institute of Electrical Engineers, Part II: Applications and Industry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72, no. 5, pp. 273–288, 1953.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1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https://doi.org/10.1109/TAI.1953.6371346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[32]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Convai Innovations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“Laya: Open-weight decision model,”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Model card,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2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https://huggingface.co/convaiinnovations/laya</w:t>
        </w:r>
      </w:hyperlink>
      <w:r>
        <w:rPr>
          <w:rFonts w:ascii="Times New Roman" w:hAnsi="Times New Roman" w:cs="Times New Roman" w:eastAsia="Times New Roman"/>
          <w:color w:val="000000"/>
          <w:sz w:val="16"/>
        </w:rPr>
        <w:t xml:space="preserve">, 2026.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[33] T. S. Tullis,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formatting of alphanumeric displays: A review and analysis,”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Human Factors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25, no. 6, pp. 657–682, 1983.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3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https://doi.org/10.1177/001872088302500604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[34] J. I. Kiger,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depth/breadth trade-off in the design of menu-driven user interfaces,”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International Journal of Man-Machine Studies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20, no. 2, pp. 201–213, 1984.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4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https://doi.org/10.1016/S0020-7373(84)80018-8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[35] R. M. Dawes,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“The robust beauty of improper linear models in decision making,”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American Psychologist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34, no. 7, pp. 571–582, 1979.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5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https://doi.org/10.1037/0003-066X.34.7.571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[36] K. VanLehn, S. Ohlsson, and R. Nason,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“Applications of simulated students: An exploration,”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Journal of Artificial Intelligence in Education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5, no. 2, pp. 135–175, 1994.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[37] T. K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ä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ser and G. Alexandron,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“Simulated learners in educational technology: A systematic literature review and 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uring-like test,”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International Journal of Artificial Intelligence in Education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34, no. 2, pp. 545–585, 2024.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6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https://doi.org/10.1007/s40593-023-00337-2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[38] S. E. Fancsali, T. Nixon, and S. Ritter,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“Optimal and worst-case performance of mastery learning assessment with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ayesian knowledge tracing,”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in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Proceedings of the 6th International Conference on Educational Data Mining (EDM 2013)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2013.</w:t>
      </w:r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[39] H. Levitt,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“Transformed up-down methods in psychoacoustics,”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The Journal of the Acoustical Society of America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49, no. 2B, pp. 467–477, 1971.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7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https://doi.org/10.1121/1.1912375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[40] E. S. Page,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“Continuous inspection schemes,”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Biometrika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41, no. 1/2, pp. 100–115, 1954.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8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https://doi.org/10.2307/2333009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[41] A. Galyardt and I. Goldin,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“Predicting performance during tutoring with models of recent performance,”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arXiv:1501.02732, 2015.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79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https://arxiv.org/abs/1501.02732</w:t>
        </w:r>
      </w:hyperlink>
    </w:p>
    <w:p>
      <w:pPr>
        <w:pStyle w:val="BodyText"/>
        <w:spacing w:before="0" w:after="0" w:line="180" w:lineRule="exact"/>
        <w:ind w:hanging="360" w:left="360"/>
        <w:jc w:val="left"/>
      </w:pPr>
      <w:r>
        <w:rPr>
          <w:rFonts w:ascii="Times New Roman" w:hAnsi="Times New Roman" w:cs="Times New Roman" w:eastAsia="Times New Roman"/>
          <w:color w:val="000000"/>
          <w:sz w:val="16"/>
        </w:rPr>
        <w:t>[42] J. Leppink, F. Paas, C. P. M. Van der Vleuten, T. Van Gog, and J. J. G. Van Merri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ë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nboer,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“Development of an instrument for measuring different types of cognitive load,”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r>
        <w:rPr>
          <w:rFonts w:ascii="Times New Roman" w:hAnsi="Times New Roman" w:cs="Times New Roman" w:eastAsia="Times New Roman"/>
          <w:i/>
          <w:iCs/>
          <w:color w:val="000000"/>
          <w:sz w:val="16"/>
        </w:rPr>
        <w:t xml:space="preserve">Behavior Research Methods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, vol. 45, no. 4, pp. 1058–1072, 2013. [Online]. Available:</w:t>
      </w:r>
      <w:r>
        <w:rPr>
          <w:rFonts w:ascii="Times New Roman" w:hAnsi="Times New Roman" w:cs="Times New Roman" w:eastAsia="Times New Roman"/>
          <w:color w:val="000000"/>
          <w:sz w:val="16"/>
        </w:rPr>
        <w:t xml:space="preserve"> </w:t>
      </w:r>
      <w:hyperlink r:id="rId80">
        <w:r>
          <w:rPr>
            <w:rStyle w:val="Hyperlink"/>
            <w:rFonts w:ascii="Times New Roman" w:hAnsi="Times New Roman" w:cs="Times New Roman" w:eastAsia="Times New Roman"/>
            <w:color w:val="000000"/>
            <w:sz w:val="16"/>
          </w:rPr>
          <w:t xml:space="preserve">https://doi.org/10.3758/s13428-013-0334-1</w:t>
        </w:r>
      </w:hyperlink>
    </w:p>
    <w:bookmarkEnd w:id="81"/>
    <w:sectPr>
      <w:footnotePr>
        <w:numRestart w:val="eachSect"/>
      </w:footnotePr>
      <w:type w:val="continuous"/>
      <w:pgSz w:w="12240" w:h="15840"/>
      <w:pgMar w:top="938" w:bottom="1462" w:left="960" w:right="960" w:header="432" w:footer="432" w:gutter="0"/>
      <w:cols w:num="2" w:space="2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0" w:before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exact"/>
      <w:ind w:firstLine="202"/>
      <w:jc w:val="both"/>
    </w:pPr>
    <w:rPr>
      <w:rFonts w:ascii="Times New Roman" w:hAnsi="Times New Roman" w:cs="Times New Roman" w:eastAsia="Times New Roman"/>
      <w:b w:val="0"/>
      <w:i w:val="0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cs="Times New Roman" w:eastAsia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60" w:line="240" w:lineRule="exact"/>
      <w:ind w:firstLine="0"/>
      <w:jc w:val="center"/>
      <w:outlineLvl w:val="0"/>
    </w:pPr>
    <w:rPr>
      <w:rFonts w:ascii="Times New Roman" w:hAnsi="Times New Roman" w:cs="Times New Roman" w:eastAsia="Times New Roman"/>
      <w:b w:val="0"/>
      <w:i w:val="0"/>
      <w:smallCaps/>
      <w:color w:val="00000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20" w:line="240" w:lineRule="exact"/>
      <w:ind w:firstLine="0"/>
      <w:jc w:val="left"/>
      <w:outlineLvl w:val="1"/>
    </w:pPr>
    <w:rPr>
      <w:rFonts w:ascii="Times New Roman" w:hAnsi="Times New Roman" w:cs="Times New Roman" w:eastAsia="Times New Roman"/>
      <w:b w:val="0"/>
      <w:i/>
      <w:smallCaps w:val="0"/>
      <w:color w:val="000000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cs="Times New Roman" w:eastAsia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cs="Times New Roman" w:eastAsia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cs="Times New Roman" w:eastAsia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cs="Times New Roman" w:eastAsia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34" Type="http://schemas.openxmlformats.org/officeDocument/2006/relationships/image" Target="media/rId34.png"/><Relationship Id="rId28" Type="http://schemas.openxmlformats.org/officeDocument/2006/relationships/image" Target="media/rId28.png"/><Relationship Id="rId17" Type="http://schemas.openxmlformats.org/officeDocument/2006/relationships/image" Target="media/rId17.png"/><Relationship Id="rId20" Type="http://schemas.openxmlformats.org/officeDocument/2006/relationships/image" Target="media/rId20.png"/><Relationship Id="rId79" Type="http://schemas.openxmlformats.org/officeDocument/2006/relationships/hyperlink" Target="https://arxiv.org/abs/1501.02732" TargetMode="External"/><Relationship Id="rId53" Type="http://schemas.openxmlformats.org/officeDocument/2006/relationships/hyperlink" Target="https://arxiv.org/abs/1604.02416" TargetMode="External"/><Relationship Id="rId66" Type="http://schemas.openxmlformats.org/officeDocument/2006/relationships/hyperlink" Target="https://arxiv.org/abs/2307.09702" TargetMode="External"/><Relationship Id="rId67" Type="http://schemas.openxmlformats.org/officeDocument/2006/relationships/hyperlink" Target="https://arxiv.org/abs/2501.10868" TargetMode="External"/><Relationship Id="rId46" Type="http://schemas.openxmlformats.org/officeDocument/2006/relationships/hyperlink" Target="https://arxiv.org/abs/2604.09577" TargetMode="External"/><Relationship Id="rId54" Type="http://schemas.openxmlformats.org/officeDocument/2006/relationships/hyperlink" Target="https://doi.org/10.1007/978-3-540-69132-7_44" TargetMode="External"/><Relationship Id="rId52" Type="http://schemas.openxmlformats.org/officeDocument/2006/relationships/hyperlink" Target="https://doi.org/10.1007/978-3-642-13470-8_24" TargetMode="External"/><Relationship Id="rId63" Type="http://schemas.openxmlformats.org/officeDocument/2006/relationships/hyperlink" Target="https://doi.org/10.1007/BF00311062" TargetMode="External"/><Relationship Id="rId43" Type="http://schemas.openxmlformats.org/officeDocument/2006/relationships/hyperlink" Target="https://doi.org/10.1007/BF01099821" TargetMode="External"/><Relationship Id="rId59" Type="http://schemas.openxmlformats.org/officeDocument/2006/relationships/hyperlink" Target="https://doi.org/10.1007/s10648-010-9128-5" TargetMode="External"/><Relationship Id="rId61" Type="http://schemas.openxmlformats.org/officeDocument/2006/relationships/hyperlink" Target="https://doi.org/10.1007/s10648-014-9249-3" TargetMode="External"/><Relationship Id="rId49" Type="http://schemas.openxmlformats.org/officeDocument/2006/relationships/hyperlink" Target="https://doi.org/10.1007/s11251-009-9107-8" TargetMode="External"/><Relationship Id="rId56" Type="http://schemas.openxmlformats.org/officeDocument/2006/relationships/hyperlink" Target="https://doi.org/10.1007/s11257-017-9193-2" TargetMode="External"/><Relationship Id="rId76" Type="http://schemas.openxmlformats.org/officeDocument/2006/relationships/hyperlink" Target="https://doi.org/10.1007/s40593-023-00337-2" TargetMode="External"/><Relationship Id="rId74" Type="http://schemas.openxmlformats.org/officeDocument/2006/relationships/hyperlink" Target="https://doi.org/10.1016/S0020-7373(84)80018-8" TargetMode="External"/><Relationship Id="rId70" Type="http://schemas.openxmlformats.org/officeDocument/2006/relationships/hyperlink" Target="https://doi.org/10.1016/S0959-1524(02)00062-8" TargetMode="External"/><Relationship Id="rId57" Type="http://schemas.openxmlformats.org/officeDocument/2006/relationships/hyperlink" Target="https://doi.org/10.1016/j.artint.2010.05.005" TargetMode="External"/><Relationship Id="rId62" Type="http://schemas.openxmlformats.org/officeDocument/2006/relationships/hyperlink" Target="https://doi.org/10.1023/A:1020229023965" TargetMode="External"/><Relationship Id="rId75" Type="http://schemas.openxmlformats.org/officeDocument/2006/relationships/hyperlink" Target="https://doi.org/10.1037/0003-066X.34.7.571" TargetMode="External"/><Relationship Id="rId45" Type="http://schemas.openxmlformats.org/officeDocument/2006/relationships/hyperlink" Target="https://doi.org/10.1080/00461520.2011.611369" TargetMode="External"/><Relationship Id="rId71" Type="http://schemas.openxmlformats.org/officeDocument/2006/relationships/hyperlink" Target="https://doi.org/10.1109/TAI.1953.6371346" TargetMode="External"/><Relationship Id="rId69" Type="http://schemas.openxmlformats.org/officeDocument/2006/relationships/hyperlink" Target="https://doi.org/10.1115/1.4019264" TargetMode="External"/><Relationship Id="rId77" Type="http://schemas.openxmlformats.org/officeDocument/2006/relationships/hyperlink" Target="https://doi.org/10.1121/1.1912375" TargetMode="External"/><Relationship Id="rId50" Type="http://schemas.openxmlformats.org/officeDocument/2006/relationships/hyperlink" Target="https://doi.org/10.1145/1357054.1357252" TargetMode="External"/><Relationship Id="rId51" Type="http://schemas.openxmlformats.org/officeDocument/2006/relationships/hyperlink" Target="https://doi.org/10.1145/985692.985704" TargetMode="External"/><Relationship Id="rId73" Type="http://schemas.openxmlformats.org/officeDocument/2006/relationships/hyperlink" Target="https://doi.org/10.1177/001872088302500604" TargetMode="External"/><Relationship Id="rId48" Type="http://schemas.openxmlformats.org/officeDocument/2006/relationships/hyperlink" Target="https://doi.org/10.1207/S15326985EP3801_3" TargetMode="External"/><Relationship Id="rId47" Type="http://schemas.openxmlformats.org/officeDocument/2006/relationships/hyperlink" Target="https://doi.org/10.1207/S15326985EP3801_4" TargetMode="External"/><Relationship Id="rId60" Type="http://schemas.openxmlformats.org/officeDocument/2006/relationships/hyperlink" Target="https://doi.org/10.1207/s1532690xci0201_3" TargetMode="External"/><Relationship Id="rId58" Type="http://schemas.openxmlformats.org/officeDocument/2006/relationships/hyperlink" Target="https://doi.org/10.1207/s15516709cog1202_4" TargetMode="External"/><Relationship Id="rId78" Type="http://schemas.openxmlformats.org/officeDocument/2006/relationships/hyperlink" Target="https://doi.org/10.2307/2333009" TargetMode="External"/><Relationship Id="rId65" Type="http://schemas.openxmlformats.org/officeDocument/2006/relationships/hyperlink" Target="https://doi.org/10.23919/ACC.1989.4790464" TargetMode="External"/><Relationship Id="rId44" Type="http://schemas.openxmlformats.org/officeDocument/2006/relationships/hyperlink" Target="https://doi.org/10.3758/BF03194060" TargetMode="External"/><Relationship Id="rId80" Type="http://schemas.openxmlformats.org/officeDocument/2006/relationships/hyperlink" Target="https://doi.org/10.3758/s13428-013-0334-1" TargetMode="External"/><Relationship Id="rId68" Type="http://schemas.openxmlformats.org/officeDocument/2006/relationships/hyperlink" Target="https://doi.org/10.5281/zenodo.15870292" TargetMode="External"/><Relationship Id="rId64" Type="http://schemas.openxmlformats.org/officeDocument/2006/relationships/hyperlink" Target="https://doi.org/10.7771/1932-6246.1161" TargetMode="External"/><Relationship Id="rId41" Type="http://schemas.openxmlformats.org/officeDocument/2006/relationships/hyperlink" Target="https://github.com/omanandswami2005/closed-loop-genui-research-implementation" TargetMode="External"/><Relationship Id="rId72" Type="http://schemas.openxmlformats.org/officeDocument/2006/relationships/hyperlink" Target="https://huggingface.co/convaiinnovations/laya" TargetMode="External"/><Relationship Id="rId55" Type="http://schemas.openxmlformats.org/officeDocument/2006/relationships/hyperlink" Target="https://jedm.educationaldatamining.org/index.php/JEDM/article/view/35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https://arxiv.org/abs/1501.02732" TargetMode="External"/><Relationship Id="rId53" Type="http://schemas.openxmlformats.org/officeDocument/2006/relationships/hyperlink" Target="https://arxiv.org/abs/1604.02416" TargetMode="External"/><Relationship Id="rId66" Type="http://schemas.openxmlformats.org/officeDocument/2006/relationships/hyperlink" Target="https://arxiv.org/abs/2307.09702" TargetMode="External"/><Relationship Id="rId67" Type="http://schemas.openxmlformats.org/officeDocument/2006/relationships/hyperlink" Target="https://arxiv.org/abs/2501.10868" TargetMode="External"/><Relationship Id="rId46" Type="http://schemas.openxmlformats.org/officeDocument/2006/relationships/hyperlink" Target="https://arxiv.org/abs/2604.09577" TargetMode="External"/><Relationship Id="rId54" Type="http://schemas.openxmlformats.org/officeDocument/2006/relationships/hyperlink" Target="https://doi.org/10.1007/978-3-540-69132-7_44" TargetMode="External"/><Relationship Id="rId52" Type="http://schemas.openxmlformats.org/officeDocument/2006/relationships/hyperlink" Target="https://doi.org/10.1007/978-3-642-13470-8_24" TargetMode="External"/><Relationship Id="rId63" Type="http://schemas.openxmlformats.org/officeDocument/2006/relationships/hyperlink" Target="https://doi.org/10.1007/BF00311062" TargetMode="External"/><Relationship Id="rId43" Type="http://schemas.openxmlformats.org/officeDocument/2006/relationships/hyperlink" Target="https://doi.org/10.1007/BF01099821" TargetMode="External"/><Relationship Id="rId59" Type="http://schemas.openxmlformats.org/officeDocument/2006/relationships/hyperlink" Target="https://doi.org/10.1007/s10648-010-9128-5" TargetMode="External"/><Relationship Id="rId61" Type="http://schemas.openxmlformats.org/officeDocument/2006/relationships/hyperlink" Target="https://doi.org/10.1007/s10648-014-9249-3" TargetMode="External"/><Relationship Id="rId49" Type="http://schemas.openxmlformats.org/officeDocument/2006/relationships/hyperlink" Target="https://doi.org/10.1007/s11251-009-9107-8" TargetMode="External"/><Relationship Id="rId56" Type="http://schemas.openxmlformats.org/officeDocument/2006/relationships/hyperlink" Target="https://doi.org/10.1007/s11257-017-9193-2" TargetMode="External"/><Relationship Id="rId76" Type="http://schemas.openxmlformats.org/officeDocument/2006/relationships/hyperlink" Target="https://doi.org/10.1007/s40593-023-00337-2" TargetMode="External"/><Relationship Id="rId74" Type="http://schemas.openxmlformats.org/officeDocument/2006/relationships/hyperlink" Target="https://doi.org/10.1016/S0020-7373(84)80018-8" TargetMode="External"/><Relationship Id="rId70" Type="http://schemas.openxmlformats.org/officeDocument/2006/relationships/hyperlink" Target="https://doi.org/10.1016/S0959-1524(02)00062-8" TargetMode="External"/><Relationship Id="rId57" Type="http://schemas.openxmlformats.org/officeDocument/2006/relationships/hyperlink" Target="https://doi.org/10.1016/j.artint.2010.05.005" TargetMode="External"/><Relationship Id="rId62" Type="http://schemas.openxmlformats.org/officeDocument/2006/relationships/hyperlink" Target="https://doi.org/10.1023/A:1020229023965" TargetMode="External"/><Relationship Id="rId75" Type="http://schemas.openxmlformats.org/officeDocument/2006/relationships/hyperlink" Target="https://doi.org/10.1037/0003-066X.34.7.571" TargetMode="External"/><Relationship Id="rId45" Type="http://schemas.openxmlformats.org/officeDocument/2006/relationships/hyperlink" Target="https://doi.org/10.1080/00461520.2011.611369" TargetMode="External"/><Relationship Id="rId71" Type="http://schemas.openxmlformats.org/officeDocument/2006/relationships/hyperlink" Target="https://doi.org/10.1109/TAI.1953.6371346" TargetMode="External"/><Relationship Id="rId69" Type="http://schemas.openxmlformats.org/officeDocument/2006/relationships/hyperlink" Target="https://doi.org/10.1115/1.4019264" TargetMode="External"/><Relationship Id="rId77" Type="http://schemas.openxmlformats.org/officeDocument/2006/relationships/hyperlink" Target="https://doi.org/10.1121/1.1912375" TargetMode="External"/><Relationship Id="rId50" Type="http://schemas.openxmlformats.org/officeDocument/2006/relationships/hyperlink" Target="https://doi.org/10.1145/1357054.1357252" TargetMode="External"/><Relationship Id="rId51" Type="http://schemas.openxmlformats.org/officeDocument/2006/relationships/hyperlink" Target="https://doi.org/10.1145/985692.985704" TargetMode="External"/><Relationship Id="rId73" Type="http://schemas.openxmlformats.org/officeDocument/2006/relationships/hyperlink" Target="https://doi.org/10.1177/001872088302500604" TargetMode="External"/><Relationship Id="rId48" Type="http://schemas.openxmlformats.org/officeDocument/2006/relationships/hyperlink" Target="https://doi.org/10.1207/S15326985EP3801_3" TargetMode="External"/><Relationship Id="rId47" Type="http://schemas.openxmlformats.org/officeDocument/2006/relationships/hyperlink" Target="https://doi.org/10.1207/S15326985EP3801_4" TargetMode="External"/><Relationship Id="rId60" Type="http://schemas.openxmlformats.org/officeDocument/2006/relationships/hyperlink" Target="https://doi.org/10.1207/s1532690xci0201_3" TargetMode="External"/><Relationship Id="rId58" Type="http://schemas.openxmlformats.org/officeDocument/2006/relationships/hyperlink" Target="https://doi.org/10.1207/s15516709cog1202_4" TargetMode="External"/><Relationship Id="rId78" Type="http://schemas.openxmlformats.org/officeDocument/2006/relationships/hyperlink" Target="https://doi.org/10.2307/2333009" TargetMode="External"/><Relationship Id="rId65" Type="http://schemas.openxmlformats.org/officeDocument/2006/relationships/hyperlink" Target="https://doi.org/10.23919/ACC.1989.4790464" TargetMode="External"/><Relationship Id="rId44" Type="http://schemas.openxmlformats.org/officeDocument/2006/relationships/hyperlink" Target="https://doi.org/10.3758/BF03194060" TargetMode="External"/><Relationship Id="rId80" Type="http://schemas.openxmlformats.org/officeDocument/2006/relationships/hyperlink" Target="https://doi.org/10.3758/s13428-013-0334-1" TargetMode="External"/><Relationship Id="rId68" Type="http://schemas.openxmlformats.org/officeDocument/2006/relationships/hyperlink" Target="https://doi.org/10.5281/zenodo.15870292" TargetMode="External"/><Relationship Id="rId64" Type="http://schemas.openxmlformats.org/officeDocument/2006/relationships/hyperlink" Target="https://doi.org/10.7771/1932-6246.1161" TargetMode="External"/><Relationship Id="rId41" Type="http://schemas.openxmlformats.org/officeDocument/2006/relationships/hyperlink" Target="https://github.com/omanandswami2005/closed-loop-genui-research-implementation" TargetMode="External"/><Relationship Id="rId72" Type="http://schemas.openxmlformats.org/officeDocument/2006/relationships/hyperlink" Target="https://huggingface.co/convaiinnovations/laya" TargetMode="External"/><Relationship Id="rId55" Type="http://schemas.openxmlformats.org/officeDocument/2006/relationships/hyperlink" Target="https://jedm.educationaldatamining.org/index.php/JEDM/article/view/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Learner-State-Aware Generative User Interfaces: A Closed-Loop Control Architecture for Adaptive Learning Environments</dc:title>
  <dc:creator>Omanand Prashant Swami</dc:creator>
  <cp:keywords/>
  <dcterms:created xsi:type="dcterms:W3CDTF">2026-10-04T17:01:36Z</dcterms:created>
  <dcterms:modified xsi:type="dcterms:W3CDTF">2026-10-04T17:01:36Z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