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Learner-State-Aware Generative User Interfaces: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A Closed-Loop Control Architecture for Adaptive Learning Environments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Omanand Prashant Swami, Sanjana Shashikant Chavan, K. V. Deshpande,</w:t>
      </w:r>
    </w:p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Pratik Rajendra Patil, Abhishek Ganesh Tirpude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Dept. of Computer Science and Business Systems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JSPM's Rajarshi Shahu College of Engineering, Pune, India</w:t>
      </w:r>
    </w:p>
    <w:p>
      <w:pPr>
        <w:spacing w:before="0" w:after="280" w:line="240" w:lineRule="auto"/>
        <w:ind w:firstLine="0"/>
        <w:jc w:val="center"/>
        <w:sectPr>
          <w:footnotePr>
            <w:numRestart w:val="eachSect"/>
          </w:footnotePr>
          <w:type w:val="continuous"/>
          <w:pgSz w:w="12240" w:h="15840"/>
          <w:pgMar w:top="938" w:bottom="1462" w:left="960" w:right="960" w:header="432" w:footer="432" w:gutter="0"/>
          <w:cols w:num="1" w:space="240"/>
        </w:sect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{opswami_csbs, sschavan_csbs, kvdeshpande_comp, prpatil_csbs, agtirpude_csbs}@jspmrscoe.edu.in</w:t>
      </w:r>
    </w:p>
    <w:p>
      <w:pPr>
        <w:pStyle w:val="FirstParagraph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Abstract—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Intelligent tutoring systems estimate what a learner knows but present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fixed interface, while generative user interfaces (GenUI) synthesize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interfaces at runtime without any model of the learner. We propose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closed-loop architecture that couples the two. Bayesian Knowledge Tracing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estimates mastery; a PID governor turns the mastery deficit into a structural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complexity budget; a rule-based policy selects scaffolding; a planner fixes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layout closest to the budget; and a foundation model writes its content as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JSON component tree, with a fallback when schema or budget checks fail. We evaluate the architecture in silico on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1,000 synthetic learners from three archetypes, replayed through four arms.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The closed loop keeps the rendered interface within 0.012 of the governor’s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budget on average, against 0.131 for unconstrained GenUI and 0.123 for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rule-based baseline, with 3.5 times less jitter than unconstrained GenUI,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which matches latent mastery slightly better but skips levels three times as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often. Standard BKT saturates after long success runs, so a later streak of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errors leaves the interface unchanged; a CUSUM lapse detector cuts overload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 a forgetting cohort by 25%. In 300 single calls to the real model with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planner (not full learner sessions), 98.7% of raw outputs were within budget before any fallback, against 92% when the model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also chose the layout. All claims concern algorithmic behavior;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no learning gains are claimed.</w:t>
      </w:r>
    </w:p>
    <w:p>
      <w:pPr>
        <w:pStyle w:val="BodyText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Index Terms—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generative user interfaces, Bayesian knowledge tracing, PID control,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cognitive load, adaptive learning, simulation</w:t>
      </w:r>
    </w:p>
    <w:bookmarkStart w:id="9" w:name="i.-introduct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I. Introduction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Intelligent tutoring systems (ITS) have long modeled learners precisely.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tracing maintains a probability that a learner has mastered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component [1],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tutors built on it have been deployed at scale in mathematics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[2], [3]. Their interface,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however, is authored in advance: the learner model selects the next problem,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not its presentation.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Generative user interfaces take the opposite position. A foundation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produces a task-specific interface for each request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including interactive courseware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[5]. These systems are open loop: the model does not observe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learner’s state, and nothing bounds how complex the generated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becomes.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Cognitive load theory explains why this matters. The same material can help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 novice and hinder an expert (the expertise reversal effect)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[6], and guidance should fade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competence grows [7], [8].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adaptive interface therefore needs a learner model and a mechanism that holds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its complexity to that model without the abrupt changes that make adaptive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interfaces hard to use [9], [10].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BKT, PID control, layout search and constrained generation are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established; our contribution is their integration: to our knowledge, the first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 in which a BKT mastery estimate, through feedback control, sets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structural budget that a runtime-generated interface must meet: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closed loop in which BKT mastery drives a PID governor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budget is met by a layout planner and a generative model,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 validation and a fallback.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computable structural complexity metric over a component tree for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linear-equation tasks, built from features linked to cognitive load.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An in-silico benchmark of 1,000 synthetic learners across four arms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ablations, including an analysis of BKT saturation after success runs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two remedies, with sensitivity analyses.</w:t>
      </w:r>
    </w:p>
    <w:bookmarkEnd w:id="9"/>
    <w:bookmarkStart w:id="10" w:name="ii.-related-work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II. Related Work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Learner modeling: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Bayesian Knowledge Tracing (BKT) models each knowledge component as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two-state hidden Markov model with prior, learning, guess and slip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[1]. Extensions individualize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[11], add forgetting [12]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contextualize guess and slip [13]; its fixed points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analyzed in [14]. Extended BKT stays competitive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logistic and deep models [12], [15]; its 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probability that can serve directly as a control variable with interpretable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Adaptive and generative interfaces: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Model-based interface generation [16] adapts presentation to users,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adaptation has costs: unpredictable changes reduce usability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[9], [10]. Recent GenUI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let a large language model produce the interface itself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[5]. To our knowledge, none of these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bounds the generated interface by a learner model: SUPPLE models devices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motor abilities, not knowledge; fading and staircase rules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[8], [17] adjust task difficulty, not interface structure (Table 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Prior approaches against the three properties combined here</w:t>
      </w:r>
    </w:p>
    <w:tbl>
      <w:tblPr>
        <w:tblStyle w:val="Table"/>
        <w:tblW w:w="503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50"/>
        <w:gridCol w:w="975"/>
        <w:gridCol w:w="975"/>
        <w:gridCol w:w="1138"/>
      </w:tblGrid>
      <w:tr>
        <w:trPr>
          <w:tblHeader w:val="on"/>
          <w:cantSplit/>
        </w:trPr>
        <w:tc>
          <w:tcPr>
            <w:tcW w:w="1950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Approach</w:t>
            </w:r>
          </w:p>
        </w:tc>
        <w:tc>
          <w:tcPr>
            <w:tcW w:w="9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Knowledge model</w:t>
            </w:r>
          </w:p>
        </w:tc>
        <w:tc>
          <w:tcPr>
            <w:tcW w:w="9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Generated interface</w:t>
            </w:r>
          </w:p>
        </w:tc>
        <w:tc>
          <w:tcPr>
            <w:tcW w:w="1138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Bounded by learner state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Tracing tutors [1], [2]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Adaptive fading [8]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fixed rule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Model-based UI [16]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LLM-based GenUI [4], [5]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950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This work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9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38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Cognitive load and scaffolding: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 theory [18]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attributes intrinsic load to element interactivity [19].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Worked examples help algebra novices [20] and should fade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into problem solving [7], [8],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concrete representations should fade into symbolic ones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[21]. The balance model aids early understanding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 equations but fails with negative quantities [22],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misconceptions about equality persist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[23], [24].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Control and constrained generation: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PID control with anti-windup and derivative filtering is standard practice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[25], [26]. Constrained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decoding guarantees well-formed model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[27], though schema-constrained output is not perfectly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reliable in practice [28].</w:t>
      </w:r>
    </w:p>
    <w:bookmarkEnd w:id="10"/>
    <w:bookmarkStart w:id="25" w:name="iii.-architecture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III. Architecture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2944368" cy="1410108"/>
            <wp:effectExtent b="0" l="0" r="0" t="0"/>
            <wp:docPr descr="image" title="" id="12" name="Picture"/>
            <a:graphic>
              <a:graphicData uri="http://schemas.openxmlformats.org/drawingml/2006/picture">
                <pic:pic>
                  <pic:nvPicPr>
                    <pic:cNvPr descr="fig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368" cy="141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1. The closed loop as deployed. The gate rechecks the budget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(dashed); failing trees are replaced from the fallback catalog. The learner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(shaded) is simulated here.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The loop has five stages (Fig. 1): a psychometric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estimator, a complexity governor, a fast policy, a layout planner, and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generative plant whose output passes a validation gate before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deterministic client renders it.</w:t>
      </w:r>
    </w:p>
    <w:bookmarkStart w:id="14" w:name="a.-mastery-estimati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Mastery estimation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After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{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}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mastery estimate is updated by Bayes’ rule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learning transition [1]. Writing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acc>
          <m:accPr>
            <m:chr m:val="̂"/>
          </m:acc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</m:acc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∣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eqAr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gives standard BKT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adds forgetting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[12]. Default parameters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0.20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They are design values, not fitted (sensitivity in Section V-C); they satisfy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non-degeneracy conditions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</w:t>
      </w:r>
    </w:p>
    <w:bookmarkEnd w:id="14"/>
    <w:bookmarkStart w:id="15" w:name="b.-complexity-governor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Complexity governor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setpoint is the conventional mastery threshold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p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0.95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[1], [29]. The tracking error is normalized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each side of the setpoint so that deficit and surplus have equal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authority: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≤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&gt;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4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so that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control effort is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5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 the clamped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c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for anti-windup [26] and the first-order filtered derivative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[25].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inverted logistic maps effort to the complexity budget,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1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p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</m:sup>
          </m:sSup>
          <m:sSup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6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which is quantized into four levels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min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⌊</m:t>
        </m:r>
        <m:r>
          <w:rPr>
            <w:rFonts w:ascii="Cambria Math" w:hAnsi="Cambria Math"/>
            <w:sz w:val="20"/>
            <w:szCs w:val="20"/>
          </w:rPr>
          <m:t>4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⌋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hysteresis deadband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commits a new budget only when it differs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last committed budget by at least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. The governor steps once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 (unit sample time)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 so the first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 has no derivative kick, and its first budget is always committed.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Gain selection: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Classical tuning rules [30], [31]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assume an identified plant, but here the interface does not alter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(Section IV). Instead,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were selected by minimizing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IV) [32] on a separate 1,000-learner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tuning cohort; all reported results use a disjoint test cohort. A random search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200 uniform samples over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2.5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≥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0.15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selected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0.865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0.377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0.672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1.253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0.141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 cost surface is flat: the selected point scores 0.104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the tuning cohort against 0.110 for hand-set initial values, which rank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22nd of 201. The logistic slope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k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ln</m:t>
        </m:r>
        <m:r>
          <w:rPr>
            <w:rFonts w:ascii="Cambria Math" w:hAnsi="Cambria Math"/>
            <w:sz w:val="20"/>
            <w:szCs w:val="20"/>
          </w:rPr>
          <m:t>19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2.202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that the effort range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maps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15"/>
    <w:bookmarkStart w:id="16" w:name="c.-fast-polic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Fast policy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 fast policy maps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m:rPr>
            <m:nor/>
          </m:rPr>
          <w:rPr>
            <w:rFonts w:ascii="Cambria Math" w:hAnsi="Cambria Math"/>
            <w:sz w:val="20"/>
            <w:szCs w:val="20"/>
          </w:rPr>
          <m:t>recent errors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to discrete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affordances: scaffolding mode (worked example, guided scaffold, open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symbolic), whether to show the balance-scale manipulative, whether hints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enabled, and an instructional density limit. The policy is deterministic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rule-based in every reported result. An open-weight decision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[33], evaluated zero-shot, took 1.32 s per decision (median, CPU)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chose a worked example in all 200 test states, so it is not used.</w:t>
      </w:r>
    </w:p>
    <w:bookmarkEnd w:id="16"/>
    <w:bookmarkStart w:id="23" w:name="Xf5353b6fc128bbb19b355fc38e78750b7f8773e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Layout planner, generative plant and validation gate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planner turns the budget into a layout. The policy fixes the abstraction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the planner then enumerates every admissible layout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1–8 interactive elements, 0–3 hint tiers and nesting depth 1–4 (at most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102 valid layouts) and picks the one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closest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</m:oMath>
      <w:r>
        <w:rPr>
          <w:rFonts w:ascii="Times New Roman" w:hAnsi="Times New Roman" w:cs="Times New Roman" w:eastAsia="Times New Roman"/>
          <w:color w:val="000000"/>
        </w:rPr>
        <w:t xml:space="preserve">. It keeps a requested worked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example when that stays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ties go to fewer elements,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shallower nesting. The plant, Gemini 3.7 Flash served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through Vertex AI, receives this layout with the policy decision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equation and writes the content as a JSON component tree. In the original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design (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free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mode) the plant also chose the layout; we measure both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III). Nodes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drawn from a closed set of six components (balance scale, worked step,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operation pad, symbolic workspace, hint accordion, verification plane). The client renders these components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directly and never executes generated code. Each emission is parsed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schema; if parsing fails, or if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 precompiled fallback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 is rendered instead: the planner’s layout for the nearest of 41 budgets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1/40 apart,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for every budget and policy decision (worst 0.049). A web client renders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trees for inspection (Fig. 2); the benchmark does not use it.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957651" cy="2103120"/>
                  <wp:effectExtent b="0" l="0" r="0" t="0"/>
                  <wp:docPr descr="image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/screen_l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651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256238" cy="2103120"/>
                  <wp:effectExtent b="0" l="0" r="0" t="0"/>
                  <wp:docPr descr="image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/screen_l4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238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  <w:spacing w:before="60" w:after="160" w:line="190" w:lineRule="exact"/>
              <w:ind w:firstLine="0"/>
              <w:jc w:val="both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>Fig. 2. Screens written by Gemini 3.7 Flash in guided mode; both passed the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gate. Left: level 1, balance scale with a worked step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0.091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0.111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 Right: level 4, graph verification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0.903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0.905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</w:t>
            </w:r>
          </w:p>
        </w:tc>
      </w:tr>
    </w:tbl>
    <w:bookmarkEnd w:id="23"/>
    <w:bookmarkStart w:id="24" w:name="e.-structural-complexity-metric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E. Structural complexity metric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For a tree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interactive elements, abstraction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nesting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δ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7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δ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Each feature has a basis in prior work: element interactivity raises load [19]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display density is a classic complexity measure [34];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abstraction ladder from balance scale to operation pad to symbolic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workspace follows concreteness fading [21];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deeper structures cost users more [35].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Placing the Cartesian plane at the top of the ladder is our design choice.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no data to fit weights, we use equal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which are robust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that setting [36], and test sensitivity to the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V). Entropy measures such as XAOS [37] score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rendered screens;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scores the tree before rendering, as the gate requires.</w:t>
      </w:r>
    </w:p>
    <w:bookmarkEnd w:id="24"/>
    <w:bookmarkEnd w:id="25"/>
    <w:bookmarkStart w:id="27" w:name="iv.-method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IV. Method</w:t>
      </w:r>
    </w:p>
    <w:bookmarkStart w:id="26" w:name="a.-synthetic-learner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Synthetic learners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Simulated learners are an established way to test instructional designs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before human studies [38], [39],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BKT-generated data have been used to evaluate mastery assessment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[40]. Each learner is a two-state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HMM whose parameters are drawn uniformly from archetype ranges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II). Novice and guesser ranges exceed 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[1] by design but respect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 The cohort has 1,000 learners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(300/400/300) with 40 items each. Responses are sampled once per learner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replayed unchanged through every arm (paired design). The interface therefore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influence the simulated responses: the benchmark measures controller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behavior, not learning.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Learner archetypes (uniform parameter ranges).</w:t>
      </w:r>
    </w:p>
    <w:tbl>
      <w:tblPr>
        <w:tblStyle w:val="Table"/>
        <w:tblW w:w="5037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66"/>
        <w:gridCol w:w="933"/>
        <w:gridCol w:w="746"/>
        <w:gridCol w:w="746"/>
        <w:gridCol w:w="746"/>
      </w:tblGrid>
      <w:tr>
        <w:trPr>
          <w:tblHeader w:val="on"/>
          <w:cantSplit/>
        </w:trPr>
        <w:tc>
          <w:tcPr>
            <w:tcW w:w="186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Archetype</w:t>
            </w:r>
          </w:p>
        </w:tc>
        <w:tc>
          <w:tcPr>
            <w:tcW w:w="933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74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Struggling novice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.02–.08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.03–.07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.20–.30</w:t>
            </w:r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Inconsistent guesser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.05–.20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.15–.40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.08–.30</w:t>
            </w:r>
          </w:p>
        </w:tc>
      </w:tr>
      <w:tr>
        <w:trPr>
          <w:cantSplit/>
        </w:trPr>
        <w:tc>
          <w:tcPr>
            <w:tcW w:w="186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Fast master</w:t>
            </w:r>
          </w:p>
        </w:tc>
        <w:tc>
          <w:tcPr>
            <w:tcW w:w="933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.15–.30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.30–.40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.15–.25</w:t>
            </w:r>
          </w:p>
        </w:tc>
        <w:tc>
          <w:tcPr>
            <w:tcW w:w="74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.01–.03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Arms: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All arms see the same responses and BKT estimate. (1)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Static</w:t>
      </w:r>
      <w:r>
        <w:rPr>
          <w:rFonts w:ascii="Times New Roman" w:hAnsi="Times New Roman" w:cs="Times New Roman" w:eastAsia="Times New Roman"/>
          <w:color w:val="000000"/>
        </w:rPr>
        <w:t xml:space="preserve">: a fixed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level-2 interface. (2)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Unconstrained GenUI</w:t>
      </w:r>
      <w:r>
        <w:rPr>
          <w:rFonts w:ascii="Times New Roman" w:hAnsi="Times New Roman" w:cs="Times New Roman" w:eastAsia="Times New Roman"/>
          <w:color w:val="000000"/>
        </w:rPr>
        <w:t xml:space="preserve">: the plant sets its 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to the estimate plus Gaussian noise (</w:t>
      </w:r>
      <m:oMath>
        <m:r>
          <w:rPr>
            <w:rFonts w:ascii="Cambria Math" w:hAnsi="Cambria Math"/>
            <w:sz w:val="20"/>
            <w:szCs w:val="20"/>
          </w:rPr>
          <m:t>σ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); only the schema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checked. (3)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Rule-based</w:t>
      </w:r>
      <w:r>
        <w:rPr>
          <w:rFonts w:ascii="Times New Roman" w:hAnsi="Times New Roman" w:cs="Times New Roman" w:eastAsia="Times New Roman"/>
          <w:color w:val="000000"/>
        </w:rPr>
        <w:t xml:space="preserve">: step up after three consecutive correct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and down after two consecutive errors, an up-down rule in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spirit of [17]. Arms 1 and 3 render catalog trees. (4)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Closed loop</w:t>
      </w:r>
      <w:r>
        <w:rPr>
          <w:rFonts w:ascii="Times New Roman" w:hAnsi="Times New Roman" w:cs="Times New Roman" w:eastAsia="Times New Roman"/>
          <w:color w:val="000000"/>
        </w:rPr>
        <w:t xml:space="preserve">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full architecture. Ablations remove the derivative filter, remove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anti-windup, and add a one-level slew limit.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Plant model in the benchmark: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benchmark replaces the foundation model with a surrogate that compiles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planner’s layout and injects faults: with probability 0.15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drifts off budget, and with probability 0.03 it emits malformed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(e.g., truncated JSON, unknown component). These rates were set before the real model was measured.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unconstrained arm uses the same surrogate without the budget check.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We measured the real model in free mode, which tests the model alone,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guided mode, the deployed configuration with the planner. Each mode received 300 requests (JSON mode without a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schema, thinking level low, temperature 0.4, 30 s timeout) with budgets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uniform 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scored by the same gate (Table III).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Gemini 3.7 Flash, 300 calls per mode.</w:t>
      </w:r>
    </w:p>
    <w:tbl>
      <w:tblPr>
        <w:tblStyle w:val="Table"/>
        <w:tblW w:w="5039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1061"/>
        <w:gridCol w:w="972"/>
      </w:tblGrid>
      <w:tr>
        <w:trPr>
          <w:tblHeader w:val="on"/>
          <w:cantSplit/>
        </w:trPr>
        <w:tc>
          <w:tcPr>
            <w:tcW w:w="300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</w:p>
        </w:tc>
        <w:tc>
          <w:tcPr>
            <w:tcW w:w="106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Free</w:t>
            </w:r>
          </w:p>
        </w:tc>
        <w:tc>
          <w:tcPr>
            <w:tcW w:w="972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Guided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Transport failures (HTTP error, timeout)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Content-malformed, of completed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3.4%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Off budget, 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2.8%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Raw output within budget, of all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92.0%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98.7%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Median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−</m:t>
              </m:r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0.012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0.007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Latency of completed calls, median / p95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 / 18.6 s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2.7 / 5.1 s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Free-mode failures lacked an interactive element (10/294) or missed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(8/284, mostly level 1); guided-mode failures were all in transport. The surrogate’s 3% malformed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rate thus matches free mode, and its 15% drift rate is a stress setting.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Compliance counts raw outputs over all calls; after the gate, every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rendered tree met the budget.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Metrics: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Constraint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measured against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the closed-loop governor commits for the same responses, so that all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arms share one reference;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the share of steps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≤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Interface jitter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J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den>
        </m:f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|</m:t>
            </m:r>
          </m:e>
        </m:nary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and a skip is a change of two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more levels between consecutive items. Jitter operationalizes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stability concern of [9]; the formula is ours.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Recovery time is the number of items after a streak of five or more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until the level returns to its pre-streak value. Fallback rate is the share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steps rendered from the fallback catalog. Because the simulator knows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learner’s latent state, we also report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overload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3 or 4 shown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while the skill is not known),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underload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1 or 2 shown while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known) and an ITAE-weighted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[32], 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marks either case. These are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mismatches, not measured load.</w:t>
      </w:r>
    </w:p>
    <w:bookmarkEnd w:id="26"/>
    <w:bookmarkEnd w:id="27"/>
    <w:bookmarkStart w:id="38" w:name="v.-result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V. Results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All numbers come from one run on the test cohort (seed 20261003; tuning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seed 20261004), with normal-approximation 95% CIs over 1,000 learners. The CIs reflect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variation across learners in this run. Over ten independent test seeds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ranking of arms never changed and the closed loop’s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stayed within 0.0118–0.0122.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 w:val="0"/>
                <w:color w:val="000000"/>
                <w:sz w:val="16"/>
              </w:rPr>
              <w:t>TABLE IV</w:t>
            </w:r>
          </w:p>
          <w:p>
            <w:pPr>
              <w:pStyle w:val="BodyText"/>
              <w:keepNext/>
              <w:spacing w:before="0" w:after="6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>Main results and ablations on the test cohort.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Δ</m:t>
              </m:r>
              <m:r>
                <w:rPr>
                  <w:rFonts w:ascii="Cambria Math" w:hAnsi="Cambria Math"/>
                  <w:sz w:val="16"/>
                  <w:szCs w:val="16"/>
                </w:rPr>
                <m:t>M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and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“within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w:rPr>
                  <w:rFonts w:ascii="Cambria Math" w:hAnsi="Cambria Math"/>
                  <w:sz w:val="16"/>
                  <w:szCs w:val="16"/>
                </w:rPr>
                <m:t>ε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”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are measured against the closed-loop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reference budget; every closed-loop variant meets its own budget at every step. Overload,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underload and ITAE use the latent learner state and exist only in simulation.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Fallback rates follow from the surrogate’s fault rates.</w:t>
            </w:r>
          </w:p>
          <w:tbl>
            <w:tblPr>
              <w:tblStyle w:val="Table"/>
              <w:tblW w:w="10314" w:type="dxa"/>
              <w:jc w:val="center"/>
              <w:tblBorders>
                <w:top w:val="single" w:sz="8" w:space="0" w:color="000000"/>
                <w:bottom w:val="single" w:sz="8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26"/>
              <w:gridCol w:w="2009"/>
              <w:gridCol w:w="821"/>
              <w:gridCol w:w="821"/>
              <w:gridCol w:w="1095"/>
              <w:gridCol w:w="1004"/>
              <w:gridCol w:w="1095"/>
              <w:gridCol w:w="639"/>
              <w:gridCol w:w="1004"/>
            </w:tblGrid>
            <w:tr>
              <w:trPr>
                <w:tblHeader w:val="on"/>
                <w:cantSplit/>
              </w:trPr>
              <w:tc>
                <w:tcPr>
                  <w:tcW w:w="1826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Arm</w:t>
                  </w:r>
                </w:p>
              </w:tc>
              <w:tc>
                <w:tcPr>
                  <w:tcW w:w="2009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6"/>
                        <w:szCs w:val="16"/>
                      </w:rPr>
                      <m:t>Δ</m:t>
                    </m:r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oMath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(95% CI)</w:t>
                  </w:r>
                </w:p>
              </w:tc>
              <w:tc>
                <w:tcPr>
                  <w:tcW w:w="821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Within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ε</m:t>
                    </m:r>
                  </m:oMath>
                </w:p>
              </w:tc>
              <w:tc>
                <w:tcPr>
                  <w:tcW w:w="821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Jitter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J</m:t>
                    </m:r>
                  </m:oMath>
                </w:p>
              </w:tc>
              <w:tc>
                <w:tcPr>
                  <w:tcW w:w="1095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Skips/run</w:t>
                  </w:r>
                </w:p>
              </w:tc>
              <w:tc>
                <w:tcPr>
                  <w:tcW w:w="1004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Overload</w:t>
                  </w:r>
                </w:p>
              </w:tc>
              <w:tc>
                <w:tcPr>
                  <w:tcW w:w="1095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Underload</w:t>
                  </w:r>
                </w:p>
              </w:tc>
              <w:tc>
                <w:tcPr>
                  <w:tcW w:w="639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ITAE</w:t>
                  </w:r>
                </w:p>
              </w:tc>
              <w:tc>
                <w:tcPr>
                  <w:tcW w:w="1004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Fallback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Static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0.426 (0.422–0.430)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0.004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0.800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0.892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Unconstrained GenUI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0.131 (0.128–0.134)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0.321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2.06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0.054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0.030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Rule-based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 (0.119–0.128)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0.596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0.245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0.180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Closed loop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0.0122 (0.0119–0.0124)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1.000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0.035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0.67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0.154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derivative filter</w:t>
                  </w:r>
                </w:p>
              </w:tc>
              <w:tc>
                <w:tcPr>
                  <w:tcW w:w="2009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0.031 (0.030–0.033)</w:t>
                  </w:r>
                </w:p>
              </w:tc>
              <w:tc>
                <w:tcPr>
                  <w:tcW w:w="821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0.811</w:t>
                  </w:r>
                </w:p>
              </w:tc>
              <w:tc>
                <w:tcPr>
                  <w:tcW w:w="821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0.044</w:t>
                  </w:r>
                </w:p>
              </w:tc>
              <w:tc>
                <w:tcPr>
                  <w:tcW w:w="1095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1.19</w:t>
                  </w:r>
                </w:p>
              </w:tc>
              <w:tc>
                <w:tcPr>
                  <w:tcW w:w="1004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0.124</w:t>
                  </w:r>
                </w:p>
              </w:tc>
              <w:tc>
                <w:tcPr>
                  <w:tcW w:w="639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0.076</w:t>
                  </w:r>
                </w:p>
              </w:tc>
              <w:tc>
                <w:tcPr>
                  <w:tcW w:w="1004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0.156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anti-windup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0.107 (0.102–0.112)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0.549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0.001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0.217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0.174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0.159</w:t>
                  </w:r>
                </w:p>
              </w:tc>
            </w:tr>
            <w:tr>
              <w:trPr>
                <w:cantSplit/>
              </w:trPr>
              <w:tc>
                <w:tcPr>
                  <w:tcW w:w="1826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one-level slew limit</w:t>
                  </w:r>
                </w:p>
              </w:tc>
              <w:tc>
                <w:tcPr>
                  <w:tcW w:w="200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 (0.023–0.026)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0.875</w:t>
                  </w:r>
                </w:p>
              </w:tc>
              <w:tc>
                <w:tcPr>
                  <w:tcW w:w="8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0.034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1095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639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100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0.153</w:t>
                  </w:r>
                </w:p>
              </w:tc>
            </w:tr>
          </w:tbl>
          <w:p/>
        </w:tc>
      </w:tr>
    </w:tbl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143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fig/resul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3. Main comparison on the test cohort (means, 95% CIs); closed loop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dark.</w:t>
      </w:r>
    </w:p>
    <w:bookmarkStart w:id="31" w:name="a.-main-comparis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Main comparison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closed loop keeps the rendered interface within 0.012 of its budget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average (Table IV, Fig. 3), against 0.131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0.123 for unconstrained GenUI and the rule-based arm. Every rendered tree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partly by construction: the generator’s own output met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budget on 84.6% of steps, and the gate replaced the other 15.4% from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fallback catalog. The closed loop’s jitter (0.035) is 3.5 times lower than that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GenUI (0.123), which also skips levels 2.06 times per run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against 0.67. The rule-based arm is smoother still (0.025, no skips), because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 moves one level at a time. Against the latent learner state, the picture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mixed. Unconstrained GenUI has the lowest ITAE mismatch (0.043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0.073) and the least underload (5.4% of steps against 12.1%), but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twelve times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often (2.4% against 0.2%). After streaks of five or more errors that lowered the level, the closed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loop regained its pre-streak level in 34 of 51 cases (median 5 items),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rule-based arm in 9 of 19 (median 12).</w:t>
      </w:r>
    </w:p>
    <w:bookmarkEnd w:id="31"/>
    <w:bookmarkStart w:id="32" w:name="b.-ablation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Ablations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Removing the derivative filter raises jitter from 0.035 to 0.044 and nearly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doubles level skips (1.19 per run). Removing anti-windup lets the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grow without bound: underload rises from 12.1% to 21.7%, only 84%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reach level 4 against 95%, and median recovery after an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 grows from 5 to 14 items. A one-level slew limit removes nearly all skips (0.02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run) and leaves the ground-truth measures unchanged.</w:t>
      </w:r>
    </w:p>
    <w:bookmarkEnd w:id="32"/>
    <w:bookmarkStart w:id="33" w:name="c.-sensitivit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Sensitivity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Changing each controller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raised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from 0.108 to at most 0.118, except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1.5</m:t>
        </m:r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lowered it to 0.104 but more than doubled level skips. For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metric weights, the closed loop’s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stays between 0.007 and 0.017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 equal weights, the initial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0.40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0.35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split and three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single-feature-heavy splits (</w:t>
      </w:r>
      <m:oMath>
        <m:r>
          <w:rPr>
            <w:rFonts w:ascii="Cambria Math" w:hAnsi="Cambria Math"/>
            <w:sz w:val="20"/>
            <w:szCs w:val="20"/>
          </w:rPr>
          <m:t>0.6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). Dropping abstraction or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roughly doubles it (0.023 and 0.022) while keeping more than 99% of steps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Dropping element density breaks the loop: fallbacks rise to 84% and only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18% of screens are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Changing each BKT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kept every step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between 0.010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0.017, jitter between 0.034 and 0.041 and fallbacks at 15–16%.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mainly shift when the interface escalates: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ITAE between 0.048 and 0.115, and skips rise to at most 1.20 per run.</w:t>
      </w:r>
    </w:p>
    <w:bookmarkEnd w:id="33"/>
    <w:bookmarkStart w:id="37" w:name="d.-bkt-saturation-and-lapse-handling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BKT saturation and lapse handling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Under correct responses the BKT estimate converges to a stable fixed point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one [14]. With the default parameters the estimate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p>
          <m:e>
            <m:r>
              <w:rPr>
                <w:rFonts w:ascii="Cambria Math" w:hAnsi="Cambria Math"/>
                <w:sz w:val="20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6</m:t>
            </m:r>
          </m:sup>
        </m:sSup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after ten correct responses and five subsequent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lower it only to about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after 24 correct responses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double precision and no further evidence can lower it. The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stays at its highest level through a streak of errors.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 compare two remedies: forgetting,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 CUSUM detector [41] on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log-likelihood ratio between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“not known”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tracker’s prediction,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resets the estimate to 0.5 when the sum 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h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6.5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accumulates only when a confident estimate is contradicted, so isolated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slips are absorbed; unlike neural forgetting models, it needs no training data. Forgetting uses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097279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fig/prob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97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4. Scripted probe: 15 correct responses, five errors, then correct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again. With plain BKT the estimate is saturated and the budget never moves.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In a scripted probe with fifteen correct responses followed by five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(Fig. 4), the plain closed loop never lowers the interface; the CUSUM variant drops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 3 items after the streak begins and forgetting after 1. To test this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 scale, a second cohort of 1,000 learners can forget the skill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probability 0.02–0.06 per item. There the plain closed loop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on 7.6%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steps. The CUSUM detector lowers this to 5.6% 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at the cost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higher jitter (0.052 against 0.042) and an almost unchanged ITAE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(0.189 against 0.184). Forgetting lowers overload further, to 3.0%,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underloads on 25.3% of steps against 12.8%, raises ITAE to 0.273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lets only 80% of learners reach level 4. Neither remedy dominates; weighting recent responses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[42] is left for future work.</w:t>
      </w:r>
    </w:p>
    <w:bookmarkEnd w:id="37"/>
    <w:bookmarkEnd w:id="38"/>
    <w:bookmarkStart w:id="39" w:name="vi.-discussion-and-limitation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VI. Discussion and Limitations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benchmark tests whether the controller does what it is designed to do;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test whether learners benefit. Because simulated responses do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depend on the interface, the loop is closed only through the mastery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estimate, not through the learner.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structural proxy that has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been validated against measured or perceived load, for which instruments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exist [43]; the results show structural complexity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regulation, not reduced cognitive load. BKT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are design values rather than fits to tutor data. Long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streaks may reflect misconceptions rather than slips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[24]; the controller does not distinguish these.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real model was measured on single calls, not full trajectories. Its latency (median 7.7 s free,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2.7 s guided) calls for prefetching or caching. We tested one domain, linear equations.</w:t>
      </w:r>
    </w:p>
    <w:bookmarkEnd w:id="39"/>
    <w:bookmarkStart w:id="40" w:name="vii.-conclus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VII. Conclusion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We coupled a learner model to a generative interface through a PID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governor, a layout planner and a validation gate, and tested the loop 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simulation. The governor’s budget is met at every step, with the gate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replacing the 15.4% of generated trees that miss it, and the interface changes 3.5 times less than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generator while rarely showing abstract screens to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who have not mastered the skill. Anti-windup and the derivative filter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matter, and a slew limit removes level skips. A CUSUM lapse detector restores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BKT’s reaction after long success runs at a modest cost in jitter. In 300 single real calls, 98.7%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raw outputs met the budget with the planner and 92% without it. Next steps are full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real-model trajectories, a learned fast policy and a study with learners. We claim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structural budget regulation in simulation, not learning gains or reduced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load.</w:t>
      </w:r>
    </w:p>
    <w:bookmarkEnd w:id="40"/>
    <w:bookmarkStart w:id="42" w:name="code-and-data-availability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engine, simulation harness, benchmark results and the sources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this manuscript are openly available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hyperlink r:id="rId41">
        <w:r>
          <w:rPr>
            <w:rStyle w:val="Hyperlink"/>
          </w:rPr>
          <w:t xml:space="preserve">https://github.com/omanandswami2005/closed-loop-genui-research-implementation</w:t>
        </w:r>
      </w:hyperlink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42"/>
    <w:bookmarkStart w:id="82" w:name="reference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References</w:t>
      </w:r>
    </w:p>
    <w:p>
      <w:pPr>
        <w:pStyle w:val="FirstParagraph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[1] A. T. Corbett and J. R. Anderson,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“Knowledge tracing: Modeling the acquisition of procedural knowledge,”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4, no. 4, pp. 253–278, 1995.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https://doi.org/10.1007/BF01099821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[2] S. Ritter, J. R. Anderson, K. R. Koedinger, and A. Corbett,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Cognitive Tutor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Applied research in mathematics education,”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Psychonomic Bulletin &amp;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14, no. 2, pp. 249–255, 2007.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https://doi.org/10.3758/BF03194060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[3] K. VanLehn,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relative effectiveness of human tutoring, intelligent tutoring systems, and other tutoring systems,”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46, no. 4, pp. 197–221, 2011.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https://doi.org/10.1080/00461520.2011.611369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[4] Y. Leviathan, D. Valevski, M. Kalman, D. Lumen, E. Segalis, E. Molad, S. Pasternak, V. Natchu, V. Nygaard, V. Srinivasan, J. Manyika, and Y. Matias,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LLMs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are effective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generators,”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arXiv:2604.09577, 2026.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https://arxiv.org/abs/2604.09577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[5] S. Tu, Y. Li, K. Chen, S. Zhang, J. Yu, D. Zhang-Li, L. Hou, J. Li, Y. Zhang, H. Liu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et al.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MAIC-UI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Making interactive courseware with 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arXiv:2604.25806,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[6] S. Kalyuga, P. Ayres, P. Chandler, and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23–31,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[7] A. Renkl and R. K. Atkinson,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“Structuring the transition from example study to problem solving in cognitive skill acquisition: A cognitive load perspective,”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15–22,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[8] R. J. C. M. Salden, V. Aleven, R. Schwonke, and A. Renkl,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 and worked examples in tutored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Instructional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3, pp. 289–307,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https://doi.org/10.1007/s11251-009-9107-8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[9] K. Z. Gajos, K. Everitt, D. S. Tan, M. Czerwinski, and D. S. Weld,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“Predictability and accuracy in adaptive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2008, pp. 1271–1274.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https://doi.org/10.1145/1357054.1357252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[10] L. Findlater and J. McGrenere,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 comparison of static, adaptive, and adaptable menus,”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2004, pp. 89–96.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https://doi.org/10.1145/985692.985704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[11] Z. A. Pardos and N. T. Heffernan,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“Modeling individualization in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networks implementation of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Modeling, Adaptation, and Personalization (UMAP 2010)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2010, pp. 255–266.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https://doi.org/10.1007/978-3-642-13470-8_24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[12] M. Khajah, R. V. Lindsey, and M. C. Mozer,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deep is knowledge tracing?”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9th International Conference on Educational Data Mining (EDM 2016)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https://arxiv.org/abs/1604.02416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[13] R. S. J. d. Baker, A. T. Corbett, and V. Aleven,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“More accurate student modeling through contextual estimation of slip and guess probabilities 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Intelligent Tutoring Systems (ITS 2008)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2008, pp. 406–415.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https://doi.org/10.1007/978-3-540-69132-7_44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[14] B. van de Sande,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“Properties of 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Educational Data Mining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1–10,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https://jedm.educationaldatamining.org/index.php/JEDM/article/view/35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[15] R. Pel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á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nek,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 logistic models, and beyond: An overview of learner modeling techniques,”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27, no. 3–5, pp. 313–350, 2017.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https://doi.org/10.1007/s11257-017-9193-2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[16] K. Z. Gajos, D. S. Weld, and J. O. Wobbrock,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“Automatically generating personalized user interfaces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Supple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Artificial Intelligence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 174, no. 12–13, pp. 910–950,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https://doi.org/10.1016/j.artint.2010.05.005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[17] H. Levitt,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“Transformed up-down methods in psychoacoustics,”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the Acoustical Society of America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2B, pp. 467–477, 1971.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https://doi.org/10.1121/1.1912375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[18]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“Cognitive load during problem solving: Effects on learning,”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Cognitive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2, pp. 257–285, 1988.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https://doi.org/10.1207/s15516709cog1202_4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[19] ——,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“Element interactivity and intrinsic, extraneous, and germane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22, no. 2, pp. 123–138,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https://doi.org/10.1007/s10648-010-9128-5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[20] J. Sweller and G. A. Cooper,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use of worked examples as a substitute for problem solving in learning algebra,”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Cognition and Instruction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2, no. 1, pp. 59–89, 1985.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https://doi.org/10.1207/s1532690xci0201_3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[21] E. R. Fyfe, N. M. McNeil, J. Y. Son, and R. L. Goldstone,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“Concreteness fading in mathematics and science instruction: A systematic review,”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26, no. 1, pp. 9–25,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https://doi.org/10.1007/s10648-014-9249-3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[22] J. Vlassis,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balance model: Hindrance or support for the solving of linear equations with one unknown,”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3, pp. 341–359, 2002.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https://doi.org/10.1023/A:1020229023965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[23] C. Kieran,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“Concepts associated with the equality symbol,”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3, pp. 317–326, 1981.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https://doi.org/10.1007/BF00311062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[24] J. L. Booth, C. Barbieri, F. Eyer, and E. J. Par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é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-Blagoev,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“Persistent and pernicious errors in algebraic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Problem Solving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7, no. 1,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https://doi.org/10.7771/1932-6246.1161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[25]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T. 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gglund,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Advanced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Research Triangle Park, NC: ISA – The Instrumentation, Systems, and Automation Society, 2006.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[26]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L. Rundqwist,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“Integrator windup and how to avoid it,”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1989 American Control Conference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IEEE, 1989, pp. 1693–1698.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https://doi.org/10.23919/ACC.1989.4790464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[27] B. T. Willard and R. Louf,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“Efficient guided generation for large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arXiv:2307.09702, 2023.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https://arxiv.org/abs/2307.09702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[28] S. Geng, H. Cooper, M. Moskal, S. Jenkins, J. Berman, N. Ranchin, R. West, E. Horvitz, and H. Nori,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JSONSchemaBench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 rigorous benchmark of structured outputs for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arXiv:2501.10868,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https://arxiv.org/abs/2501.10868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[29] J. Zhang, K. Vanacore, R. S. Baker, N. Ch, C. Mills, and O. Henkel,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much mastery is enough mastery?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relationship between mastery in a lesson and the performance on the subsequent lesson,”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18th International Conference on Educational Data Mining (EDM 2025)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https://doi.org/10.5281/zenodo.15870292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[30] J. G. Ziegler and N. B. Nichols,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“Optimum settings for automatic controllers,”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ASME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64, no. 8, pp. 759–765, 1942.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https://doi.org/10.1115/1.4019264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[31] S. Skogestad,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“Simple analytic rules for model reduction and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controller tuning,”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Process 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13, no. 4, pp. 291–309,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https://doi.org/10.1016/S0959-1524(02)00062-8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[32] D. Graham and R. C. Lathrop,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synthesis of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‘optimum’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transient response: Criteria and standard forms,”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American Institute of Electrical Engineers, Part II: Applications and Industry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72, no. 5, pp. 273–288, 1953.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https://doi.org/10.1109/TAI.1953.6371346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[33]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Convai Innovations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“Laya: Open-weight decision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Model card,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https://huggingface.co/convaiinnovations/laya</w:t>
        </w:r>
      </w:hyperlink>
      <w:r>
        <w:rPr>
          <w:rFonts w:ascii="Times New Roman" w:hAnsi="Times New Roman" w:cs="Times New Roman" w:eastAsia="Times New Roman"/>
          <w:color w:val="000000"/>
          <w:sz w:val="16"/>
        </w:rPr>
        <w:t xml:space="preserve">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[34] T. S. Tullis,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formatting of alphanumeric displays: A review and analysis,”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Human Factors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25, no. 6, pp. 657–682, 1983.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https://doi.org/10.1177/001872088302500604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[35] J. I. Kiger,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depth/breadth trade-off in the design of menu-driven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Man-Machine Studies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20, no. 2, pp. 201–213, 1984.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https://doi.org/10.1016/S0020-7373(84)80018-8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[36] R. M. Dawes,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robust beauty of improper linear models in decision making,”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American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7, pp. 571–582, 1979.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https://doi.org/10.1037/0003-066X.34.7.571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[37] C. Stickel, M. Ebner, and A. Holzinger,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XAOS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metric – understanding visual complexity as measure of usability,”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HCI in Work and Learning, Life and Leisure (USAB 2010)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Science, vol. 6389. Springer, 2010, pp. 278–290.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https://doi.org/10.1007/978-3-642-16607-5_18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[38] K. VanLehn, S. Ohlsson, and R. Nason,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“Applications of simulated students: An exploration,”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135–175, 1994.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[39] T. K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ser and G. Alexandron,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“Simulated learners in educational technology: A systematic literature review and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uring-like test,”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2, pp. 545–585, 2024.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https://doi.org/10.1007/s40593-023-00337-2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[40] S. E. Fancsali, T. Nixon, and S. Ritter,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“Optimal and worst-case performance of mastery learning assessment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6th International Conference on Educational Data Mining (EDM 2013)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2013.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[41] E. S. Page,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“Continuous inspection schemes,”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Biometrika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41, no. 1/2, pp. 100–115, 1954.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https://doi.org/10.2307/2333009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[42] A. Galyardt and I. Goldin,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“Move your lamp post: Recent data reflects learner knowledge better than older data,”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Educational Data Mining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7, no. 2, pp. 83–108, 2015.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8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https://doi.org/10.5281/zenodo.3554672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[43] J. Leppink, F. Paas, C. P. M. Van der Vleuten, T. Van Gog, and J. J. G. Van Merri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ë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nboer,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“Development of an instrument for measuring different types of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Behavior Research Methods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45, no. 4, pp. 1058–1072,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8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https://doi.org/10.3758/s13428-013-0334-1</w:t>
        </w:r>
      </w:hyperlink>
    </w:p>
    <w:bookmarkEnd w:id="82"/>
    <w:sectPr>
      <w:footnotePr>
        <w:numRestart w:val="eachSect"/>
      </w:footnotePr>
      <w:type w:val="continuous"/>
      <w:pgSz w:w="12240" w:h="15840"/>
      <w:pgMar w:top="938" w:bottom="1462" w:left="960" w:right="960" w:header="432" w:footer="432" w:gutter="0"/>
      <w:cols w:num="2" w:space="2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 w:eastAsia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60" w:line="240" w:lineRule="exact"/>
      <w:ind w:firstLine="0"/>
      <w:jc w:val="center"/>
      <w:outlineLvl w:val="0"/>
    </w:pPr>
    <w:rPr>
      <w:rFonts w:ascii="Times New Roman" w:hAnsi="Times New Roman" w:cs="Times New Roman" w:eastAsia="Times New Roman"/>
      <w:b w:val="0"/>
      <w:i w:val="0"/>
      <w:smallCaps/>
      <w:color w:val="00000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20" w:line="240" w:lineRule="exact"/>
      <w:ind w:firstLine="0"/>
      <w:jc w:val="left"/>
      <w:outlineLvl w:val="1"/>
    </w:pPr>
    <w:rPr>
      <w:rFonts w:ascii="Times New Roman" w:hAnsi="Times New Roman" w:cs="Times New Roman" w:eastAsia="Times New Roman"/>
      <w:b w:val="0"/>
      <w:i/>
      <w:smallCaps w:val="0"/>
      <w:color w:val="000000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34" Type="http://schemas.openxmlformats.org/officeDocument/2006/relationships/image" Target="media/rId34.png"/><Relationship Id="rId28" Type="http://schemas.openxmlformats.org/officeDocument/2006/relationships/image" Target="media/rId28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53" Type="http://schemas.openxmlformats.org/officeDocument/2006/relationships/hyperlink" Target="https://arxiv.org/abs/1604.02416" TargetMode="External"/><Relationship Id="rId67" Type="http://schemas.openxmlformats.org/officeDocument/2006/relationships/hyperlink" Target="https://arxiv.org/abs/2307.09702" TargetMode="External"/><Relationship Id="rId68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77" Type="http://schemas.openxmlformats.org/officeDocument/2006/relationships/hyperlink" Target="https://doi.org/10.1007/978-3-642-16607-5_18" TargetMode="External"/><Relationship Id="rId64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60" Type="http://schemas.openxmlformats.org/officeDocument/2006/relationships/hyperlink" Target="https://doi.org/10.1007/s10648-010-9128-5" TargetMode="External"/><Relationship Id="rId62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8" Type="http://schemas.openxmlformats.org/officeDocument/2006/relationships/hyperlink" Target="https://doi.org/10.1007/s40593-023-00337-2" TargetMode="External"/><Relationship Id="rId75" Type="http://schemas.openxmlformats.org/officeDocument/2006/relationships/hyperlink" Target="https://doi.org/10.1016/S0020-7373(84)80018-8" TargetMode="External"/><Relationship Id="rId71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3" Type="http://schemas.openxmlformats.org/officeDocument/2006/relationships/hyperlink" Target="https://doi.org/10.1023/A:1020229023965" TargetMode="External"/><Relationship Id="rId76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2" Type="http://schemas.openxmlformats.org/officeDocument/2006/relationships/hyperlink" Target="https://doi.org/10.1109/TAI.1953.6371346" TargetMode="External"/><Relationship Id="rId70" Type="http://schemas.openxmlformats.org/officeDocument/2006/relationships/hyperlink" Target="https://doi.org/10.1115/1.4019264" TargetMode="External"/><Relationship Id="rId58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4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1" Type="http://schemas.openxmlformats.org/officeDocument/2006/relationships/hyperlink" Target="https://doi.org/10.1207/s1532690xci0201_3" TargetMode="External"/><Relationship Id="rId59" Type="http://schemas.openxmlformats.org/officeDocument/2006/relationships/hyperlink" Target="https://doi.org/10.1207/s15516709cog1202_4" TargetMode="External"/><Relationship Id="rId79" Type="http://schemas.openxmlformats.org/officeDocument/2006/relationships/hyperlink" Target="https://doi.org/10.2307/2333009" TargetMode="External"/><Relationship Id="rId66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1" Type="http://schemas.openxmlformats.org/officeDocument/2006/relationships/hyperlink" Target="https://doi.org/10.3758/s13428-013-0334-1" TargetMode="External"/><Relationship Id="rId69" Type="http://schemas.openxmlformats.org/officeDocument/2006/relationships/hyperlink" Target="https://doi.org/10.5281/zenodo.15870292" TargetMode="External"/><Relationship Id="rId80" Type="http://schemas.openxmlformats.org/officeDocument/2006/relationships/hyperlink" Target="https://doi.org/10.5281/zenodo.3554672" TargetMode="External"/><Relationship Id="rId65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3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arxiv.org/abs/1604.02416" TargetMode="External"/><Relationship Id="rId67" Type="http://schemas.openxmlformats.org/officeDocument/2006/relationships/hyperlink" Target="https://arxiv.org/abs/2307.09702" TargetMode="External"/><Relationship Id="rId68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77" Type="http://schemas.openxmlformats.org/officeDocument/2006/relationships/hyperlink" Target="https://doi.org/10.1007/978-3-642-16607-5_18" TargetMode="External"/><Relationship Id="rId64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60" Type="http://schemas.openxmlformats.org/officeDocument/2006/relationships/hyperlink" Target="https://doi.org/10.1007/s10648-010-9128-5" TargetMode="External"/><Relationship Id="rId62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8" Type="http://schemas.openxmlformats.org/officeDocument/2006/relationships/hyperlink" Target="https://doi.org/10.1007/s40593-023-00337-2" TargetMode="External"/><Relationship Id="rId75" Type="http://schemas.openxmlformats.org/officeDocument/2006/relationships/hyperlink" Target="https://doi.org/10.1016/S0020-7373(84)80018-8" TargetMode="External"/><Relationship Id="rId71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3" Type="http://schemas.openxmlformats.org/officeDocument/2006/relationships/hyperlink" Target="https://doi.org/10.1023/A:1020229023965" TargetMode="External"/><Relationship Id="rId76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2" Type="http://schemas.openxmlformats.org/officeDocument/2006/relationships/hyperlink" Target="https://doi.org/10.1109/TAI.1953.6371346" TargetMode="External"/><Relationship Id="rId70" Type="http://schemas.openxmlformats.org/officeDocument/2006/relationships/hyperlink" Target="https://doi.org/10.1115/1.4019264" TargetMode="External"/><Relationship Id="rId58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4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1" Type="http://schemas.openxmlformats.org/officeDocument/2006/relationships/hyperlink" Target="https://doi.org/10.1207/s1532690xci0201_3" TargetMode="External"/><Relationship Id="rId59" Type="http://schemas.openxmlformats.org/officeDocument/2006/relationships/hyperlink" Target="https://doi.org/10.1207/s15516709cog1202_4" TargetMode="External"/><Relationship Id="rId79" Type="http://schemas.openxmlformats.org/officeDocument/2006/relationships/hyperlink" Target="https://doi.org/10.2307/2333009" TargetMode="External"/><Relationship Id="rId66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1" Type="http://schemas.openxmlformats.org/officeDocument/2006/relationships/hyperlink" Target="https://doi.org/10.3758/s13428-013-0334-1" TargetMode="External"/><Relationship Id="rId69" Type="http://schemas.openxmlformats.org/officeDocument/2006/relationships/hyperlink" Target="https://doi.org/10.5281/zenodo.15870292" TargetMode="External"/><Relationship Id="rId80" Type="http://schemas.openxmlformats.org/officeDocument/2006/relationships/hyperlink" Target="https://doi.org/10.5281/zenodo.3554672" TargetMode="External"/><Relationship Id="rId65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3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Learner-State-Aware Generative User Interfaces: A Closed-Loop Control Architecture for Adaptive Learning Environments</dc:title>
  <dc:creator>Omanand Prashant Swami</dc:creator>
  <cp:keywords/>
  <dcterms:created xsi:type="dcterms:W3CDTF">2026-10-04T18:11:54Z</dcterms:created>
  <dcterms:modified xsi:type="dcterms:W3CDTF">2026-10-04T18:11:54Z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