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48"/>
        </w:rPr>
        <w:t>Learner-State-Aware Generative User Interfaces:</w:t>
      </w:r>
    </w:p>
    <w:p>
      <w:pPr>
        <w:spacing w:before="0" w:after="24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48"/>
        </w:rPr>
        <w:t>A Closed-Loop Control Architecture for Adaptive Learning Environments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Omanand Prashant Swami, Sanjana Shashikant Chavan, K. V. Deshpande,</w:t>
      </w:r>
    </w:p>
    <w:p>
      <w:pPr>
        <w:spacing w:before="0" w:after="4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Pratik Rajendra Patil, Abhishek Ganesh Tirpude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0"/>
        </w:rPr>
        <w:t>Dept. of Computer Science and Business Systems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0"/>
        </w:rPr>
        <w:t>JSPM's Rajarshi Shahu College of Engineering, Pune, India</w:t>
      </w:r>
    </w:p>
    <w:p>
      <w:pPr>
        <w:spacing w:before="0" w:after="280" w:line="240" w:lineRule="auto"/>
        <w:ind w:firstLine="0"/>
        <w:jc w:val="center"/>
        <w:sectPr>
          <w:footnotePr>
            <w:numRestart w:val="eachSect"/>
          </w:footnotePr>
          <w:type w:val="continuous"/>
          <w:pgSz w:w="12240" w:h="15840"/>
          <w:pgMar w:top="938" w:bottom="1462" w:left="960" w:right="960" w:header="432" w:footer="432" w:gutter="0"/>
          <w:cols w:num="1" w:space="240"/>
        </w:sect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>{opswami_csbs, sschavan_csbs, kvdeshpande_comp, prpatil_csbs, agtirpude_csbs}@jspmrscoe.edu.in</w:t>
      </w:r>
    </w:p>
    <w:p>
      <w:pPr>
        <w:pStyle w:val="FirstParagraph"/>
        <w:spacing w:before="0" w:after="80" w:line="210" w:lineRule="exact"/>
        <w:ind w:firstLine="202"/>
        <w:jc w:val="both"/>
      </w:pPr>
      <w:r>
        <w:rPr>
          <w:rFonts w:ascii="Times New Roman" w:hAnsi="Times New Roman" w:cs="Times New Roman" w:eastAsia="Times New Roman"/>
          <w:b/>
          <w:i/>
          <w:color w:val="000000"/>
          <w:sz w:val="18"/>
        </w:rPr>
        <w:t>Abstract—</w:t>
      </w:r>
      <w:r>
        <w:rPr>
          <w:rFonts w:ascii="Times New Roman" w:hAnsi="Times New Roman" w:cs="Times New Roman" w:eastAsia="Times New Roman"/>
          <w:b/>
          <w:color w:val="000000"/>
          <w:sz w:val="18"/>
        </w:rPr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Intelligent tutoring systems estimate what a learner knows but present a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fixed interface, while generative user interfaces (GenUI) synthesize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interfaces at runtime without any model of the learner. We propose a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closed-loop architecture that couples the two. Bayesian Knowledge Tracing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estimates mastery; a PID governor turns the mastery deficit into a structural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complexity budget; a rule-based policy selects scaffolding; a planner fixes the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layout closest to the budget; and a foundation model writes its content as a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JSON component tree, with a fallback when schema or budget checks fail. We evaluate the architecture in silico on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1,000 synthetic learners from three archetypes, replayed through four arms.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The closed loop keeps the rendered interface within 0.012 of the governor’s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budget on average, against 0.131 for unconstrained GenUI and 0.123 for a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rule-based baseline, with 3.5 times less jitter than unconstrained GenUI,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which matches latent mastery slightly better but skips levels three times as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often. Standard BKT saturates after long success runs, so a later streak of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errors leaves the interface unchanged; a CUSUM lapse detector cuts overload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in a forgetting cohort by 25%. In 300 single calls to the real model with the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planner (not full learner sessions), 98.7% of raw outputs were within budget before any fallback, against 92% when the model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also chose the layout. All claims concern algorithmic behavior;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no learning gains are claimed.</w:t>
      </w:r>
    </w:p>
    <w:p>
      <w:pPr>
        <w:pStyle w:val="BodyText"/>
        <w:spacing w:before="0" w:after="80" w:line="210" w:lineRule="exact"/>
        <w:ind w:firstLine="202"/>
        <w:jc w:val="both"/>
      </w:pPr>
      <w:r>
        <w:rPr>
          <w:rFonts w:ascii="Times New Roman" w:hAnsi="Times New Roman" w:cs="Times New Roman" w:eastAsia="Times New Roman"/>
          <w:b/>
          <w:i/>
          <w:color w:val="000000"/>
          <w:sz w:val="18"/>
        </w:rPr>
        <w:t>Index Terms—</w:t>
      </w:r>
      <w:r>
        <w:rPr>
          <w:rFonts w:ascii="Times New Roman" w:hAnsi="Times New Roman" w:cs="Times New Roman" w:eastAsia="Times New Roman"/>
          <w:b/>
          <w:color w:val="000000"/>
          <w:sz w:val="18"/>
        </w:rPr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generative user interfaces, Bayesian knowledge tracing, PID control,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cognitive load, adaptive learning, simulation</w:t>
      </w:r>
    </w:p>
    <w:bookmarkStart w:id="9" w:name="i.-introduction"/>
    <w:p>
      <w:pPr>
        <w:pStyle w:val="Heading1"/>
      </w:pPr>
      <w:r>
        <w:rPr>
          <w:rFonts w:ascii="Times New Roman" w:hAnsi="Times New Roman" w:cs="Times New Roman" w:eastAsia="Times New Roman"/>
          <w:b w:val="0"/>
          <w:i w:val="0"/>
          <w:smallCaps/>
          <w:color w:val="000000"/>
          <w:sz w:val="20"/>
        </w:rPr>
        <w:t xml:space="preserve">I. Introduction</w:t>
      </w:r>
    </w:p>
    <w:p>
      <w:pPr>
        <w:pStyle w:val="FirstParagraph"/>
      </w:pPr>
      <w:r>
        <w:rPr>
          <w:rFonts w:ascii="Times New Roman" w:hAnsi="Times New Roman" w:cs="Times New Roman" w:eastAsia="Times New Roman"/>
          <w:color w:val="000000"/>
        </w:rPr>
        <w:t xml:space="preserve">Intelligent tutoring systems (ITS) have long modeled learners precisely.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Knowledge tracing maintains a probability that a learner has mastered each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knowledge component [1], and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tutors built on it have been deployed at scale in mathematics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[2], [3]. Their interface,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however, is authored in advance: the learner model selects the next problem,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not its presentation.</w:t>
      </w:r>
    </w:p>
    <w:p>
      <w:pPr>
        <w:pStyle w:val="BodyText"/>
      </w:pPr>
      <w:r>
        <w:rPr>
          <w:rFonts w:ascii="Times New Roman" w:hAnsi="Times New Roman" w:cs="Times New Roman" w:eastAsia="Times New Roman"/>
          <w:color w:val="000000"/>
        </w:rPr>
        <w:t xml:space="preserve">Generative user interfaces take the opposite position. A foundation model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produces a task-specific interface for each request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[4], including interactive courseware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[5]. These systems are open loop: the model does not observe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the learner’s state, and nothing bounds how complex the generated interface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becomes.</w:t>
      </w:r>
    </w:p>
    <w:p>
      <w:pPr>
        <w:pStyle w:val="BodyText"/>
      </w:pPr>
      <w:r>
        <w:rPr>
          <w:rFonts w:ascii="Times New Roman" w:hAnsi="Times New Roman" w:cs="Times New Roman" w:eastAsia="Times New Roman"/>
          <w:color w:val="000000"/>
        </w:rPr>
        <w:t xml:space="preserve">Cognitive load theory explains why this matters. The same material can help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 novice and hinder an expert (the expertise reversal effect)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[6], and guidance should fade as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competence grows [7], [8]. An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adaptive interface therefore needs a learner model and a mechanism that holds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its complexity to that model without the abrupt changes that make adaptive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interfaces hard to use [9], [10].</w:t>
      </w:r>
    </w:p>
    <w:p>
      <w:pPr>
        <w:pStyle w:val="BodyText"/>
      </w:pPr>
      <w:r>
        <w:rPr>
          <w:rFonts w:ascii="Times New Roman" w:hAnsi="Times New Roman" w:cs="Times New Roman" w:eastAsia="Times New Roman"/>
          <w:color w:val="000000"/>
        </w:rPr>
        <w:t xml:space="preserve">BKT, PID control, layout search and constrained generation are each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established; our contribution is their integration: to our knowledge, the first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system in which a BKT mastery estimate, through feedback control, sets a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structural budget that a runtime-generated interface must meet:</w:t>
      </w:r>
    </w:p>
    <w:p>
      <w:pPr>
        <w:numPr>
          <w:ilvl w:val="0"/>
          <w:numId w:val="1001"/>
        </w:numPr>
      </w:pPr>
      <w:r>
        <w:rPr>
          <w:rFonts w:ascii="Times New Roman" w:hAnsi="Times New Roman" w:cs="Times New Roman" w:eastAsia="Times New Roman"/>
          <w:color w:val="000000"/>
        </w:rPr>
        <w:t xml:space="preserve">A closed loop in which BKT mastery drives a PID governor whose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complexity budget is met by a layout planner and a generative model, with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schema validation and a fallback.</w:t>
      </w:r>
    </w:p>
    <w:p>
      <w:pPr>
        <w:numPr>
          <w:ilvl w:val="0"/>
          <w:numId w:val="1001"/>
        </w:numPr>
      </w:pPr>
      <w:r>
        <w:rPr>
          <w:rFonts w:ascii="Times New Roman" w:hAnsi="Times New Roman" w:cs="Times New Roman" w:eastAsia="Times New Roman"/>
          <w:color w:val="000000"/>
        </w:rPr>
        <w:t xml:space="preserve">A computable structural complexity metric over a component tree for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linear-equation tasks, built from features linked to cognitive load.</w:t>
      </w:r>
    </w:p>
    <w:p>
      <w:pPr>
        <w:numPr>
          <w:ilvl w:val="0"/>
          <w:numId w:val="1001"/>
        </w:numPr>
      </w:pPr>
      <w:r>
        <w:rPr>
          <w:rFonts w:ascii="Times New Roman" w:hAnsi="Times New Roman" w:cs="Times New Roman" w:eastAsia="Times New Roman"/>
          <w:color w:val="000000"/>
        </w:rPr>
        <w:t xml:space="preserve">An in-silico benchmark of 1,000 synthetic learners across four arms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and ablations, including an analysis of BKT saturation after success runs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and two remedies, with sensitivity to controller, metric and BKT parameters.</w:t>
      </w:r>
    </w:p>
    <w:bookmarkEnd w:id="9"/>
    <w:bookmarkStart w:id="10" w:name="ii.-related-work"/>
    <w:p>
      <w:pPr>
        <w:pStyle w:val="Heading1"/>
      </w:pPr>
      <w:r>
        <w:rPr>
          <w:rFonts w:ascii="Times New Roman" w:hAnsi="Times New Roman" w:cs="Times New Roman" w:eastAsia="Times New Roman"/>
          <w:b w:val="0"/>
          <w:i w:val="0"/>
          <w:smallCaps/>
          <w:color w:val="000000"/>
          <w:sz w:val="20"/>
        </w:rPr>
        <w:t xml:space="preserve">II. Related Work</w:t>
      </w:r>
    </w:p>
    <w:p>
      <w:pPr>
        <w:pStyle w:val="FirstParagraph"/>
      </w:pPr>
      <w:r>
        <w:rPr>
          <w:rFonts w:ascii="Times New Roman" w:hAnsi="Times New Roman" w:cs="Times New Roman" w:eastAsia="Times New Roman"/>
          <w:i/>
          <w:iCs/>
          <w:color w:val="000000"/>
        </w:rPr>
        <w:t xml:space="preserve">Learner modeling: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Bayesian Knowledge Tracing (BKT) models each knowledge component as a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two-state hidden Markov model with prior, learning, guess and slip parameters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[1]. Extensions individualize parameters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[11], add forgetting [12] or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contextualize guess and slip [13]; its fixed points are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analyzed in [14]. Extended BKT stays competitive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with logistic and deep models [12], [15]; its state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is a probability that can serve directly as a control variable.</w:t>
      </w:r>
    </w:p>
    <w:p>
      <w:pPr>
        <w:pStyle w:val="BodyText"/>
      </w:pPr>
      <w:r>
        <w:rPr>
          <w:rFonts w:ascii="Times New Roman" w:hAnsi="Times New Roman" w:cs="Times New Roman" w:eastAsia="Times New Roman"/>
          <w:i/>
          <w:iCs/>
          <w:color w:val="000000"/>
        </w:rPr>
        <w:t xml:space="preserve">Adaptive and generative interfaces: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Model-based interface generation [16] adapts presentation to users, but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adaptation has costs: unpredictable changes reduce usability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[9], [10]. Recent GenUI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systems let a large language model produce the interface itself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[4], [5]. To our knowledge, none of these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systems bounds the generated interface by a learner model: SUPPLE models devices and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motor abilities, not knowledge; fading and staircase rules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[8], [17] adjust task difficulty, not interface structure (Table I).</w:t>
      </w:r>
    </w:p>
    <w:p>
      <w:pPr>
        <w:pStyle w:val="BodyText"/>
        <w:keepNext/>
        <w:spacing w:before="120" w:after="0" w:line="190" w:lineRule="exact"/>
        <w:ind w:firstLine="0"/>
        <w:jc w:val="center"/>
      </w:pPr>
      <w:r>
        <w:rPr>
          <w:rFonts w:ascii="Times New Roman" w:hAnsi="Times New Roman" w:cs="Times New Roman" w:eastAsia="Times New Roman"/>
          <w:smallCaps w:val="0"/>
          <w:color w:val="000000"/>
          <w:sz w:val="16"/>
        </w:rPr>
        <w:t>TABLE I</w:t>
      </w:r>
    </w:p>
    <w:p>
      <w:pPr>
        <w:pStyle w:val="BodyText"/>
        <w:keepNext/>
        <w:spacing w:before="0" w:after="60" w:line="190" w:lineRule="exact"/>
        <w:ind w:firstLine="0"/>
        <w:jc w:val="center"/>
      </w:pPr>
      <w:r>
        <w:rPr>
          <w:rFonts w:ascii="Times New Roman" w:hAnsi="Times New Roman" w:cs="Times New Roman" w:eastAsia="Times New Roman"/>
          <w:smallCaps/>
          <w:color w:val="000000"/>
          <w:sz w:val="16"/>
        </w:rPr>
        <w:t>Prior approaches against the three properties combined here</w:t>
      </w:r>
    </w:p>
    <w:tbl>
      <w:tblPr>
        <w:tblStyle w:val="Table"/>
        <w:tblW w:w="5038" w:type="dxa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950"/>
        <w:gridCol w:w="975"/>
        <w:gridCol w:w="975"/>
        <w:gridCol w:w="1138"/>
      </w:tblGrid>
      <w:tr>
        <w:trPr>
          <w:tblHeader w:val="on"/>
          <w:cantSplit/>
        </w:trPr>
        <w:tc>
          <w:tcPr>
            <w:tcW w:w="1950" w:type="dxa"/>
            <w:tcBorders>
              <w:bottom w:val="single" w:sz="4" w:space="0" w:color="000000"/>
            </w:tcBorders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Approach</w:t>
            </w:r>
          </w:p>
        </w:tc>
        <w:tc>
          <w:tcPr>
            <w:tcW w:w="975" w:type="dxa"/>
            <w:tcBorders>
              <w:bottom w:val="single" w:sz="4" w:space="0" w:color="000000"/>
            </w:tcBorders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Knowledge model</w:t>
            </w:r>
          </w:p>
        </w:tc>
        <w:tc>
          <w:tcPr>
            <w:tcW w:w="975" w:type="dxa"/>
            <w:tcBorders>
              <w:bottom w:val="single" w:sz="4" w:space="0" w:color="000000"/>
            </w:tcBorders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Generated interface</w:t>
            </w:r>
          </w:p>
        </w:tc>
        <w:tc>
          <w:tcPr>
            <w:tcW w:w="1138" w:type="dxa"/>
            <w:tcBorders>
              <w:bottom w:val="single" w:sz="4" w:space="0" w:color="000000"/>
            </w:tcBorders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Bounded by learner state</w:t>
            </w:r>
          </w:p>
        </w:tc>
      </w:tr>
      <w:tr>
        <w:trPr>
          <w:cantSplit/>
        </w:trPr>
        <w:tc>
          <w:tcPr>
            <w:tcW w:w="1950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Tracing tutors [1], [2]</w:t>
            </w:r>
          </w:p>
        </w:tc>
        <w:tc>
          <w:tcPr>
            <w:tcW w:w="975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yes</w:t>
            </w:r>
          </w:p>
        </w:tc>
        <w:tc>
          <w:tcPr>
            <w:tcW w:w="975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no</w:t>
            </w:r>
          </w:p>
        </w:tc>
        <w:tc>
          <w:tcPr>
            <w:tcW w:w="1138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no</w:t>
            </w:r>
          </w:p>
        </w:tc>
      </w:tr>
      <w:tr>
        <w:trPr>
          <w:cantSplit/>
        </w:trPr>
        <w:tc>
          <w:tcPr>
            <w:tcW w:w="1950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Adaptive fading [8]</w:t>
            </w:r>
          </w:p>
        </w:tc>
        <w:tc>
          <w:tcPr>
            <w:tcW w:w="975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yes</w:t>
            </w:r>
          </w:p>
        </w:tc>
        <w:tc>
          <w:tcPr>
            <w:tcW w:w="975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no</w:t>
            </w:r>
          </w:p>
        </w:tc>
        <w:tc>
          <w:tcPr>
            <w:tcW w:w="1138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fixed rule</w:t>
            </w:r>
          </w:p>
        </w:tc>
      </w:tr>
      <w:tr>
        <w:trPr>
          <w:cantSplit/>
        </w:trPr>
        <w:tc>
          <w:tcPr>
            <w:tcW w:w="1950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Model-based UI [16]</w:t>
            </w:r>
          </w:p>
        </w:tc>
        <w:tc>
          <w:tcPr>
            <w:tcW w:w="975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no</w:t>
            </w:r>
          </w:p>
        </w:tc>
        <w:tc>
          <w:tcPr>
            <w:tcW w:w="975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yes</w:t>
            </w:r>
          </w:p>
        </w:tc>
        <w:tc>
          <w:tcPr>
            <w:tcW w:w="1138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no</w:t>
            </w:r>
          </w:p>
        </w:tc>
      </w:tr>
      <w:tr>
        <w:trPr>
          <w:cantSplit/>
        </w:trPr>
        <w:tc>
          <w:tcPr>
            <w:tcW w:w="1950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LLM-based GenUI [4], [5]</w:t>
            </w:r>
          </w:p>
        </w:tc>
        <w:tc>
          <w:tcPr>
            <w:tcW w:w="975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no</w:t>
            </w:r>
          </w:p>
        </w:tc>
        <w:tc>
          <w:tcPr>
            <w:tcW w:w="975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yes</w:t>
            </w:r>
          </w:p>
        </w:tc>
        <w:tc>
          <w:tcPr>
            <w:tcW w:w="1138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no</w:t>
            </w:r>
          </w:p>
        </w:tc>
      </w:tr>
      <w:tr>
        <w:trPr>
          <w:cantSplit/>
        </w:trPr>
        <w:tc>
          <w:tcPr>
            <w:tcW w:w="1950" w:type="dxa"/>
            <w:tcMar>
              <w:left w:w="60" w:type="dxa"/>
              <w:right w:w="60" w:type="dxa"/>
            </w:tcMar>
          </w:tcPr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This work</w:t>
            </w:r>
          </w:p>
        </w:tc>
        <w:tc>
          <w:tcPr>
            <w:tcW w:w="975" w:type="dxa"/>
            <w:tcMar>
              <w:left w:w="60" w:type="dxa"/>
              <w:right w:w="60" w:type="dxa"/>
            </w:tcMar>
          </w:tcPr>
          <w:p>
            <w:pPr>
              <w:pStyle w:val="Compact"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yes</w:t>
            </w:r>
          </w:p>
        </w:tc>
        <w:tc>
          <w:tcPr>
            <w:tcW w:w="975" w:type="dxa"/>
            <w:tcMar>
              <w:left w:w="60" w:type="dxa"/>
              <w:right w:w="60" w:type="dxa"/>
            </w:tcMar>
          </w:tcPr>
          <w:p>
            <w:pPr>
              <w:pStyle w:val="Compact"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yes</w:t>
            </w:r>
          </w:p>
        </w:tc>
        <w:tc>
          <w:tcPr>
            <w:tcW w:w="1138" w:type="dxa"/>
            <w:tcMar>
              <w:left w:w="60" w:type="dxa"/>
              <w:right w:w="60" w:type="dxa"/>
            </w:tcMar>
          </w:tcPr>
          <w:p>
            <w:pPr>
              <w:pStyle w:val="Compact"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yes</w:t>
            </w:r>
          </w:p>
        </w:tc>
      </w:tr>
    </w:tbl>
    <w:p>
      <w:pPr>
        <w:pStyle w:val="BodyText"/>
      </w:pPr>
      <w:r>
        <w:rPr>
          <w:rFonts w:ascii="Times New Roman" w:hAnsi="Times New Roman" w:cs="Times New Roman" w:eastAsia="Times New Roman"/>
          <w:i/>
          <w:iCs/>
          <w:color w:val="000000"/>
        </w:rPr>
        <w:t xml:space="preserve">Cognitive load and scaffolding: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Cognitive load theory [18]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attributes intrinsic load to element interactivity [19].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Worked examples help algebra novices [20] and should fade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into problem solving [7], [8], as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concrete representations should fade into symbolic ones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[21]. The balance model aids early understanding of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linear equations but fails with negative quantities [22],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and misconceptions about equality persist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[23], [24].</w:t>
      </w:r>
    </w:p>
    <w:p>
      <w:pPr>
        <w:pStyle w:val="BodyText"/>
      </w:pPr>
      <w:r>
        <w:rPr>
          <w:rFonts w:ascii="Times New Roman" w:hAnsi="Times New Roman" w:cs="Times New Roman" w:eastAsia="Times New Roman"/>
          <w:i/>
          <w:iCs/>
          <w:color w:val="000000"/>
        </w:rPr>
        <w:t xml:space="preserve">Control and constrained generation: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PID control with anti-windup and derivative filtering is standard practice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[25], [26]. Constrained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decoding guarantees well-formed model output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[27], though schema-constrained output is not perfectly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reliable in practice [28].</w:t>
      </w:r>
    </w:p>
    <w:bookmarkEnd w:id="10"/>
    <w:bookmarkStart w:id="25" w:name="iii.-architecture"/>
    <w:p>
      <w:pPr>
        <w:pStyle w:val="Heading1"/>
      </w:pPr>
      <w:r>
        <w:rPr>
          <w:rFonts w:ascii="Times New Roman" w:hAnsi="Times New Roman" w:cs="Times New Roman" w:eastAsia="Times New Roman"/>
          <w:b w:val="0"/>
          <w:i w:val="0"/>
          <w:smallCaps/>
          <w:color w:val="000000"/>
          <w:sz w:val="20"/>
        </w:rPr>
        <w:t xml:space="preserve">III. Architecture</w:t>
      </w:r>
    </w:p>
    <w:p>
      <w:pPr>
        <w:pStyle w:val="BodyText"/>
        <w:keepNext/>
        <w:spacing w:before="12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color w:val="000000"/>
        </w:rPr>
        <w:drawing>
          <wp:inline>
            <wp:extent cx="2944368" cy="1410108"/>
            <wp:effectExtent b="0" l="0" r="0" t="0"/>
            <wp:docPr descr="image" title="" id="12" name="Picture"/>
            <a:graphic>
              <a:graphicData uri="http://schemas.openxmlformats.org/drawingml/2006/picture">
                <pic:pic>
                  <pic:nvPicPr>
                    <pic:cNvPr descr="fig/architectur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368" cy="14101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60" w:after="160" w:line="190" w:lineRule="exact"/>
        <w:ind w:firstLine="0"/>
        <w:jc w:val="both"/>
      </w:pPr>
      <w:r>
        <w:rPr>
          <w:rFonts w:ascii="Times New Roman" w:hAnsi="Times New Roman" w:cs="Times New Roman" w:eastAsia="Times New Roman"/>
          <w:color w:val="000000"/>
          <w:sz w:val="16"/>
        </w:rPr>
        <w:t>Fig. 1. The closed loop as deployed. The gate rechecks the budget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(dashed); failing trees are replaced from the fallback catalog. The learner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(shaded) is simulated here.</w:t>
      </w:r>
    </w:p>
    <w:p>
      <w:pPr>
        <w:pStyle w:val="BodyText"/>
      </w:pPr>
      <w:r>
        <w:rPr>
          <w:rFonts w:ascii="Times New Roman" w:hAnsi="Times New Roman" w:cs="Times New Roman" w:eastAsia="Times New Roman"/>
          <w:color w:val="000000"/>
        </w:rPr>
        <w:t xml:space="preserve">The loop has five stages (Fig. 1): a psychometric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estimator, a complexity governor, a fast policy, a layout planner, and a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generative plant whose output passes a validation gate before a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deterministic client renders it.</w:t>
      </w:r>
    </w:p>
    <w:bookmarkStart w:id="14" w:name="a.-mastery-estimation"/>
    <w:p>
      <w:pPr>
        <w:pStyle w:val="Heading2"/>
      </w:pPr>
      <w:r>
        <w:rPr>
          <w:rFonts w:ascii="Times New Roman" w:hAnsi="Times New Roman" w:cs="Times New Roman" w:eastAsia="Times New Roman"/>
          <w:b w:val="0"/>
          <w:i/>
          <w:smallCaps w:val="0"/>
          <w:color w:val="000000"/>
          <w:sz w:val="20"/>
        </w:rPr>
        <w:t xml:space="preserve">A. Mastery estimation</w:t>
      </w:r>
    </w:p>
    <w:p>
      <w:pPr>
        <w:pStyle w:val="FirstParagraph"/>
      </w:pPr>
      <w:r>
        <w:rPr>
          <w:rFonts w:ascii="Times New Roman" w:hAnsi="Times New Roman" w:cs="Times New Roman" w:eastAsia="Times New Roman"/>
          <w:color w:val="000000"/>
        </w:rPr>
        <w:t xml:space="preserve">After response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w:rPr>
                <w:rFonts w:ascii="Cambria Math" w:hAnsi="Cambria Math"/>
                <w:sz w:val="20"/>
                <w:szCs w:val="20"/>
              </w:rPr>
              <m:t>r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∈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{</m:t>
        </m:r>
        <m:r>
          <w:rPr>
            <w:rFonts w:ascii="Cambria Math" w:hAnsi="Cambria Math"/>
            <w:sz w:val="20"/>
            <w:szCs w:val="20"/>
          </w:rPr>
          <m:t>0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,</m:t>
        </m:r>
        <m:r>
          <w:rPr>
            <w:rFonts w:ascii="Cambria Math" w:hAnsi="Cambria Math"/>
            <w:sz w:val="20"/>
            <w:szCs w:val="20"/>
          </w:rPr>
          <m:t>1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}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the mastery estimate is updated by Bayes’ rule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and the learning transition [1]. Writing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sSub>
          <m:e>
            <m:r>
              <w:rPr>
                <w:rFonts w:ascii="Cambria Math" w:hAnsi="Cambria Math"/>
                <w:sz w:val="20"/>
                <w:szCs w:val="20"/>
              </w:rPr>
              <m:t>L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g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r>
          <w:rPr>
            <w:rFonts w:ascii="Cambria Math" w:hAnsi="Cambria Math"/>
            <w:sz w:val="20"/>
            <w:szCs w:val="20"/>
          </w:rPr>
          <m:t>G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s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r>
          <w:rPr>
            <w:rFonts w:ascii="Cambria Math" w:hAnsi="Cambria Math"/>
            <w:sz w:val="20"/>
            <w:szCs w:val="20"/>
          </w:rPr>
          <m:t>S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and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acc>
          <m:accPr>
            <m:chr m:val="̂"/>
          </m:accPr>
          <m:e>
            <m:r>
              <w:rPr>
                <w:rFonts w:ascii="Cambria Math" w:hAnsi="Cambria Math"/>
                <w:sz w:val="20"/>
                <w:szCs w:val="20"/>
              </w:rPr>
              <m:t>p</m:t>
            </m:r>
          </m:e>
        </m:acc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sSub>
          <m:e>
            <m:r>
              <w:rPr>
                <w:rFonts w:ascii="Cambria Math" w:hAnsi="Cambria Math"/>
                <w:sz w:val="20"/>
                <w:szCs w:val="20"/>
              </w:rPr>
              <m:t>L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∣</m:t>
        </m:r>
        <m:sSub>
          <m:e>
            <m:r>
              <w:rPr>
                <w:rFonts w:ascii="Cambria Math" w:hAnsi="Cambria Math"/>
                <w:sz w:val="20"/>
                <w:szCs w:val="20"/>
              </w:rPr>
              <m:t>r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,</w:t>
      </w:r>
    </w:p>
    <w:p>
      <w:pPr>
        <w:pStyle w:val="BodyText"/>
        <w:spacing w:before="60" w:after="60" w:line="240" w:lineRule="auto"/>
        <w:ind w:firstLine="0"/>
        <w:jc w:val="center"/>
      </w:pPr>
      <m:oMathPara>
        <m:oMathParaPr>
          <m:jc m:val="center"/>
        </m:oMathParaPr>
        <m:oMath>
          <m:eqArr>
            <m:e>
              <m:r>
                <w:rPr>
                  <w:rFonts w:ascii="Cambria Math" w:hAnsi="Cambria Math"/>
                  <w:sz w:val="20"/>
                  <w:szCs w:val="20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(</m:t>
              </m:r>
              <m:sSub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∣</m:t>
              </m:r>
              <m:sSub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=</m:t>
              </m:r>
              <m:r>
                <w:rPr>
                  <w:rFonts w:ascii="Cambria Math" w:hAnsi="Cambria Math"/>
                  <w:sz w:val="20"/>
                  <w:szCs w:val="20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)</m:t>
              </m:r>
              <m:r>
                <w:rPr>
                  <w:rFonts w:ascii="Cambria Math" w:hAnsi="Cambria Math"/>
                  <w:sz w:val="20"/>
                  <w:szCs w:val="20"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(</m:t>
                  </m:r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−</m:t>
                  </m:r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)</m:t>
                  </m:r>
                </m:num>
                <m:den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(</m:t>
                  </m:r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−</m:t>
                  </m:r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)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+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(</m:t>
                  </m:r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−</m:t>
                  </m:r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)</m:t>
                  </m:r>
                  <m:r>
                    <w:rPr>
                      <w:rFonts w:ascii="Cambria Math" w:hAnsi="Cambria Math"/>
                      <w:sz w:val="20"/>
                      <w:szCs w:val="20"/>
                    </w:rPr>
                    <m:t>g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,</m:t>
              </m:r>
              <m:r>
                <w:rPr>
                  <w:rFonts w:ascii="Cambria Math" w:hAnsi="Cambria Math"/>
                  <w:sz w:val="20"/>
                  <w:szCs w:val="20"/>
                </w:rPr>
                <m:t>  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(</m:t>
              </m:r>
              <m:r>
                <w:rPr>
                  <w:rFonts w:ascii="Cambria Math" w:hAnsi="Cambria Math"/>
                  <w:sz w:val="20"/>
                  <w:szCs w:val="20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)</m:t>
              </m:r>
            </m:e>
            <m:e>
              <m:r>
                <w:rPr>
                  <w:rFonts w:ascii="Cambria Math" w:hAnsi="Cambria Math"/>
                  <w:sz w:val="20"/>
                  <w:szCs w:val="20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(</m:t>
              </m:r>
              <m:sSub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∣</m:t>
              </m:r>
              <m:sSub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=</m:t>
              </m:r>
              <m:r>
                <w:rPr>
                  <w:rFonts w:ascii="Cambria Math" w:hAnsi="Cambria Math"/>
                  <w:sz w:val="20"/>
                  <w:szCs w:val="20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)</m:t>
              </m:r>
              <m:r>
                <w:rPr>
                  <w:rFonts w:ascii="Cambria Math" w:hAnsi="Cambria Math"/>
                  <w:sz w:val="20"/>
                  <w:szCs w:val="20"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</m:num>
                <m:den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+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(</m:t>
                  </m:r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−</m:t>
                  </m:r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)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(</m:t>
                  </m:r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−</m:t>
                  </m:r>
                  <m:r>
                    <w:rPr>
                      <w:rFonts w:ascii="Cambria Math" w:hAnsi="Cambria Math"/>
                      <w:sz w:val="20"/>
                      <w:szCs w:val="20"/>
                    </w:rPr>
                    <m:t>g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)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,</m:t>
              </m:r>
              <m:r>
                <w:rPr>
                  <w:rFonts w:ascii="Cambria Math" w:hAnsi="Cambria Math"/>
                  <w:sz w:val="20"/>
                  <w:szCs w:val="20"/>
                </w:rPr>
                <m:t>  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(</m:t>
              </m:r>
              <m:r>
                <w:rPr>
                  <w:rFonts w:ascii="Cambria Math" w:hAnsi="Cambria Math"/>
                  <w:sz w:val="20"/>
                  <w:szCs w:val="20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)</m:t>
              </m:r>
            </m:e>
            <m:e>
              <m:r>
                <w:rPr>
                  <w:rFonts w:ascii="Cambria Math" w:hAnsi="Cambria Math"/>
                  <w:sz w:val="20"/>
                  <w:szCs w:val="20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(</m:t>
              </m:r>
              <m:sSub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+</m:t>
                  </m:r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)</m:t>
              </m:r>
              <m:r>
                <w:rPr>
                  <w:rFonts w:ascii="Cambria Math" w:hAnsi="Cambria Math"/>
                  <w:sz w:val="20"/>
                  <w:szCs w:val="20"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=</m:t>
              </m:r>
              <m:acc>
                <m:accPr>
                  <m:chr m:val="̂"/>
                </m:acc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</m:acc>
              <m:r>
                <w:rPr>
                  <w:rFonts w:ascii="Cambria Math" w:hAnsi="Cambria Math"/>
                  <w:sz w:val="20"/>
                  <w:szCs w:val="20"/>
                </w:rPr>
                <m:t> 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(</m:t>
              </m:r>
              <m:r>
                <w:rPr>
                  <w:rFonts w:ascii="Cambria Math" w:hAnsi="Cambria Math"/>
                  <w:sz w:val="20"/>
                  <w:szCs w:val="20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−</m:t>
              </m:r>
              <m:r>
                <w:rPr>
                  <w:rFonts w:ascii="Cambria Math" w:hAnsi="Cambria Math"/>
                  <w:sz w:val="20"/>
                  <w:szCs w:val="20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(</m:t>
              </m:r>
              <m:r>
                <w:rPr>
                  <w:rFonts w:ascii="Cambria Math" w:hAnsi="Cambria Math"/>
                  <w:sz w:val="20"/>
                  <w:szCs w:val="20"/>
                </w:rPr>
                <m:t>F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)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)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+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(</m:t>
              </m:r>
              <m:r>
                <w:rPr>
                  <w:rFonts w:ascii="Cambria Math" w:hAnsi="Cambria Math"/>
                  <w:sz w:val="20"/>
                  <w:szCs w:val="20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−</m:t>
              </m:r>
              <m:acc>
                <m:accPr>
                  <m:chr m:val="̂"/>
                </m:acc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</m:acc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)</m:t>
              </m:r>
              <m:r>
                <w:rPr>
                  <w:rFonts w:ascii="Cambria Math" w:hAnsi="Cambria Math"/>
                  <w:sz w:val="20"/>
                  <w:szCs w:val="20"/>
                </w:rPr>
                <m:t> </m:t>
              </m:r>
              <m:r>
                <w:rPr>
                  <w:rFonts w:ascii="Cambria Math" w:hAnsi="Cambria Math"/>
                  <w:sz w:val="20"/>
                  <w:szCs w:val="20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(</m:t>
              </m:r>
              <m:r>
                <w:rPr>
                  <w:rFonts w:ascii="Cambria Math" w:hAnsi="Cambria Math"/>
                  <w:sz w:val="20"/>
                  <w:szCs w:val="20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)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,</m:t>
              </m:r>
              <m:r>
                <w:rPr>
                  <w:rFonts w:ascii="Cambria Math" w:hAnsi="Cambria Math"/>
                  <w:sz w:val="20"/>
                  <w:szCs w:val="20"/>
                </w:rPr>
                <m:t>  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(</m:t>
              </m:r>
              <m:r>
                <w:rPr>
                  <w:rFonts w:ascii="Cambria Math" w:hAnsi="Cambria Math"/>
                  <w:sz w:val="20"/>
                  <w:szCs w:val="20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)</m:t>
              </m:r>
            </m:e>
          </m:eqArr>
        </m:oMath>
      </m:oMathPara>
    </w:p>
    <w:p>
      <w:pPr>
        <w:pStyle w:val="FirstParagraph"/>
      </w:pPr>
      <w:r>
        <w:rPr>
          <w:rFonts w:ascii="Times New Roman" w:hAnsi="Times New Roman" w:cs="Times New Roman" w:eastAsia="Times New Roman"/>
          <w:color w:val="000000"/>
        </w:rPr>
        <w:t xml:space="preserve">where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r>
          <w:rPr>
            <w:rFonts w:ascii="Cambria Math" w:hAnsi="Cambria Math"/>
            <w:sz w:val="20"/>
            <w:szCs w:val="20"/>
          </w:rPr>
          <m:t>F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0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gives standard BKT and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r>
          <w:rPr>
            <w:rFonts w:ascii="Cambria Math" w:hAnsi="Cambria Math"/>
            <w:sz w:val="20"/>
            <w:szCs w:val="20"/>
          </w:rPr>
          <m:t>F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&gt;</m:t>
        </m:r>
        <m:r>
          <w:rPr>
            <w:rFonts w:ascii="Cambria Math" w:hAnsi="Cambria Math"/>
            <w:sz w:val="20"/>
            <w:szCs w:val="20"/>
          </w:rPr>
          <m:t>0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adds forgetting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[12]. Default parameters are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sSub>
          <m:e>
            <m:r>
              <w:rPr>
                <w:rFonts w:ascii="Cambria Math" w:hAnsi="Cambria Math"/>
                <w:sz w:val="20"/>
                <w:szCs w:val="20"/>
              </w:rPr>
              <m:t>L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0.15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r>
          <w:rPr>
            <w:rFonts w:ascii="Cambria Math" w:hAnsi="Cambria Math"/>
            <w:sz w:val="20"/>
            <w:szCs w:val="20"/>
          </w:rPr>
          <m:t>T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0.12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r>
          <w:rPr>
            <w:rFonts w:ascii="Cambria Math" w:hAnsi="Cambria Math"/>
            <w:sz w:val="20"/>
            <w:szCs w:val="20"/>
          </w:rPr>
          <m:t>G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0.20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r>
          <w:rPr>
            <w:rFonts w:ascii="Cambria Math" w:hAnsi="Cambria Math"/>
            <w:sz w:val="20"/>
            <w:szCs w:val="20"/>
          </w:rPr>
          <m:t>S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0.08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. They are design values, not fitted (sensitivity in Section V-C); they satisfy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the bounds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r>
          <w:rPr>
            <w:rFonts w:ascii="Cambria Math" w:hAnsi="Cambria Math"/>
            <w:sz w:val="20"/>
            <w:szCs w:val="20"/>
          </w:rPr>
          <m:t>G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&lt;</m:t>
        </m:r>
        <m:r>
          <w:rPr>
            <w:rFonts w:ascii="Cambria Math" w:hAnsi="Cambria Math"/>
            <w:sz w:val="20"/>
            <w:szCs w:val="20"/>
          </w:rPr>
          <m:t>0.3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r>
          <w:rPr>
            <w:rFonts w:ascii="Cambria Math" w:hAnsi="Cambria Math"/>
            <w:sz w:val="20"/>
            <w:szCs w:val="20"/>
          </w:rPr>
          <m:t>S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&lt;</m:t>
        </m:r>
        <m:r>
          <w:rPr>
            <w:rFonts w:ascii="Cambria Math" w:hAnsi="Cambria Math"/>
            <w:sz w:val="20"/>
            <w:szCs w:val="20"/>
          </w:rPr>
          <m:t>0.1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[1] and the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non-degeneracy conditions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r>
          <w:rPr>
            <w:rFonts w:ascii="Cambria Math" w:hAnsi="Cambria Math"/>
            <w:sz w:val="20"/>
            <w:szCs w:val="20"/>
          </w:rPr>
          <m:t>G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+</m:t>
        </m:r>
        <m:r>
          <w:rPr>
            <w:rFonts w:ascii="Cambria Math" w:hAnsi="Cambria Math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r>
          <w:rPr>
            <w:rFonts w:ascii="Cambria Math" w:hAnsi="Cambria Math"/>
            <w:sz w:val="20"/>
            <w:szCs w:val="20"/>
          </w:rPr>
          <m:t>S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&lt;</m:t>
        </m:r>
        <m:r>
          <w:rPr>
            <w:rFonts w:ascii="Cambria Math" w:hAnsi="Cambria Math"/>
            <w:sz w:val="20"/>
            <w:szCs w:val="20"/>
          </w:rPr>
          <m:t>1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r>
          <w:rPr>
            <w:rFonts w:ascii="Cambria Math" w:hAnsi="Cambria Math"/>
            <w:sz w:val="20"/>
            <w:szCs w:val="20"/>
          </w:rPr>
          <m:t>T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&lt;</m:t>
        </m:r>
        <m:r>
          <w:rPr>
            <w:rFonts w:ascii="Cambria Math" w:hAnsi="Cambria Math"/>
            <w:sz w:val="20"/>
            <w:szCs w:val="20"/>
          </w:rPr>
          <m:t>1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−</m:t>
        </m:r>
        <m:r>
          <w:rPr>
            <w:rFonts w:ascii="Cambria Math" w:hAnsi="Cambria Math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r>
          <w:rPr>
            <w:rFonts w:ascii="Cambria Math" w:hAnsi="Cambria Math"/>
            <w:sz w:val="20"/>
            <w:szCs w:val="20"/>
          </w:rPr>
          <m:t>S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/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r>
          <w:rPr>
            <w:rFonts w:ascii="Cambria Math" w:hAnsi="Cambria Math"/>
            <w:sz w:val="20"/>
            <w:szCs w:val="20"/>
          </w:rPr>
          <m:t>1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−</m:t>
        </m:r>
        <m:r>
          <w:rPr>
            <w:rFonts w:ascii="Cambria Math" w:hAnsi="Cambria Math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r>
          <w:rPr>
            <w:rFonts w:ascii="Cambria Math" w:hAnsi="Cambria Math"/>
            <w:sz w:val="20"/>
            <w:szCs w:val="20"/>
          </w:rPr>
          <m:t>G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[14].</w:t>
      </w:r>
    </w:p>
    <w:bookmarkEnd w:id="14"/>
    <w:bookmarkStart w:id="15" w:name="b.-complexity-governor"/>
    <w:p>
      <w:pPr>
        <w:pStyle w:val="Heading2"/>
      </w:pPr>
      <w:r>
        <w:rPr>
          <w:rFonts w:ascii="Times New Roman" w:hAnsi="Times New Roman" w:cs="Times New Roman" w:eastAsia="Times New Roman"/>
          <w:b w:val="0"/>
          <w:i/>
          <w:smallCaps w:val="0"/>
          <w:color w:val="000000"/>
          <w:sz w:val="20"/>
        </w:rPr>
        <w:t xml:space="preserve">B. Complexity governor</w:t>
      </w:r>
    </w:p>
    <w:p>
      <w:pPr>
        <w:pStyle w:val="FirstParagraph"/>
      </w:pPr>
      <w:r>
        <w:rPr>
          <w:rFonts w:ascii="Times New Roman" w:hAnsi="Times New Roman" w:cs="Times New Roman" w:eastAsia="Times New Roman"/>
          <w:color w:val="000000"/>
        </w:rPr>
        <w:t xml:space="preserve">The setpoint is the conventional mastery threshold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p>
          <m:e>
            <m:r>
              <w:rPr>
                <w:rFonts w:ascii="Cambria Math" w:hAnsi="Cambria Math"/>
                <w:sz w:val="20"/>
                <w:szCs w:val="20"/>
              </w:rPr>
              <m:t>P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0.95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[1], [29]. The tracking error is normalized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on each side of the setpoint so that deficit and surplus have equal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authority:</w:t>
      </w:r>
    </w:p>
    <w:p>
      <w:pPr>
        <w:pStyle w:val="BodyText"/>
        <w:spacing w:before="60" w:after="60" w:line="240" w:lineRule="auto"/>
        <w:ind w:firstLine="0"/>
        <w:jc w:val="center"/>
      </w:pPr>
      <m:oMathPara>
        <m:oMathParaPr>
          <m:jc m:val="center"/>
        </m:oMathParaPr>
        <m:oMath>
          <m:sSub>
            <m:e>
              <m:r>
                <w:rPr>
                  <w:rFonts w:ascii="Cambria Math" w:hAnsi="Cambria Math"/>
                  <w:sz w:val="20"/>
                  <w:szCs w:val="20"/>
                </w:rPr>
                <m:t>e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left"/>
                      </m:mcPr>
                    </m:mc>
                    <m:mc>
                      <m:mcPr>
                        <m:count m:val="1"/>
                        <m:mcJc m:val="left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(</m:t>
                    </m:r>
                    <m:sSup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−</m:t>
                    </m:r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P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(</m:t>
                    </m:r>
                    <m:sSub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/</m:t>
                    </m:r>
                    <m:sSup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*</m:t>
                        </m:r>
                      </m:sup>
                    </m:sSup>
                  </m:e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P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(</m:t>
                    </m:r>
                    <m:sSub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≤</m:t>
                    </m:r>
                    <m:sSup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*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(</m:t>
                    </m:r>
                    <m:sSup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−</m:t>
                    </m:r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P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(</m:t>
                    </m:r>
                    <m:sSub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/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(</m:t>
                    </m:r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−</m:t>
                    </m:r>
                    <m:sSup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)</m:t>
                    </m:r>
                  </m:e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P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(</m:t>
                    </m:r>
                    <m:sSub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&gt;</m:t>
                    </m:r>
                    <m:sSup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*</m:t>
                        </m:r>
                      </m:sup>
                    </m:sSup>
                  </m:e>
                </m:mr>
              </m:m>
            </m:e>
          </m:d>
          <m:r>
            <w:rPr>
              <w:rFonts w:ascii="Cambria Math" w:hAnsi="Cambria Math"/>
              <w:sz w:val="20"/>
              <w:szCs w:val="20"/>
            </w:rPr>
            <m:t>  </m:t>
          </m:r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(</m:t>
          </m:r>
          <m:r>
            <w:rPr>
              <w:rFonts w:ascii="Cambria Math" w:hAnsi="Cambria Math"/>
              <w:sz w:val="20"/>
              <w:szCs w:val="20"/>
            </w:rPr>
            <m:t>4</m:t>
          </m:r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)</m:t>
          </m:r>
        </m:oMath>
      </m:oMathPara>
    </w:p>
    <w:p>
      <w:pPr>
        <w:pStyle w:val="FirstParagraph"/>
      </w:pPr>
      <w:r>
        <w:rPr>
          <w:rFonts w:ascii="Times New Roman" w:hAnsi="Times New Roman" w:cs="Times New Roman" w:eastAsia="Times New Roman"/>
          <w:color w:val="000000"/>
        </w:rPr>
        <w:t xml:space="preserve">so that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w:rPr>
                <w:rFonts w:ascii="Cambria Math" w:hAnsi="Cambria Math"/>
                <w:sz w:val="20"/>
                <w:szCs w:val="20"/>
              </w:rPr>
              <m:t>e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∈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[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−</m:t>
        </m:r>
        <m:r>
          <w:rPr>
            <w:rFonts w:ascii="Cambria Math" w:hAnsi="Cambria Math"/>
            <w:sz w:val="20"/>
            <w:szCs w:val="20"/>
          </w:rPr>
          <m:t>1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,</m:t>
        </m:r>
        <m:r>
          <w:rPr>
            <w:rFonts w:ascii="Cambria Math" w:hAnsi="Cambria Math"/>
            <w:sz w:val="20"/>
            <w:szCs w:val="20"/>
          </w:rPr>
          <m:t>1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]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The control effort is</w:t>
      </w:r>
    </w:p>
    <w:p>
      <w:pPr>
        <w:pStyle w:val="BodyText"/>
        <w:spacing w:before="60" w:after="60" w:line="240" w:lineRule="auto"/>
        <w:ind w:firstLine="0"/>
        <w:jc w:val="center"/>
      </w:pPr>
      <m:oMathPara>
        <m:oMathParaPr>
          <m:jc m:val="center"/>
        </m:oMathParaPr>
        <m:oMath>
          <m:sSub>
            <m:e>
              <m:r>
                <w:rPr>
                  <w:rFonts w:ascii="Cambria Math" w:hAnsi="Cambria Math"/>
                  <w:sz w:val="20"/>
                  <w:szCs w:val="20"/>
                </w:rPr>
                <m:t>u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=</m:t>
          </m:r>
          <m:sSub>
            <m:e>
              <m:r>
                <w:rPr>
                  <w:rFonts w:ascii="Cambria Math" w:hAnsi="Cambria Math"/>
                  <w:sz w:val="20"/>
                  <w:szCs w:val="20"/>
                </w:rPr>
                <m:t>K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p</m:t>
              </m:r>
            </m:sub>
          </m:sSub>
          <m:sSub>
            <m:e>
              <m:r>
                <w:rPr>
                  <w:rFonts w:ascii="Cambria Math" w:hAnsi="Cambria Math"/>
                  <w:sz w:val="20"/>
                  <w:szCs w:val="20"/>
                </w:rPr>
                <m:t>e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+</m:t>
          </m:r>
          <m:sSub>
            <m:e>
              <m:r>
                <w:rPr>
                  <w:rFonts w:ascii="Cambria Math" w:hAnsi="Cambria Math"/>
                  <w:sz w:val="20"/>
                  <w:szCs w:val="20"/>
                </w:rPr>
                <m:t>K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i</m:t>
              </m:r>
            </m:sub>
          </m:sSub>
          <m:sSub>
            <m:e>
              <m:r>
                <w:rPr>
                  <w:rFonts w:ascii="Cambria Math" w:hAnsi="Cambria Math"/>
                  <w:sz w:val="20"/>
                  <w:szCs w:val="20"/>
                </w:rPr>
                <m:t>S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+</m:t>
          </m:r>
          <m:sSub>
            <m:e>
              <m:r>
                <w:rPr>
                  <w:rFonts w:ascii="Cambria Math" w:hAnsi="Cambria Math"/>
                  <w:sz w:val="20"/>
                  <w:szCs w:val="20"/>
                </w:rPr>
                <m:t>K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d</m:t>
              </m:r>
            </m:sub>
          </m:sSub>
          <m:sSub>
            <m:e>
              <m:r>
                <w:rPr>
                  <w:rFonts w:ascii="Cambria Math" w:hAnsi="Cambria Math"/>
                  <w:sz w:val="20"/>
                  <w:szCs w:val="20"/>
                </w:rPr>
                <m:t>D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,</m:t>
          </m:r>
          <m:r>
            <w:rPr>
              <w:rFonts w:ascii="Cambria Math" w:hAnsi="Cambria Math"/>
              <w:sz w:val="20"/>
              <w:szCs w:val="20"/>
            </w:rPr>
            <m:t>  </m:t>
          </m:r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(</m:t>
          </m:r>
          <m:r>
            <w:rPr>
              <w:rFonts w:ascii="Cambria Math" w:hAnsi="Cambria Math"/>
              <w:sz w:val="20"/>
              <w:szCs w:val="20"/>
            </w:rPr>
            <m:t>5</m:t>
          </m:r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)</m:t>
          </m:r>
        </m:oMath>
      </m:oMathPara>
    </w:p>
    <w:p>
      <w:pPr>
        <w:pStyle w:val="FirstParagraph"/>
      </w:pPr>
      <w:r>
        <w:rPr>
          <w:rFonts w:ascii="Times New Roman" w:hAnsi="Times New Roman" w:cs="Times New Roman" w:eastAsia="Times New Roman"/>
          <w:color w:val="000000"/>
        </w:rPr>
        <w:t xml:space="preserve">with the clamped integral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c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l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a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m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sSub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−</m:t>
            </m:r>
            <m:r>
              <w:rPr>
                <w:rFonts w:ascii="Cambria Math" w:hAnsi="Cambria Math"/>
                <w:sz w:val="20"/>
                <w:szCs w:val="20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+</m:t>
        </m:r>
        <m:sSub>
          <m:e>
            <m:r>
              <w:rPr>
                <w:rFonts w:ascii="Cambria Math" w:hAnsi="Cambria Math"/>
                <w:sz w:val="20"/>
                <w:szCs w:val="20"/>
              </w:rPr>
              <m:t>e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,</m:t>
        </m:r>
        <m:r>
          <w:rPr>
            <w:rFonts w:ascii="Cambria Math" w:hAnsi="Cambria Math"/>
            <w:sz w:val="20"/>
            <w:szCs w:val="20"/>
          </w:rPr>
          <m:t> 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−</m:t>
        </m:r>
        <m:sSub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max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,</m:t>
        </m:r>
        <m:r>
          <w:rPr>
            <w:rFonts w:ascii="Cambria Math" w:hAnsi="Cambria Math"/>
            <w:sz w:val="20"/>
            <w:szCs w:val="20"/>
          </w:rPr>
          <m:t> </m:t>
        </m:r>
        <m:sSub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max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for anti-windup [26] and the first-order filtered derivative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w:rPr>
                <w:rFonts w:ascii="Cambria Math" w:hAnsi="Cambria Math"/>
                <w:sz w:val="20"/>
                <w:szCs w:val="20"/>
              </w:rPr>
              <m:t>D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γ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sSub>
          <m:e>
            <m:r>
              <w:rPr>
                <w:rFonts w:ascii="Cambria Math" w:hAnsi="Cambria Math"/>
                <w:sz w:val="20"/>
                <w:szCs w:val="20"/>
              </w:rPr>
              <m:t>e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−</m:t>
        </m:r>
        <m:sSub>
          <m:e>
            <m:r>
              <w:rPr>
                <w:rFonts w:ascii="Cambria Math" w:hAnsi="Cambria Math"/>
                <w:sz w:val="20"/>
                <w:szCs w:val="20"/>
              </w:rPr>
              <m:t>e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−</m:t>
            </m:r>
            <m:r>
              <w:rPr>
                <w:rFonts w:ascii="Cambria Math" w:hAnsi="Cambria Math"/>
                <w:sz w:val="20"/>
                <w:szCs w:val="20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+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r>
          <w:rPr>
            <w:rFonts w:ascii="Cambria Math" w:hAnsi="Cambria Math"/>
            <w:sz w:val="20"/>
            <w:szCs w:val="20"/>
          </w:rPr>
          <m:t>1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−</m:t>
        </m:r>
        <m:r>
          <w:rPr>
            <w:rFonts w:ascii="Cambria Math" w:hAnsi="Cambria Math"/>
            <w:sz w:val="20"/>
            <w:szCs w:val="20"/>
          </w:rPr>
          <m:t>γ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  <m:sSub>
          <m:e>
            <m:r>
              <w:rPr>
                <w:rFonts w:ascii="Cambria Math" w:hAnsi="Cambria Math"/>
                <w:sz w:val="20"/>
                <w:szCs w:val="20"/>
              </w:rPr>
              <m:t>D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−</m:t>
            </m:r>
            <m:r>
              <w:rPr>
                <w:rFonts w:ascii="Cambria Math" w:hAnsi="Cambria Math"/>
                <w:sz w:val="20"/>
                <w:szCs w:val="20"/>
              </w:rPr>
              <m:t>1</m:t>
            </m:r>
          </m:sub>
        </m:sSub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[25]. An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inverted logistic maps effort to the complexity budget,</w:t>
      </w:r>
    </w:p>
    <w:p>
      <w:pPr>
        <w:pStyle w:val="BodyText"/>
        <w:spacing w:before="60" w:after="60" w:line="240" w:lineRule="auto"/>
        <w:ind w:firstLine="0"/>
        <w:jc w:val="center"/>
      </w:pPr>
      <m:oMathPara>
        <m:oMathParaPr>
          <m:jc m:val="center"/>
        </m:oMathParaPr>
        <m:oMath>
          <m:sSubSup>
            <m:e>
              <m:r>
                <w:rPr>
                  <w:rFonts w:ascii="Cambria Math" w:hAnsi="Cambria Math"/>
                  <w:sz w:val="20"/>
                  <w:szCs w:val="20"/>
                </w:rPr>
                <m:t>M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I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*</m:t>
              </m:r>
            </m:sup>
          </m:sSubSup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=</m:t>
          </m:r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(</m:t>
          </m:r>
          <m:r>
            <w:rPr>
              <w:rFonts w:ascii="Cambria Math" w:hAnsi="Cambria Math"/>
              <w:sz w:val="20"/>
              <w:szCs w:val="20"/>
            </w:rPr>
            <m:t>1</m:t>
          </m:r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+</m:t>
          </m:r>
          <m:sSup>
            <m:e>
              <m:r>
                <w:rPr>
                  <w:rFonts w:ascii="Cambria Math" w:hAnsi="Cambria Math"/>
                  <w:sz w:val="20"/>
                  <w:szCs w:val="20"/>
                </w:rPr>
                <m:t>e</m:t>
              </m:r>
            </m:e>
            <m:sup>
              <m:r>
                <w:rPr>
                  <w:rFonts w:ascii="Cambria Math" w:hAnsi="Cambria Math"/>
                  <w:sz w:val="20"/>
                  <w:szCs w:val="20"/>
                </w:rPr>
                <m:t>k</m:t>
              </m:r>
              <m:sSub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n</m:t>
                  </m:r>
                </m:sub>
              </m:sSub>
            </m:sup>
          </m:sSup>
          <m:sSup>
            <m:e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)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−</m:t>
              </m:r>
              <m:r>
                <w:rPr>
                  <w:rFonts w:ascii="Cambria Math" w:hAnsi="Cambria Math"/>
                  <w:sz w:val="20"/>
                  <w:szCs w:val="20"/>
                </w:rPr>
                <m:t>1</m:t>
              </m:r>
            </m:sup>
          </m:sSup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,</m:t>
          </m:r>
          <m:r>
            <w:rPr>
              <w:rFonts w:ascii="Cambria Math" w:hAnsi="Cambria Math"/>
              <w:sz w:val="20"/>
              <w:szCs w:val="20"/>
            </w:rPr>
            <m:t>  </m:t>
          </m:r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(</m:t>
          </m:r>
          <m:r>
            <w:rPr>
              <w:rFonts w:ascii="Cambria Math" w:hAnsi="Cambria Math"/>
              <w:sz w:val="20"/>
              <w:szCs w:val="20"/>
            </w:rPr>
            <m:t>6</m:t>
          </m:r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)</m:t>
          </m:r>
        </m:oMath>
      </m:oMathPara>
    </w:p>
    <w:p>
      <w:pPr>
        <w:pStyle w:val="FirstParagraph"/>
      </w:pPr>
      <w:r>
        <w:rPr>
          <w:rFonts w:ascii="Times New Roman" w:hAnsi="Times New Roman" w:cs="Times New Roman" w:eastAsia="Times New Roman"/>
          <w:color w:val="000000"/>
        </w:rPr>
        <w:t xml:space="preserve">which is quantized into four levels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w:rPr>
                <w:rFonts w:ascii="Cambria Math" w:hAnsi="Cambria Math"/>
                <w:sz w:val="20"/>
                <w:szCs w:val="20"/>
              </w:rPr>
              <m:t>ℓ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min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r>
          <w:rPr>
            <w:rFonts w:ascii="Cambria Math" w:hAnsi="Cambria Math"/>
            <w:sz w:val="20"/>
            <w:szCs w:val="20"/>
          </w:rPr>
          <m:t>4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,</m:t>
        </m:r>
        <m:r>
          <w:rPr>
            <w:rFonts w:ascii="Cambria Math" w:hAnsi="Cambria Math"/>
            <w:sz w:val="20"/>
            <w:szCs w:val="20"/>
          </w:rPr>
          <m:t>1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+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⌊</m:t>
        </m:r>
        <m:r>
          <w:rPr>
            <w:rFonts w:ascii="Cambria Math" w:hAnsi="Cambria Math"/>
            <w:sz w:val="20"/>
            <w:szCs w:val="20"/>
          </w:rPr>
          <m:t>4</m:t>
        </m:r>
        <m:sSubSup>
          <m:e>
            <m:r>
              <w:rPr>
                <w:rFonts w:ascii="Cambria Math" w:hAnsi="Cambria Math"/>
                <w:sz w:val="20"/>
                <w:szCs w:val="20"/>
              </w:rPr>
              <m:t>M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I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*</m:t>
            </m:r>
          </m:sup>
        </m:sSubSup>
        <m:r>
          <m:rPr>
            <m:sty m:val="p"/>
          </m:rPr>
          <w:rPr>
            <w:rFonts w:ascii="Cambria Math" w:hAnsi="Cambria Math"/>
            <w:sz w:val="20"/>
            <w:szCs w:val="20"/>
          </w:rPr>
          <m:t>⌋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. A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hysteresis deadband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Δ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h</m:t>
            </m:r>
          </m:sub>
        </m:sSub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commits a new budget only when it differs from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the last committed budget by at least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Δ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h</m:t>
            </m:r>
          </m:sub>
        </m:sSub>
      </m:oMath>
      <w:r>
        <w:rPr>
          <w:rFonts w:ascii="Times New Roman" w:hAnsi="Times New Roman" w:cs="Times New Roman" w:eastAsia="Times New Roman"/>
          <w:color w:val="000000"/>
        </w:rPr>
        <w:t xml:space="preserve">. The governor steps once per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response (unit sample time) from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sSub>
          <m:e>
            <m:r>
              <w:rPr>
                <w:rFonts w:ascii="Cambria Math" w:hAnsi="Cambria Math"/>
                <w:sz w:val="20"/>
                <w:szCs w:val="20"/>
              </w:rPr>
              <m:t>D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0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with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w:rPr>
                <w:rFonts w:ascii="Cambria Math" w:hAnsi="Cambria Math"/>
                <w:sz w:val="20"/>
                <w:szCs w:val="20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−</m:t>
            </m:r>
            <m:r>
              <w:rPr>
                <w:rFonts w:ascii="Cambria Math" w:hAnsi="Cambria Math"/>
                <w:sz w:val="20"/>
                <w:szCs w:val="20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sSub>
          <m:e>
            <m:r>
              <w:rPr>
                <w:rFonts w:ascii="Cambria Math" w:hAnsi="Cambria Math"/>
                <w:sz w:val="20"/>
                <w:szCs w:val="20"/>
              </w:rPr>
              <m:t>e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0</m:t>
            </m:r>
          </m:sub>
        </m:sSub>
      </m:oMath>
      <w:r>
        <w:rPr>
          <w:rFonts w:ascii="Times New Roman" w:hAnsi="Times New Roman" w:cs="Times New Roman" w:eastAsia="Times New Roman"/>
          <w:color w:val="000000"/>
        </w:rPr>
        <w:t xml:space="preserve">, so the first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step has no derivative kick, and its first budget is always committed.</w:t>
      </w:r>
    </w:p>
    <w:p>
      <w:pPr>
        <w:pStyle w:val="BodyText"/>
      </w:pPr>
      <w:r>
        <w:rPr>
          <w:rFonts w:ascii="Times New Roman" w:hAnsi="Times New Roman" w:cs="Times New Roman" w:eastAsia="Times New Roman"/>
          <w:i/>
          <w:iCs/>
          <w:color w:val="000000"/>
        </w:rPr>
        <w:t xml:space="preserve">Gain selection: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Classical tuning rules [30], [31]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assume an identified plant, but here the interface does not alter simulated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responses (Section IV). Instead,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w:rPr>
                <w:rFonts w:ascii="Cambria Math" w:hAnsi="Cambria Math"/>
                <w:sz w:val="20"/>
                <w:szCs w:val="20"/>
              </w:rPr>
              <m:t>K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p</m:t>
            </m:r>
          </m:sub>
        </m:sSub>
      </m:oMath>
      <w:r>
        <w:rPr>
          <w:rFonts w:ascii="Times New Roman" w:hAnsi="Times New Roman" w:cs="Times New Roman" w:eastAsia="Times New Roman"/>
          <w:color w:val="000000"/>
        </w:rPr>
        <w:t xml:space="preserve">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w:rPr>
                <w:rFonts w:ascii="Cambria Math" w:hAnsi="Cambria Math"/>
                <w:sz w:val="20"/>
                <w:szCs w:val="20"/>
              </w:rPr>
              <m:t>K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i</m:t>
            </m:r>
          </m:sub>
        </m:sSub>
      </m:oMath>
      <w:r>
        <w:rPr>
          <w:rFonts w:ascii="Times New Roman" w:hAnsi="Times New Roman" w:cs="Times New Roman" w:eastAsia="Times New Roman"/>
          <w:color w:val="000000"/>
        </w:rPr>
        <w:t xml:space="preserve">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w:rPr>
                <w:rFonts w:ascii="Cambria Math" w:hAnsi="Cambria Math"/>
                <w:sz w:val="20"/>
                <w:szCs w:val="20"/>
              </w:rPr>
              <m:t>K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d</m:t>
            </m:r>
          </m:sub>
        </m:sSub>
      </m:oMath>
      <w:r>
        <w:rPr>
          <w:rFonts w:ascii="Times New Roman" w:hAnsi="Times New Roman" w:cs="Times New Roman" w:eastAsia="Times New Roman"/>
          <w:color w:val="000000"/>
        </w:rPr>
        <w:t xml:space="preserve">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γ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max</m:t>
            </m:r>
          </m:sub>
        </m:sSub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and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Δ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h</m:t>
            </m:r>
          </m:sub>
        </m:sSub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were selected by minimizing the cost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0"/>
            <w:szCs w:val="20"/>
          </w:rPr>
          <m:t>I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T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A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E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+</m:t>
        </m:r>
        <m:r>
          <w:rPr>
            <w:rFonts w:ascii="Cambria Math" w:hAnsi="Cambria Math"/>
            <w:sz w:val="20"/>
            <w:szCs w:val="20"/>
          </w:rPr>
          <m:t>J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(Section IV) [32] on a separate 1,000-learner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tuning cohort; all reported results use a disjoint test cohort. A random search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of 200 uniform samples over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w:rPr>
                <w:rFonts w:ascii="Cambria Math" w:hAnsi="Cambria Math"/>
                <w:sz w:val="20"/>
                <w:szCs w:val="20"/>
              </w:rPr>
              <m:t>K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∈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[</m:t>
        </m:r>
        <m:r>
          <w:rPr>
            <w:rFonts w:ascii="Cambria Math" w:hAnsi="Cambria Math"/>
            <w:sz w:val="20"/>
            <w:szCs w:val="20"/>
          </w:rPr>
          <m:t>0.25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,</m:t>
        </m:r>
        <m:r>
          <w:rPr>
            <w:rFonts w:ascii="Cambria Math" w:hAnsi="Cambria Math"/>
            <w:sz w:val="20"/>
            <w:szCs w:val="20"/>
          </w:rPr>
          <m:t>2.5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]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w:rPr>
                <w:rFonts w:ascii="Cambria Math" w:hAnsi="Cambria Math"/>
                <w:sz w:val="20"/>
                <w:szCs w:val="20"/>
              </w:rPr>
              <m:t>K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∈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[</m:t>
        </m:r>
        <m:r>
          <w:rPr>
            <w:rFonts w:ascii="Cambria Math" w:hAnsi="Cambria Math"/>
            <w:sz w:val="20"/>
            <w:szCs w:val="20"/>
          </w:rPr>
          <m:t>0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,</m:t>
        </m:r>
        <m:r>
          <w:rPr>
            <w:rFonts w:ascii="Cambria Math" w:hAnsi="Cambria Math"/>
            <w:sz w:val="20"/>
            <w:szCs w:val="20"/>
          </w:rPr>
          <m:t>0.4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]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w:rPr>
                <w:rFonts w:ascii="Cambria Math" w:hAnsi="Cambria Math"/>
                <w:sz w:val="20"/>
                <w:szCs w:val="20"/>
              </w:rPr>
              <m:t>K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d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,</m:t>
        </m:r>
        <m:r>
          <w:rPr>
            <w:rFonts w:ascii="Cambria Math" w:hAnsi="Cambria Math"/>
            <w:sz w:val="20"/>
            <w:szCs w:val="20"/>
          </w:rPr>
          <m:t>γ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∈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[</m:t>
        </m:r>
        <m:r>
          <w:rPr>
            <w:rFonts w:ascii="Cambria Math" w:hAnsi="Cambria Math"/>
            <w:sz w:val="20"/>
            <w:szCs w:val="20"/>
          </w:rPr>
          <m:t>0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,</m:t>
        </m:r>
        <m:r>
          <w:rPr>
            <w:rFonts w:ascii="Cambria Math" w:hAnsi="Cambria Math"/>
            <w:sz w:val="20"/>
            <w:szCs w:val="20"/>
          </w:rPr>
          <m:t>1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]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(</w:t>
      </w:r>
      <m:oMath>
        <m:r>
          <w:rPr>
            <w:rFonts w:ascii="Cambria Math" w:hAnsi="Cambria Math"/>
            <w:sz w:val="20"/>
            <w:szCs w:val="20"/>
          </w:rPr>
          <m:t>γ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≥</m:t>
        </m:r>
        <m:r>
          <w:rPr>
            <w:rFonts w:ascii="Cambria Math" w:hAnsi="Cambria Math"/>
            <w:sz w:val="20"/>
            <w:szCs w:val="20"/>
          </w:rPr>
          <m:t>0.05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),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max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∈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[</m:t>
        </m:r>
        <m:r>
          <w:rPr>
            <w:rFonts w:ascii="Cambria Math" w:hAnsi="Cambria Math"/>
            <w:sz w:val="20"/>
            <w:szCs w:val="20"/>
          </w:rPr>
          <m:t>1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,</m:t>
        </m:r>
        <m:r>
          <w:rPr>
            <w:rFonts w:ascii="Cambria Math" w:hAnsi="Cambria Math"/>
            <w:sz w:val="20"/>
            <w:szCs w:val="20"/>
          </w:rPr>
          <m:t>6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]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Δ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h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∈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[</m:t>
        </m:r>
        <m:r>
          <w:rPr>
            <w:rFonts w:ascii="Cambria Math" w:hAnsi="Cambria Math"/>
            <w:sz w:val="20"/>
            <w:szCs w:val="20"/>
          </w:rPr>
          <m:t>0.02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,</m:t>
        </m:r>
        <m:r>
          <w:rPr>
            <w:rFonts w:ascii="Cambria Math" w:hAnsi="Cambria Math"/>
            <w:sz w:val="20"/>
            <w:szCs w:val="20"/>
          </w:rPr>
          <m:t>0.15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]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selected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w:rPr>
                <w:rFonts w:ascii="Cambria Math" w:hAnsi="Cambria Math"/>
                <w:sz w:val="20"/>
                <w:szCs w:val="20"/>
              </w:rPr>
              <m:t>K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0.865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w:rPr>
                <w:rFonts w:ascii="Cambria Math" w:hAnsi="Cambria Math"/>
                <w:sz w:val="20"/>
                <w:szCs w:val="20"/>
              </w:rPr>
              <m:t>K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0.377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w:rPr>
                <w:rFonts w:ascii="Cambria Math" w:hAnsi="Cambria Math"/>
                <w:sz w:val="20"/>
                <w:szCs w:val="20"/>
              </w:rPr>
              <m:t>K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d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0.672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γ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0.398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max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1.253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and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Δ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h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0.141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. The cost surface is flat: the selected point scores 0.104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on the tuning cohort against 0.110 for hand-set initial values, which rank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22nd of 201. The logistic slope is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k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ln</m:t>
        </m:r>
        <m:r>
          <w:rPr>
            <w:rFonts w:ascii="Cambria Math" w:hAnsi="Cambria Math"/>
            <w:sz w:val="20"/>
            <w:szCs w:val="20"/>
          </w:rPr>
          <m:t>19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/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sSub>
          <m:e>
            <m:r>
              <w:rPr>
                <w:rFonts w:ascii="Cambria Math" w:hAnsi="Cambria Math"/>
                <w:sz w:val="20"/>
                <w:szCs w:val="20"/>
              </w:rPr>
              <m:t>K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+</m:t>
        </m:r>
        <m:sSub>
          <m:e>
            <m:r>
              <w:rPr>
                <w:rFonts w:ascii="Cambria Math" w:hAnsi="Cambria Math"/>
                <w:sz w:val="20"/>
                <w:szCs w:val="20"/>
              </w:rPr>
              <m:t>K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i</m:t>
            </m:r>
          </m:sub>
        </m:sSub>
        <m:sSub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max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2.202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, so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that the effort range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0"/>
            <w:szCs w:val="20"/>
          </w:rPr>
          <m:t>±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sSub>
          <m:e>
            <m:r>
              <w:rPr>
                <w:rFonts w:ascii="Cambria Math" w:hAnsi="Cambria Math"/>
                <w:sz w:val="20"/>
                <w:szCs w:val="20"/>
              </w:rPr>
              <m:t>K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+</m:t>
        </m:r>
        <m:sSub>
          <m:e>
            <m:r>
              <w:rPr>
                <w:rFonts w:ascii="Cambria Math" w:hAnsi="Cambria Math"/>
                <w:sz w:val="20"/>
                <w:szCs w:val="20"/>
              </w:rPr>
              <m:t>K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i</m:t>
            </m:r>
          </m:sub>
        </m:sSub>
        <m:sSub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max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maps to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0"/>
            <w:szCs w:val="20"/>
          </w:rPr>
          <m:t>[</m:t>
        </m:r>
        <m:r>
          <w:rPr>
            <w:rFonts w:ascii="Cambria Math" w:hAnsi="Cambria Math"/>
            <w:sz w:val="20"/>
            <w:szCs w:val="20"/>
          </w:rPr>
          <m:t>0.05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,</m:t>
        </m:r>
        <m:r>
          <w:rPr>
            <w:rFonts w:ascii="Cambria Math" w:hAnsi="Cambria Math"/>
            <w:sz w:val="20"/>
            <w:szCs w:val="20"/>
          </w:rPr>
          <m:t>0.95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]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.</w:t>
      </w:r>
    </w:p>
    <w:bookmarkEnd w:id="15"/>
    <w:bookmarkStart w:id="16" w:name="c.-fast-policy"/>
    <w:p>
      <w:pPr>
        <w:pStyle w:val="Heading2"/>
      </w:pPr>
      <w:r>
        <w:rPr>
          <w:rFonts w:ascii="Times New Roman" w:hAnsi="Times New Roman" w:cs="Times New Roman" w:eastAsia="Times New Roman"/>
          <w:b w:val="0"/>
          <w:i/>
          <w:smallCaps w:val="0"/>
          <w:color w:val="000000"/>
          <w:sz w:val="20"/>
        </w:rPr>
        <w:t xml:space="preserve">C. Fast policy</w:t>
      </w:r>
    </w:p>
    <w:p>
      <w:pPr>
        <w:pStyle w:val="FirstParagraph"/>
      </w:pPr>
      <w:r>
        <w:rPr>
          <w:rFonts w:ascii="Times New Roman" w:hAnsi="Times New Roman" w:cs="Times New Roman" w:eastAsia="Times New Roman"/>
          <w:color w:val="000000"/>
        </w:rPr>
        <w:t xml:space="preserve">A fast policy maps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r>
          <w:rPr>
            <w:rFonts w:ascii="Cambria Math" w:hAnsi="Cambria Math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sSub>
          <m:e>
            <m:r>
              <w:rPr>
                <w:rFonts w:ascii="Cambria Math" w:hAnsi="Cambria Math"/>
                <w:sz w:val="20"/>
                <w:szCs w:val="20"/>
              </w:rPr>
              <m:t>L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,</m:t>
        </m:r>
        <m:sSubSup>
          <m:e>
            <m:r>
              <w:rPr>
                <w:rFonts w:ascii="Cambria Math" w:hAnsi="Cambria Math"/>
                <w:sz w:val="20"/>
                <w:szCs w:val="20"/>
              </w:rPr>
              <m:t>M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I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*</m:t>
            </m:r>
          </m:sup>
        </m:sSubSup>
        <m:r>
          <m:rPr>
            <m:sty m:val="p"/>
          </m:rPr>
          <w:rPr>
            <w:rFonts w:ascii="Cambria Math" w:hAnsi="Cambria Math"/>
            <w:sz w:val="20"/>
            <w:szCs w:val="20"/>
          </w:rPr>
          <m:t>,</m:t>
        </m:r>
        <m:sSub>
          <m:e>
            <m:r>
              <w:rPr>
                <w:rFonts w:ascii="Cambria Math" w:hAnsi="Cambria Math"/>
                <w:sz w:val="20"/>
                <w:szCs w:val="20"/>
              </w:rPr>
              <m:t>ℓ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,</m:t>
        </m:r>
        <m:r>
          <m:rPr>
            <m:nor/>
          </m:rPr>
          <w:rPr>
            <w:rFonts w:ascii="Cambria Math" w:hAnsi="Cambria Math"/>
            <w:sz w:val="20"/>
            <w:szCs w:val="20"/>
          </w:rPr>
          <m:t>recent errors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to discrete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affordances: scaffolding mode (worked example, guided scaffold, open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symbolic), whether to show the balance-scale manipulative, whether hints are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enabled, and an instructional density limit. The policy is deterministic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and rule-based in every reported result. An open-weight decision model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[33], evaluated zero-shot, took 1.32 s per decision (median, CPU)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and chose a worked example in all 200 test states, so it is not used.</w:t>
      </w:r>
    </w:p>
    <w:bookmarkEnd w:id="16"/>
    <w:bookmarkStart w:id="23" w:name="Xf5353b6fc128bbb19b355fc38e78750b7f8773e"/>
    <w:p>
      <w:pPr>
        <w:pStyle w:val="Heading2"/>
      </w:pPr>
      <w:r>
        <w:rPr>
          <w:rFonts w:ascii="Times New Roman" w:hAnsi="Times New Roman" w:cs="Times New Roman" w:eastAsia="Times New Roman"/>
          <w:b w:val="0"/>
          <w:i/>
          <w:smallCaps w:val="0"/>
          <w:color w:val="000000"/>
          <w:sz w:val="20"/>
        </w:rPr>
        <w:t xml:space="preserve">D. Layout planner, generative plant and validation gate</w:t>
      </w:r>
    </w:p>
    <w:p>
      <w:pPr>
        <w:pStyle w:val="FirstParagraph"/>
      </w:pPr>
      <w:r>
        <w:rPr>
          <w:rFonts w:ascii="Times New Roman" w:hAnsi="Times New Roman" w:cs="Times New Roman" w:eastAsia="Times New Roman"/>
          <w:color w:val="000000"/>
        </w:rPr>
        <w:t xml:space="preserve">The planner turns the budget into a layout. The policy fixes the abstraction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level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α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; the planner then enumerates every admissible layout with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1–8 interactive elements, 0–3 hint tiers and nesting depth 1–4 (at most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102 valid layouts) and picks the one whose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w:rPr>
                <w:rFonts w:ascii="Cambria Math" w:hAnsi="Cambria Math"/>
                <w:sz w:val="20"/>
                <w:szCs w:val="20"/>
              </w:rPr>
              <m:t>M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I</m:t>
            </m:r>
          </m:sub>
        </m:sSub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is closest to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Sup>
          <m:e>
            <m:r>
              <w:rPr>
                <w:rFonts w:ascii="Cambria Math" w:hAnsi="Cambria Math"/>
                <w:sz w:val="20"/>
                <w:szCs w:val="20"/>
              </w:rPr>
              <m:t>M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I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*</m:t>
            </m:r>
          </m:sup>
        </m:sSubSup>
      </m:oMath>
      <w:r>
        <w:rPr>
          <w:rFonts w:ascii="Times New Roman" w:hAnsi="Times New Roman" w:cs="Times New Roman" w:eastAsia="Times New Roman"/>
          <w:color w:val="000000"/>
        </w:rPr>
        <w:t xml:space="preserve">. It keeps a requested worked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example when that stays within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ε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; ties go to fewer elements,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then shallower nesting. The plant, Gemini 3.7 Flash served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through Vertex AI, receives this layout with the policy decision and the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equation and writes the content as a JSON component tree. In the original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design (</w:t>
      </w:r>
      <w:r>
        <w:rPr>
          <w:rFonts w:ascii="Times New Roman" w:hAnsi="Times New Roman" w:cs="Times New Roman" w:eastAsia="Times New Roman"/>
          <w:i/>
          <w:iCs/>
          <w:color w:val="000000"/>
        </w:rPr>
        <w:t xml:space="preserve">free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mode) the plant also chose the layout; we measure both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(Table III). Nodes are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drawn from a closed set of six components (balance scale, worked step,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operation pad, symbolic workspace, hint accordion, verification plane). The client renders these components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directly and never executes generated code. Each emission is parsed against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the schema; if parsing fails, or if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0"/>
            <w:szCs w:val="20"/>
          </w:rPr>
          <m:t>|</m:t>
        </m:r>
        <m:sSub>
          <m:e>
            <m:r>
              <w:rPr>
                <w:rFonts w:ascii="Cambria Math" w:hAnsi="Cambria Math"/>
                <w:sz w:val="20"/>
                <w:szCs w:val="20"/>
              </w:rPr>
              <m:t>M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−</m:t>
        </m:r>
        <m:sSubSup>
          <m:e>
            <m:r>
              <w:rPr>
                <w:rFonts w:ascii="Cambria Math" w:hAnsi="Cambria Math"/>
                <w:sz w:val="20"/>
                <w:szCs w:val="20"/>
              </w:rPr>
              <m:t>M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I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*</m:t>
            </m:r>
          </m:sup>
        </m:sSubSup>
        <m:r>
          <m:rPr>
            <m:sty m:val="p"/>
          </m:rPr>
          <w:rPr>
            <w:rFonts w:ascii="Cambria Math" w:hAnsi="Cambria Math"/>
            <w:sz w:val="20"/>
            <w:szCs w:val="20"/>
          </w:rPr>
          <m:t>|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&gt;</m:t>
        </m:r>
        <m:r>
          <w:rPr>
            <w:rFonts w:ascii="Cambria Math" w:hAnsi="Cambria Math"/>
            <w:sz w:val="20"/>
            <w:szCs w:val="20"/>
          </w:rPr>
          <m:t>ε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with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ε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0.05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, a precompiled fallback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tree is rendered instead: the planner’s layout for the nearest of 41 budgets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1/40 apart, within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ε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for every budget and policy decision (worst 0.049). A web client renders the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trees for inspection (Fig. 2); the benchmark does not use it.</w:t>
      </w:r>
    </w:p>
    <w:tbl>
      <w:tblPr>
        <w:tblpPr w:leftFromText="0" w:rightFromText="0" w:topFromText="0" w:bottomFromText="200" w:vertAnchor="margin" w:horzAnchor="margin" w:tblpXSpec="center" w:tblpYSpec="top"/>
        <w:tblOverlap w:val="never"/>
        <w:tblW w:w="10320" w:type="dxa"/>
        <w:jc w:val="center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320"/>
      </w:tblGrid>
      <w:tr>
        <w:tc>
          <w:tcPr>
            <w:tcW w:w="10320" w:type="dxa"/>
          </w:tcPr>
          <w:p>
            <w:pPr>
              <w:pStyle w:val="BodyText"/>
              <w:keepNext/>
              <w:spacing w:before="120"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</w:rPr>
              <w:drawing>
                <wp:inline>
                  <wp:extent cx="2957651" cy="2103120"/>
                  <wp:effectExtent b="0" l="0" r="0" t="0"/>
                  <wp:docPr descr="image" title="" id="18" name="Picture"/>
                  <a:graphic>
                    <a:graphicData uri="http://schemas.openxmlformats.org/drawingml/2006/picture">
                      <pic:pic>
                        <pic:nvPicPr>
                          <pic:cNvPr descr="fig/screen_l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7651" cy="21031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  </w:t>
            </w:r>
            <w:r>
              <w:rPr>
                <w:rFonts w:ascii="Times New Roman" w:hAnsi="Times New Roman" w:cs="Times New Roman" w:eastAsia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</w:rPr>
              <w:drawing>
                <wp:inline>
                  <wp:extent cx="2256238" cy="2103120"/>
                  <wp:effectExtent b="0" l="0" r="0" t="0"/>
                  <wp:docPr descr="image" title="" id="21" name="Picture"/>
                  <a:graphic>
                    <a:graphicData uri="http://schemas.openxmlformats.org/drawingml/2006/picture">
                      <pic:pic>
                        <pic:nvPicPr>
                          <pic:cNvPr descr="fig/screen_l4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6238" cy="21031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  <w:spacing w:before="60" w:after="160" w:line="190" w:lineRule="exact"/>
              <w:ind w:firstLine="0"/>
              <w:jc w:val="both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>Fig. 2. Screens written by Gemini 3.7 Flash in guided mode; both passed the</w:t>
            </w: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gate. Left: level 1, balance scale with a worked step (</w:t>
            </w:r>
            <m:oMath>
              <m:sSubSup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16"/>
                      <w:szCs w:val="16"/>
                    </w:rPr>
                    <m:t>I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16"/>
                      <w:szCs w:val="16"/>
                    </w:rPr>
                    <m:t>*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sz w:val="16"/>
                  <w:szCs w:val="16"/>
                </w:rPr>
                <m:t>=</m:t>
              </m:r>
              <m:r>
                <w:rPr>
                  <w:rFonts w:ascii="Cambria Math" w:hAnsi="Cambria Math"/>
                  <w:sz w:val="16"/>
                  <w:szCs w:val="16"/>
                </w:rPr>
                <m:t>0.091</m:t>
              </m:r>
            </m:oMath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,</w:t>
            </w: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 </w:t>
            </w:r>
            <m:oMath>
              <m:sSub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16"/>
                      <w:szCs w:val="16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16"/>
                  <w:szCs w:val="16"/>
                </w:rPr>
                <m:t>=</m:t>
              </m:r>
              <m:r>
                <w:rPr>
                  <w:rFonts w:ascii="Cambria Math" w:hAnsi="Cambria Math"/>
                  <w:sz w:val="16"/>
                  <w:szCs w:val="16"/>
                </w:rPr>
                <m:t>0.111</m:t>
              </m:r>
            </m:oMath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). Right: level 4, graph verification (</w:t>
            </w:r>
            <m:oMath>
              <m:sSubSup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16"/>
                      <w:szCs w:val="16"/>
                    </w:rPr>
                    <m:t>I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16"/>
                      <w:szCs w:val="16"/>
                    </w:rPr>
                    <m:t>*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sz w:val="16"/>
                  <w:szCs w:val="16"/>
                </w:rPr>
                <m:t>=</m:t>
              </m:r>
              <m:r>
                <w:rPr>
                  <w:rFonts w:ascii="Cambria Math" w:hAnsi="Cambria Math"/>
                  <w:sz w:val="16"/>
                  <w:szCs w:val="16"/>
                </w:rPr>
                <m:t>0.903</m:t>
              </m:r>
            </m:oMath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,</w:t>
            </w: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 </w:t>
            </w:r>
            <m:oMath>
              <m:sSub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16"/>
                      <w:szCs w:val="16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16"/>
                  <w:szCs w:val="16"/>
                </w:rPr>
                <m:t>=</m:t>
              </m:r>
              <m:r>
                <w:rPr>
                  <w:rFonts w:ascii="Cambria Math" w:hAnsi="Cambria Math"/>
                  <w:sz w:val="16"/>
                  <w:szCs w:val="16"/>
                </w:rPr>
                <m:t>0.905</m:t>
              </m:r>
            </m:oMath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).</w:t>
            </w:r>
          </w:p>
        </w:tc>
      </w:tr>
    </w:tbl>
    <w:bookmarkEnd w:id="23"/>
    <w:bookmarkStart w:id="24" w:name="e.-structural-complexity-metric"/>
    <w:p>
      <w:pPr>
        <w:pStyle w:val="Heading2"/>
      </w:pPr>
      <w:r>
        <w:rPr>
          <w:rFonts w:ascii="Times New Roman" w:hAnsi="Times New Roman" w:cs="Times New Roman" w:eastAsia="Times New Roman"/>
          <w:b w:val="0"/>
          <w:i/>
          <w:smallCaps w:val="0"/>
          <w:color w:val="000000"/>
          <w:sz w:val="20"/>
        </w:rPr>
        <w:t xml:space="preserve">E. Structural complexity metric</w:t>
      </w:r>
    </w:p>
    <w:p>
      <w:pPr>
        <w:pStyle w:val="FirstParagraph"/>
      </w:pPr>
      <w:r>
        <w:rPr>
          <w:rFonts w:ascii="Times New Roman" w:hAnsi="Times New Roman" w:cs="Times New Roman" w:eastAsia="Times New Roman"/>
          <w:color w:val="000000"/>
        </w:rPr>
        <w:t xml:space="preserve">For a tree with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ρ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interactive elements, abstraction level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α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and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nesting depth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δ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,</w:t>
      </w:r>
    </w:p>
    <w:p>
      <w:pPr>
        <w:pStyle w:val="BodyText"/>
        <w:spacing w:before="60" w:after="60" w:line="240" w:lineRule="auto"/>
        <w:ind w:firstLine="0"/>
        <w:jc w:val="center"/>
      </w:pPr>
      <m:oMathPara>
        <m:oMathParaPr>
          <m:jc m:val="center"/>
        </m:oMathParaPr>
        <m:oMath>
          <m:sSub>
            <m:e>
              <m:r>
                <w:rPr>
                  <w:rFonts w:ascii="Cambria Math" w:hAnsi="Cambria Math"/>
                  <w:sz w:val="20"/>
                  <w:szCs w:val="20"/>
                </w:rPr>
                <m:t>M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=</m:t>
          </m:r>
          <m:sSub>
            <m:e>
              <m:r>
                <w:rPr>
                  <w:rFonts w:ascii="Cambria Math" w:hAnsi="Cambria Math"/>
                  <w:sz w:val="20"/>
                  <w:szCs w:val="20"/>
                </w:rPr>
                <m:t>w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1</m:t>
              </m:r>
            </m:sub>
          </m:sSub>
          <m:f>
            <m:fPr>
              <m:type m:val="bar"/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ρ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−</m:t>
              </m:r>
              <m:r>
                <w:rPr>
                  <w:rFonts w:ascii="Cambria Math" w:hAnsi="Cambria Math"/>
                  <w:sz w:val="20"/>
                  <w:szCs w:val="20"/>
                </w:rPr>
                <m:t>1</m:t>
              </m:r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7</m:t>
              </m:r>
            </m:den>
          </m:f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+</m:t>
          </m:r>
          <m:sSub>
            <m:e>
              <m:r>
                <w:rPr>
                  <w:rFonts w:ascii="Cambria Math" w:hAnsi="Cambria Math"/>
                  <w:sz w:val="20"/>
                  <w:szCs w:val="20"/>
                </w:rPr>
                <m:t>w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2</m:t>
              </m:r>
            </m:sub>
          </m:sSub>
          <m:f>
            <m:fPr>
              <m:type m:val="bar"/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α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−</m:t>
              </m:r>
              <m:r>
                <w:rPr>
                  <w:rFonts w:ascii="Cambria Math" w:hAnsi="Cambria Math"/>
                  <w:sz w:val="20"/>
                  <w:szCs w:val="20"/>
                </w:rPr>
                <m:t>1</m:t>
              </m:r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+</m:t>
          </m:r>
          <m:sSub>
            <m:e>
              <m:r>
                <w:rPr>
                  <w:rFonts w:ascii="Cambria Math" w:hAnsi="Cambria Math"/>
                  <w:sz w:val="20"/>
                  <w:szCs w:val="20"/>
                </w:rPr>
                <m:t>w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3</m:t>
              </m:r>
            </m:sub>
          </m:sSub>
          <m:f>
            <m:fPr>
              <m:type m:val="bar"/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δ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−</m:t>
              </m:r>
              <m:r>
                <w:rPr>
                  <w:rFonts w:ascii="Cambria Math" w:hAnsi="Cambria Math"/>
                  <w:sz w:val="20"/>
                  <w:szCs w:val="20"/>
                </w:rPr>
                <m:t>1</m:t>
              </m:r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,</m:t>
          </m:r>
          <m:r>
            <w:rPr>
              <w:rFonts w:ascii="Cambria Math" w:hAnsi="Cambria Math"/>
              <w:sz w:val="20"/>
              <w:szCs w:val="20"/>
            </w:rPr>
            <m:t>  </m:t>
          </m:r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(</m:t>
          </m:r>
          <m:r>
            <w:rPr>
              <w:rFonts w:ascii="Cambria Math" w:hAnsi="Cambria Math"/>
              <w:sz w:val="20"/>
              <w:szCs w:val="20"/>
            </w:rPr>
            <m:t>7</m:t>
          </m:r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)</m:t>
          </m:r>
        </m:oMath>
      </m:oMathPara>
    </w:p>
    <w:p>
      <w:pPr>
        <w:pStyle w:val="FirstParagraph"/>
      </w:pPr>
      <w:r>
        <w:rPr>
          <w:rFonts w:ascii="Times New Roman" w:hAnsi="Times New Roman" w:cs="Times New Roman" w:eastAsia="Times New Roman"/>
          <w:color w:val="000000"/>
        </w:rPr>
        <w:t xml:space="preserve">with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ρ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∈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[</m:t>
        </m:r>
        <m:r>
          <w:rPr>
            <w:rFonts w:ascii="Cambria Math" w:hAnsi="Cambria Math"/>
            <w:sz w:val="20"/>
            <w:szCs w:val="20"/>
          </w:rPr>
          <m:t>1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,</m:t>
        </m:r>
        <m:r>
          <w:rPr>
            <w:rFonts w:ascii="Cambria Math" w:hAnsi="Cambria Math"/>
            <w:sz w:val="20"/>
            <w:szCs w:val="20"/>
          </w:rPr>
          <m:t>8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]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and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α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,</m:t>
        </m:r>
        <m:r>
          <w:rPr>
            <w:rFonts w:ascii="Cambria Math" w:hAnsi="Cambria Math"/>
            <w:sz w:val="20"/>
            <w:szCs w:val="20"/>
          </w:rPr>
          <m:t>δ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∈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[</m:t>
        </m:r>
        <m:r>
          <w:rPr>
            <w:rFonts w:ascii="Cambria Math" w:hAnsi="Cambria Math"/>
            <w:sz w:val="20"/>
            <w:szCs w:val="20"/>
          </w:rPr>
          <m:t>1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,</m:t>
        </m:r>
        <m:r>
          <w:rPr>
            <w:rFonts w:ascii="Cambria Math" w:hAnsi="Cambria Math"/>
            <w:sz w:val="20"/>
            <w:szCs w:val="20"/>
          </w:rPr>
          <m:t>4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]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Each feature has a basis in prior work: element interactivity raises load [19]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and display density is a classic complexity measure [34];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the abstraction ladder from balance scale to operation pad to symbolic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workspace follows concreteness fading [21]; and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deeper structures cost users more [35].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Placing the Cartesian plane at the top of the ladder is our design choice.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With no data to fit weights, we use equal weights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w:rPr>
                <w:rFonts w:ascii="Cambria Math" w:hAnsi="Cambria Math"/>
                <w:sz w:val="20"/>
                <w:szCs w:val="20"/>
              </w:rPr>
              <m:t>w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1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/</m:t>
        </m:r>
        <m:r>
          <w:rPr>
            <w:rFonts w:ascii="Cambria Math" w:hAnsi="Cambria Math"/>
            <w:sz w:val="20"/>
            <w:szCs w:val="20"/>
          </w:rPr>
          <m:t>3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, which are robust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in that setting [36], and test sensitivity to the weights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(Section V).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w:rPr>
                <w:rFonts w:ascii="Cambria Math" w:hAnsi="Cambria Math"/>
                <w:sz w:val="20"/>
                <w:szCs w:val="20"/>
              </w:rPr>
              <m:t>M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I</m:t>
            </m:r>
          </m:sub>
        </m:sSub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is a structural proxy; it has not been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validated against measured cognitive load.</w:t>
      </w:r>
    </w:p>
    <w:bookmarkEnd w:id="24"/>
    <w:bookmarkEnd w:id="25"/>
    <w:bookmarkStart w:id="27" w:name="iv.-method"/>
    <w:p>
      <w:pPr>
        <w:pStyle w:val="Heading1"/>
      </w:pPr>
      <w:r>
        <w:rPr>
          <w:rFonts w:ascii="Times New Roman" w:hAnsi="Times New Roman" w:cs="Times New Roman" w:eastAsia="Times New Roman"/>
          <w:b w:val="0"/>
          <w:i w:val="0"/>
          <w:smallCaps/>
          <w:color w:val="000000"/>
          <w:sz w:val="20"/>
        </w:rPr>
        <w:t xml:space="preserve">IV. Method</w:t>
      </w:r>
    </w:p>
    <w:bookmarkStart w:id="26" w:name="a.-synthetic-learners"/>
    <w:p>
      <w:pPr>
        <w:pStyle w:val="Heading2"/>
      </w:pPr>
      <w:r>
        <w:rPr>
          <w:rFonts w:ascii="Times New Roman" w:hAnsi="Times New Roman" w:cs="Times New Roman" w:eastAsia="Times New Roman"/>
          <w:b w:val="0"/>
          <w:i/>
          <w:smallCaps w:val="0"/>
          <w:color w:val="000000"/>
          <w:sz w:val="20"/>
        </w:rPr>
        <w:t xml:space="preserve">A. Synthetic learners</w:t>
      </w:r>
    </w:p>
    <w:p>
      <w:pPr>
        <w:pStyle w:val="FirstParagraph"/>
      </w:pPr>
      <w:r>
        <w:rPr>
          <w:rFonts w:ascii="Times New Roman" w:hAnsi="Times New Roman" w:cs="Times New Roman" w:eastAsia="Times New Roman"/>
          <w:color w:val="000000"/>
        </w:rPr>
        <w:t xml:space="preserve">Simulated learners are an established way to test instructional designs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before human studies [37], [38], and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BKT-generated data have been used to evaluate mastery assessment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[39]. Each learner is a two-state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HMM whose parameters are drawn uniformly from archetype ranges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(Table II). Novice and guesser ranges exceed the bounds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of [1] by design but respect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[14]. The cohort has 1,000 learners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(300/400/300) with 40 items each. Responses are sampled once per learner and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replayed unchanged through every arm (paired design). The interface therefore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does not influence the simulated responses: the benchmark measures controller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behavior, not learning.</w:t>
      </w:r>
    </w:p>
    <w:p>
      <w:pPr>
        <w:pStyle w:val="BodyText"/>
        <w:keepNext/>
        <w:spacing w:before="120" w:after="0" w:line="190" w:lineRule="exact"/>
        <w:ind w:firstLine="0"/>
        <w:jc w:val="center"/>
      </w:pPr>
      <w:r>
        <w:rPr>
          <w:rFonts w:ascii="Times New Roman" w:hAnsi="Times New Roman" w:cs="Times New Roman" w:eastAsia="Times New Roman"/>
          <w:smallCaps w:val="0"/>
          <w:color w:val="000000"/>
          <w:sz w:val="16"/>
        </w:rPr>
        <w:t>TABLE II</w:t>
      </w:r>
    </w:p>
    <w:p>
      <w:pPr>
        <w:pStyle w:val="BodyText"/>
        <w:keepNext/>
        <w:spacing w:before="0" w:after="60" w:line="190" w:lineRule="exact"/>
        <w:ind w:firstLine="0"/>
        <w:jc w:val="center"/>
      </w:pPr>
      <w:r>
        <w:rPr>
          <w:rFonts w:ascii="Times New Roman" w:hAnsi="Times New Roman" w:cs="Times New Roman" w:eastAsia="Times New Roman"/>
          <w:smallCaps/>
          <w:color w:val="000000"/>
          <w:sz w:val="16"/>
        </w:rPr>
        <w:t>Learner archetypes (uniform parameter ranges).</w:t>
      </w:r>
    </w:p>
    <w:tbl>
      <w:tblPr>
        <w:tblStyle w:val="Table"/>
        <w:tblW w:w="5037" w:type="dxa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866"/>
        <w:gridCol w:w="933"/>
        <w:gridCol w:w="746"/>
        <w:gridCol w:w="746"/>
        <w:gridCol w:w="746"/>
      </w:tblGrid>
      <w:tr>
        <w:trPr>
          <w:tblHeader w:val="on"/>
          <w:cantSplit/>
        </w:trPr>
        <w:tc>
          <w:tcPr>
            <w:tcW w:w="1866" w:type="dxa"/>
            <w:tcBorders>
              <w:bottom w:val="single" w:sz="4" w:space="0" w:color="000000"/>
            </w:tcBorders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Archetype</w:t>
            </w:r>
          </w:p>
        </w:tc>
        <w:tc>
          <w:tcPr>
            <w:tcW w:w="933" w:type="dxa"/>
            <w:tcBorders>
              <w:bottom w:val="single" w:sz="4" w:space="0" w:color="000000"/>
            </w:tcBorders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(</m:t>
              </m:r>
              <m:sSub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)</m:t>
              </m:r>
            </m:oMath>
          </w:p>
        </w:tc>
        <w:tc>
          <w:tcPr>
            <w:tcW w:w="746" w:type="dxa"/>
            <w:tcBorders>
              <w:bottom w:val="single" w:sz="4" w:space="0" w:color="000000"/>
            </w:tcBorders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(</m:t>
              </m:r>
              <m:r>
                <w:rPr>
                  <w:rFonts w:ascii="Cambria Math" w:hAnsi="Cambria Math"/>
                  <w:sz w:val="20"/>
                  <w:szCs w:val="20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)</m:t>
              </m:r>
            </m:oMath>
          </w:p>
        </w:tc>
        <w:tc>
          <w:tcPr>
            <w:tcW w:w="746" w:type="dxa"/>
            <w:tcBorders>
              <w:bottom w:val="single" w:sz="4" w:space="0" w:color="000000"/>
            </w:tcBorders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(</m:t>
              </m:r>
              <m:r>
                <w:rPr>
                  <w:rFonts w:ascii="Cambria Math" w:hAnsi="Cambria Math"/>
                  <w:sz w:val="20"/>
                  <w:szCs w:val="20"/>
                </w:rPr>
                <m:t>G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)</m:t>
              </m:r>
            </m:oMath>
          </w:p>
        </w:tc>
        <w:tc>
          <w:tcPr>
            <w:tcW w:w="746" w:type="dxa"/>
            <w:tcBorders>
              <w:bottom w:val="single" w:sz="4" w:space="0" w:color="000000"/>
            </w:tcBorders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(</m:t>
              </m:r>
              <m:r>
                <w:rPr>
                  <w:rFonts w:ascii="Cambria Math" w:hAnsi="Cambria Math"/>
                  <w:sz w:val="20"/>
                  <w:szCs w:val="20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)</m:t>
              </m:r>
            </m:oMath>
          </w:p>
        </w:tc>
      </w:tr>
      <w:tr>
        <w:trPr>
          <w:cantSplit/>
        </w:trPr>
        <w:tc>
          <w:tcPr>
            <w:tcW w:w="1866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Struggling novice</w:t>
            </w:r>
          </w:p>
        </w:tc>
        <w:tc>
          <w:tcPr>
            <w:tcW w:w="933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.02–.08</w:t>
            </w:r>
          </w:p>
        </w:tc>
        <w:tc>
          <w:tcPr>
            <w:tcW w:w="746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.03–.07</w:t>
            </w:r>
          </w:p>
        </w:tc>
        <w:tc>
          <w:tcPr>
            <w:tcW w:w="746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.10–.20</w:t>
            </w:r>
          </w:p>
        </w:tc>
        <w:tc>
          <w:tcPr>
            <w:tcW w:w="746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.20–.30</w:t>
            </w:r>
          </w:p>
        </w:tc>
      </w:tr>
      <w:tr>
        <w:trPr>
          <w:cantSplit/>
        </w:trPr>
        <w:tc>
          <w:tcPr>
            <w:tcW w:w="1866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Inconsistent guesser</w:t>
            </w:r>
          </w:p>
        </w:tc>
        <w:tc>
          <w:tcPr>
            <w:tcW w:w="933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.05–.20</w:t>
            </w:r>
          </w:p>
        </w:tc>
        <w:tc>
          <w:tcPr>
            <w:tcW w:w="746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.10–.20</w:t>
            </w:r>
          </w:p>
        </w:tc>
        <w:tc>
          <w:tcPr>
            <w:tcW w:w="746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.15–.40</w:t>
            </w:r>
          </w:p>
        </w:tc>
        <w:tc>
          <w:tcPr>
            <w:tcW w:w="746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.08–.30</w:t>
            </w:r>
          </w:p>
        </w:tc>
      </w:tr>
      <w:tr>
        <w:trPr>
          <w:cantSplit/>
        </w:trPr>
        <w:tc>
          <w:tcPr>
            <w:tcW w:w="1866" w:type="dxa"/>
            <w:tcMar>
              <w:left w:w="60" w:type="dxa"/>
              <w:right w:w="60" w:type="dxa"/>
            </w:tcMar>
          </w:tcPr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Fast master</w:t>
            </w:r>
          </w:p>
        </w:tc>
        <w:tc>
          <w:tcPr>
            <w:tcW w:w="933" w:type="dxa"/>
            <w:tcMar>
              <w:left w:w="60" w:type="dxa"/>
              <w:right w:w="60" w:type="dxa"/>
            </w:tcMar>
          </w:tcPr>
          <w:p>
            <w:pPr>
              <w:pStyle w:val="Compact"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.15–.30</w:t>
            </w:r>
          </w:p>
        </w:tc>
        <w:tc>
          <w:tcPr>
            <w:tcW w:w="746" w:type="dxa"/>
            <w:tcMar>
              <w:left w:w="60" w:type="dxa"/>
              <w:right w:w="60" w:type="dxa"/>
            </w:tcMar>
          </w:tcPr>
          <w:p>
            <w:pPr>
              <w:pStyle w:val="Compact"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.30–.40</w:t>
            </w:r>
          </w:p>
        </w:tc>
        <w:tc>
          <w:tcPr>
            <w:tcW w:w="746" w:type="dxa"/>
            <w:tcMar>
              <w:left w:w="60" w:type="dxa"/>
              <w:right w:w="60" w:type="dxa"/>
            </w:tcMar>
          </w:tcPr>
          <w:p>
            <w:pPr>
              <w:pStyle w:val="Compact"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.15–.25</w:t>
            </w:r>
          </w:p>
        </w:tc>
        <w:tc>
          <w:tcPr>
            <w:tcW w:w="746" w:type="dxa"/>
            <w:tcMar>
              <w:left w:w="60" w:type="dxa"/>
              <w:right w:w="60" w:type="dxa"/>
            </w:tcMar>
          </w:tcPr>
          <w:p>
            <w:pPr>
              <w:pStyle w:val="Compact"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.01–.03</w:t>
            </w:r>
          </w:p>
        </w:tc>
      </w:tr>
    </w:tbl>
    <w:p>
      <w:pPr>
        <w:pStyle w:val="BodyText"/>
      </w:pPr>
      <w:r>
        <w:rPr>
          <w:rFonts w:ascii="Times New Roman" w:hAnsi="Times New Roman" w:cs="Times New Roman" w:eastAsia="Times New Roman"/>
          <w:i/>
          <w:iCs/>
          <w:color w:val="000000"/>
        </w:rPr>
        <w:t xml:space="preserve">Arms: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All arms see the same responses and BKT estimate. (1)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</w:rPr>
        <w:t xml:space="preserve">Static</w:t>
      </w:r>
      <w:r>
        <w:rPr>
          <w:rFonts w:ascii="Times New Roman" w:hAnsi="Times New Roman" w:cs="Times New Roman" w:eastAsia="Times New Roman"/>
          <w:color w:val="000000"/>
        </w:rPr>
        <w:t xml:space="preserve">: a fixed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level-2 interface. (2)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</w:rPr>
        <w:t xml:space="preserve">Unconstrained GenUI</w:t>
      </w:r>
      <w:r>
        <w:rPr>
          <w:rFonts w:ascii="Times New Roman" w:hAnsi="Times New Roman" w:cs="Times New Roman" w:eastAsia="Times New Roman"/>
          <w:color w:val="000000"/>
        </w:rPr>
        <w:t xml:space="preserve">: the plant sets its own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complexity to the estimate plus Gaussian noise (</w:t>
      </w:r>
      <m:oMath>
        <m:r>
          <w:rPr>
            <w:rFonts w:ascii="Cambria Math" w:hAnsi="Cambria Math"/>
            <w:sz w:val="20"/>
            <w:szCs w:val="20"/>
          </w:rPr>
          <m:t>σ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0.15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); only the schema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is checked. (3)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</w:rPr>
        <w:t xml:space="preserve">Rule-based</w:t>
      </w:r>
      <w:r>
        <w:rPr>
          <w:rFonts w:ascii="Times New Roman" w:hAnsi="Times New Roman" w:cs="Times New Roman" w:eastAsia="Times New Roman"/>
          <w:color w:val="000000"/>
        </w:rPr>
        <w:t xml:space="preserve">: step up after three consecutive correct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responses and down after two consecutive errors, an up-down rule in the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spirit of [17]. Arms 1 and 3 render catalog trees. (4)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</w:rPr>
        <w:t xml:space="preserve">Closed loop</w:t>
      </w:r>
      <w:r>
        <w:rPr>
          <w:rFonts w:ascii="Times New Roman" w:hAnsi="Times New Roman" w:cs="Times New Roman" w:eastAsia="Times New Roman"/>
          <w:color w:val="000000"/>
        </w:rPr>
        <w:t xml:space="preserve">: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the full architecture. Ablations remove the derivative filter, remove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anti-windup, and add a one-level slew limit.</w:t>
      </w:r>
    </w:p>
    <w:p>
      <w:pPr>
        <w:pStyle w:val="BodyText"/>
      </w:pPr>
      <w:r>
        <w:rPr>
          <w:rFonts w:ascii="Times New Roman" w:hAnsi="Times New Roman" w:cs="Times New Roman" w:eastAsia="Times New Roman"/>
          <w:i/>
          <w:iCs/>
          <w:color w:val="000000"/>
        </w:rPr>
        <w:t xml:space="preserve">Plant model in the benchmark: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The benchmark replaces the foundation model with a surrogate that compiles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the planner’s layout and injects faults: with probability 0.15 it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drifts off budget, and with probability 0.03 it emits malformed output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(e.g., truncated JSON, unknown component). These rates were set before the real model was measured.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The unconstrained arm uses the same surrogate without the budget check.</w:t>
      </w:r>
    </w:p>
    <w:p>
      <w:pPr>
        <w:pStyle w:val="BodyText"/>
      </w:pPr>
      <w:r>
        <w:rPr>
          <w:rFonts w:ascii="Times New Roman" w:hAnsi="Times New Roman" w:cs="Times New Roman" w:eastAsia="Times New Roman"/>
          <w:color w:val="000000"/>
        </w:rPr>
        <w:t xml:space="preserve">We measured the real model in free mode, which tests the model alone, and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in guided mode, the deployed configuration with the planner. Each mode received 300 requests (JSON mode without a response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schema, thinking level low, temperature 0.4, 30 s timeout) with budgets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uniform on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0"/>
            <w:szCs w:val="20"/>
          </w:rPr>
          <m:t>[</m:t>
        </m:r>
        <m:r>
          <w:rPr>
            <w:rFonts w:ascii="Cambria Math" w:hAnsi="Cambria Math"/>
            <w:sz w:val="20"/>
            <w:szCs w:val="20"/>
          </w:rPr>
          <m:t>0.02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,</m:t>
        </m:r>
        <m:r>
          <w:rPr>
            <w:rFonts w:ascii="Cambria Math" w:hAnsi="Cambria Math"/>
            <w:sz w:val="20"/>
            <w:szCs w:val="20"/>
          </w:rPr>
          <m:t>0.98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]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, scored by the same gate (Table III).</w:t>
      </w:r>
    </w:p>
    <w:p>
      <w:pPr>
        <w:pStyle w:val="BodyText"/>
        <w:keepNext/>
        <w:spacing w:before="120" w:after="0" w:line="190" w:lineRule="exact"/>
        <w:ind w:firstLine="0"/>
        <w:jc w:val="center"/>
      </w:pPr>
      <w:r>
        <w:rPr>
          <w:rFonts w:ascii="Times New Roman" w:hAnsi="Times New Roman" w:cs="Times New Roman" w:eastAsia="Times New Roman"/>
          <w:smallCaps w:val="0"/>
          <w:color w:val="000000"/>
          <w:sz w:val="16"/>
        </w:rPr>
        <w:t>TABLE III</w:t>
      </w:r>
    </w:p>
    <w:p>
      <w:pPr>
        <w:pStyle w:val="BodyText"/>
        <w:keepNext/>
        <w:spacing w:before="0" w:after="60" w:line="190" w:lineRule="exact"/>
        <w:ind w:firstLine="0"/>
        <w:jc w:val="center"/>
      </w:pPr>
      <w:r>
        <w:rPr>
          <w:rFonts w:ascii="Times New Roman" w:hAnsi="Times New Roman" w:cs="Times New Roman" w:eastAsia="Times New Roman"/>
          <w:smallCaps/>
          <w:color w:val="000000"/>
          <w:sz w:val="16"/>
        </w:rPr>
        <w:t>Gemini 3.7 Flash, 300 calls per mode.</w:t>
      </w:r>
    </w:p>
    <w:tbl>
      <w:tblPr>
        <w:tblStyle w:val="Table"/>
        <w:tblW w:w="5039" w:type="dxa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3006"/>
        <w:gridCol w:w="1061"/>
        <w:gridCol w:w="972"/>
      </w:tblGrid>
      <w:tr>
        <w:trPr>
          <w:tblHeader w:val="on"/>
          <w:cantSplit/>
        </w:trPr>
        <w:tc>
          <w:tcPr>
            <w:tcW w:w="3006" w:type="dxa"/>
            <w:tcBorders>
              <w:bottom w:val="single" w:sz="4" w:space="0" w:color="000000"/>
            </w:tcBorders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left"/>
            </w:pPr>
          </w:p>
        </w:tc>
        <w:tc>
          <w:tcPr>
            <w:tcW w:w="1061" w:type="dxa"/>
            <w:tcBorders>
              <w:bottom w:val="single" w:sz="4" w:space="0" w:color="000000"/>
            </w:tcBorders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Free</w:t>
            </w:r>
          </w:p>
        </w:tc>
        <w:tc>
          <w:tcPr>
            <w:tcW w:w="972" w:type="dxa"/>
            <w:tcBorders>
              <w:bottom w:val="single" w:sz="4" w:space="0" w:color="000000"/>
            </w:tcBorders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Guided</w:t>
            </w:r>
          </w:p>
        </w:tc>
      </w:tr>
      <w:tr>
        <w:trPr>
          <w:cantSplit/>
        </w:trPr>
        <w:tc>
          <w:tcPr>
            <w:tcW w:w="3006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Transport failures (HTTP error, timeout)</w:t>
            </w:r>
          </w:p>
        </w:tc>
        <w:tc>
          <w:tcPr>
            <w:tcW w:w="1061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</w:t>
            </w:r>
          </w:p>
        </w:tc>
        <w:tc>
          <w:tcPr>
            <w:tcW w:w="972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</w:t>
            </w:r>
          </w:p>
        </w:tc>
      </w:tr>
      <w:tr>
        <w:trPr>
          <w:cantSplit/>
        </w:trPr>
        <w:tc>
          <w:tcPr>
            <w:tcW w:w="3006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Content-malformed, of completed calls</w:t>
            </w:r>
          </w:p>
        </w:tc>
        <w:tc>
          <w:tcPr>
            <w:tcW w:w="1061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3.4%</w:t>
            </w:r>
          </w:p>
        </w:tc>
        <w:tc>
          <w:tcPr>
            <w:tcW w:w="972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w="3006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Off budget, of valid trees</w:t>
            </w:r>
          </w:p>
        </w:tc>
        <w:tc>
          <w:tcPr>
            <w:tcW w:w="1061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2.8%</w:t>
            </w:r>
          </w:p>
        </w:tc>
        <w:tc>
          <w:tcPr>
            <w:tcW w:w="972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w="3006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Raw output within budget, of all calls</w:t>
            </w:r>
          </w:p>
        </w:tc>
        <w:tc>
          <w:tcPr>
            <w:tcW w:w="1061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92.0%</w:t>
            </w:r>
          </w:p>
        </w:tc>
        <w:tc>
          <w:tcPr>
            <w:tcW w:w="972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98.7%</w:t>
            </w:r>
          </w:p>
        </w:tc>
      </w:tr>
      <w:tr>
        <w:trPr>
          <w:cantSplit/>
        </w:trPr>
        <w:tc>
          <w:tcPr>
            <w:tcW w:w="3006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Median</w:t>
            </w: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16"/>
                  <w:szCs w:val="16"/>
                </w:rPr>
                <m:t>|</m:t>
              </m:r>
              <m:sSub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16"/>
                      <w:szCs w:val="16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16"/>
                  <w:szCs w:val="16"/>
                </w:rPr>
                <m:t>−</m:t>
              </m:r>
              <m:sSubSup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16"/>
                      <w:szCs w:val="16"/>
                    </w:rPr>
                    <m:t>I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16"/>
                      <w:szCs w:val="16"/>
                    </w:rPr>
                    <m:t>*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sz w:val="16"/>
                  <w:szCs w:val="16"/>
                </w:rPr>
                <m:t>|</m:t>
              </m:r>
            </m:oMath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of valid trees</w:t>
            </w:r>
          </w:p>
        </w:tc>
        <w:tc>
          <w:tcPr>
            <w:tcW w:w="1061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0.012</w:t>
            </w:r>
          </w:p>
        </w:tc>
        <w:tc>
          <w:tcPr>
            <w:tcW w:w="972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0.007</w:t>
            </w:r>
          </w:p>
        </w:tc>
      </w:tr>
      <w:tr>
        <w:trPr>
          <w:cantSplit/>
        </w:trPr>
        <w:tc>
          <w:tcPr>
            <w:tcW w:w="3006" w:type="dxa"/>
            <w:tcMar>
              <w:left w:w="60" w:type="dxa"/>
              <w:right w:w="60" w:type="dxa"/>
            </w:tcMar>
          </w:tcPr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Latency of completed calls, median / p95</w:t>
            </w:r>
          </w:p>
        </w:tc>
        <w:tc>
          <w:tcPr>
            <w:tcW w:w="1061" w:type="dxa"/>
            <w:tcMar>
              <w:left w:w="60" w:type="dxa"/>
              <w:right w:w="60" w:type="dxa"/>
            </w:tcMar>
          </w:tcPr>
          <w:p>
            <w:pPr>
              <w:pStyle w:val="Compact"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7.7 / 18.6 s</w:t>
            </w:r>
          </w:p>
        </w:tc>
        <w:tc>
          <w:tcPr>
            <w:tcW w:w="972" w:type="dxa"/>
            <w:tcMar>
              <w:left w:w="60" w:type="dxa"/>
              <w:right w:w="60" w:type="dxa"/>
            </w:tcMar>
          </w:tcPr>
          <w:p>
            <w:pPr>
              <w:pStyle w:val="Compact"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2.7 / 5.1 s</w:t>
            </w:r>
          </w:p>
        </w:tc>
      </w:tr>
    </w:tbl>
    <w:p>
      <w:pPr>
        <w:pStyle w:val="BodyText"/>
      </w:pPr>
      <w:r>
        <w:rPr>
          <w:rFonts w:ascii="Times New Roman" w:hAnsi="Times New Roman" w:cs="Times New Roman" w:eastAsia="Times New Roman"/>
          <w:color w:val="000000"/>
        </w:rPr>
        <w:t xml:space="preserve">Free-mode failures lacked an interactive element (10/294) or missed the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budget (8/284, mostly level 1); guided-mode failures were all in transport. The surrogate’s 3% malformed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rate thus matches free mode, and its 15% drift rate is a stress setting.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Compliance counts raw outputs over all calls; after the gate, every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rendered tree met the budget.</w:t>
      </w:r>
    </w:p>
    <w:p>
      <w:pPr>
        <w:pStyle w:val="BodyText"/>
      </w:pPr>
      <w:r>
        <w:rPr>
          <w:rFonts w:ascii="Times New Roman" w:hAnsi="Times New Roman" w:cs="Times New Roman" w:eastAsia="Times New Roman"/>
          <w:i/>
          <w:iCs/>
          <w:color w:val="000000"/>
        </w:rPr>
        <w:t xml:space="preserve">Metrics: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Constraint error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0"/>
            <w:szCs w:val="20"/>
          </w:rPr>
          <m:t>Δ</m:t>
        </m:r>
        <m:r>
          <w:rPr>
            <w:rFonts w:ascii="Cambria Math" w:hAnsi="Cambria Math"/>
            <w:sz w:val="20"/>
            <w:szCs w:val="20"/>
          </w:rPr>
          <m:t>M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|</m:t>
        </m:r>
        <m:sSub>
          <m:e>
            <m:r>
              <w:rPr>
                <w:rFonts w:ascii="Cambria Math" w:hAnsi="Cambria Math"/>
                <w:sz w:val="20"/>
                <w:szCs w:val="20"/>
              </w:rPr>
              <m:t>M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−</m:t>
        </m:r>
        <m:sSubSup>
          <m:e>
            <m:r>
              <w:rPr>
                <w:rFonts w:ascii="Cambria Math" w:hAnsi="Cambria Math"/>
                <w:sz w:val="20"/>
                <w:szCs w:val="20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r</m:t>
            </m:r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f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*</m:t>
            </m:r>
          </m:sup>
        </m:sSubSup>
        <m:r>
          <m:rPr>
            <m:sty m:val="p"/>
          </m:rPr>
          <w:rPr>
            <w:rFonts w:ascii="Cambria Math" w:hAnsi="Cambria Math"/>
            <w:sz w:val="20"/>
            <w:szCs w:val="20"/>
          </w:rPr>
          <m:t>|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is measured against the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budget the closed-loop governor commits for the same responses, so that all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arms share one reference;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“within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ε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”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is the share of steps with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0"/>
            <w:szCs w:val="20"/>
          </w:rPr>
          <m:t>Δ</m:t>
        </m:r>
        <m:r>
          <w:rPr>
            <w:rFonts w:ascii="Cambria Math" w:hAnsi="Cambria Math"/>
            <w:sz w:val="20"/>
            <w:szCs w:val="20"/>
          </w:rPr>
          <m:t>M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≤</m:t>
        </m:r>
        <m:r>
          <w:rPr>
            <w:rFonts w:ascii="Cambria Math" w:hAnsi="Cambria Math"/>
            <w:sz w:val="20"/>
            <w:szCs w:val="20"/>
          </w:rPr>
          <m:t>0.05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. Interface jitter is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J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f>
          <m:fPr>
            <m:type m:val="bar"/>
          </m:fPr>
          <m:num>
            <m:r>
              <w:rPr>
                <w:rFonts w:ascii="Cambria Math" w:hAnsi="Cambria Math"/>
                <w:sz w:val="20"/>
                <w:szCs w:val="20"/>
              </w:rPr>
              <m:t>1</m:t>
            </m:r>
          </m:num>
          <m:den>
            <m:r>
              <w:rPr>
                <w:rFonts w:ascii="Cambria Math" w:hAnsi="Cambria Math"/>
                <w:sz w:val="20"/>
                <w:szCs w:val="20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−</m:t>
            </m:r>
            <m:r>
              <w:rPr>
                <w:rFonts w:ascii="Cambria Math" w:hAnsi="Cambria Math"/>
                <w:sz w:val="20"/>
                <w:szCs w:val="20"/>
              </w:rPr>
              <m:t>1</m:t>
            </m:r>
          </m:den>
        </m:f>
        <m:nary>
          <m:naryPr>
            <m:chr m:val="∑"/>
            <m:limLoc m:val="subSup"/>
            <m:subHide m:val="off"/>
            <m:supHide m:val="on"/>
          </m:naryPr>
          <m:sub>
            <m:r>
              <w:rPr>
                <w:rFonts w:ascii="Cambria Math" w:hAnsi="Cambria Math"/>
                <w:sz w:val="20"/>
                <w:szCs w:val="20"/>
              </w:rPr>
              <m:t>n</m:t>
            </m:r>
          </m:sub>
          <m:sup>
            <m:r>
              <w:rPr>
                <w:rFonts w:ascii="Cambria Math" w:hAnsi="Cambria Math"/>
                <w:sz w:val="20"/>
                <w:szCs w:val="20"/>
              </w:rPr>
              <m:t>​</m:t>
            </m:r>
          </m:sup>
          <m:e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|</m:t>
            </m:r>
          </m:e>
        </m:nary>
        <m:sSub>
          <m:e>
            <m:r>
              <w:rPr>
                <w:rFonts w:ascii="Cambria Math" w:hAnsi="Cambria Math"/>
                <w:sz w:val="20"/>
                <w:szCs w:val="20"/>
              </w:rPr>
              <m:t>M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r>
          <w:rPr>
            <w:rFonts w:ascii="Cambria Math" w:hAnsi="Cambria Math"/>
            <w:sz w:val="20"/>
            <w:szCs w:val="20"/>
          </w:rPr>
          <m:t>n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−</m:t>
        </m:r>
        <m:sSub>
          <m:e>
            <m:r>
              <w:rPr>
                <w:rFonts w:ascii="Cambria Math" w:hAnsi="Cambria Math"/>
                <w:sz w:val="20"/>
                <w:szCs w:val="20"/>
              </w:rPr>
              <m:t>M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r>
          <w:rPr>
            <w:rFonts w:ascii="Cambria Math" w:hAnsi="Cambria Math"/>
            <w:sz w:val="20"/>
            <w:szCs w:val="20"/>
          </w:rPr>
          <m:t>n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−</m:t>
        </m:r>
        <m:r>
          <w:rPr>
            <w:rFonts w:ascii="Cambria Math" w:hAnsi="Cambria Math"/>
            <w:sz w:val="20"/>
            <w:szCs w:val="20"/>
          </w:rPr>
          <m:t>1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|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, and a skip is a change of two or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more levels between consecutive items. Jitter operationalizes the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stability concern of [9]; the formula is ours.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Recovery time is the number of items after a streak of five or more errors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until the level returns to its pre-streak value. Fallback rate is the share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of steps rendered from the fallback catalog. Because the simulator knows the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learner’s latent state, we also report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</w:rPr>
        <w:t xml:space="preserve">overload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(level 3 or 4 shown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while the skill is not known),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</w:rPr>
        <w:t xml:space="preserve">underload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(level 1 or 2 shown while it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is known) and an ITAE-weighted mismatch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nary>
          <m:naryPr>
            <m:chr m:val="∑"/>
            <m:limLoc m:val="subSup"/>
            <m:subHide m:val="off"/>
            <m:supHide m:val="on"/>
          </m:naryPr>
          <m:sub>
            <m:r>
              <w:rPr>
                <w:rFonts w:ascii="Cambria Math" w:hAnsi="Cambria Math"/>
                <w:sz w:val="20"/>
                <w:szCs w:val="20"/>
              </w:rPr>
              <m:t>n</m:t>
            </m:r>
          </m:sub>
          <m:sup>
            <m:r>
              <w:rPr>
                <w:rFonts w:ascii="Cambria Math" w:hAnsi="Cambria Math"/>
                <w:sz w:val="20"/>
                <w:szCs w:val="20"/>
              </w:rPr>
              <m:t>​</m:t>
            </m:r>
          </m:sup>
          <m:e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(</m:t>
            </m:r>
          </m:e>
        </m:nary>
        <m:r>
          <w:rPr>
            <w:rFonts w:ascii="Cambria Math" w:hAnsi="Cambria Math"/>
            <w:sz w:val="20"/>
            <w:szCs w:val="20"/>
          </w:rPr>
          <m:t>n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+</m:t>
        </m:r>
        <m:r>
          <w:rPr>
            <w:rFonts w:ascii="Cambria Math" w:hAnsi="Cambria Math"/>
            <w:sz w:val="20"/>
            <w:szCs w:val="20"/>
          </w:rPr>
          <m:t>1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  <m:sSub>
          <m:e>
            <m:r>
              <w:rPr>
                <w:rFonts w:ascii="Cambria Math" w:hAnsi="Cambria Math"/>
                <w:sz w:val="20"/>
                <w:szCs w:val="20"/>
              </w:rPr>
              <m:t>m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/</m:t>
        </m:r>
        <m:nary>
          <m:naryPr>
            <m:chr m:val="∑"/>
            <m:limLoc m:val="subSup"/>
            <m:subHide m:val="off"/>
            <m:supHide m:val="on"/>
          </m:naryPr>
          <m:sub>
            <m:r>
              <w:rPr>
                <w:rFonts w:ascii="Cambria Math" w:hAnsi="Cambria Math"/>
                <w:sz w:val="20"/>
                <w:szCs w:val="20"/>
              </w:rPr>
              <m:t>n</m:t>
            </m:r>
          </m:sub>
          <m:sup>
            <m:r>
              <w:rPr>
                <w:rFonts w:ascii="Cambria Math" w:hAnsi="Cambria Math"/>
                <w:sz w:val="20"/>
                <w:szCs w:val="20"/>
              </w:rPr>
              <m:t>​</m:t>
            </m:r>
          </m:sup>
          <m:e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(</m:t>
            </m:r>
          </m:e>
        </m:nary>
        <m:r>
          <w:rPr>
            <w:rFonts w:ascii="Cambria Math" w:hAnsi="Cambria Math"/>
            <w:sz w:val="20"/>
            <w:szCs w:val="20"/>
          </w:rPr>
          <m:t>n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+</m:t>
        </m:r>
        <m:r>
          <w:rPr>
            <w:rFonts w:ascii="Cambria Math" w:hAnsi="Cambria Math"/>
            <w:sz w:val="20"/>
            <w:szCs w:val="20"/>
          </w:rPr>
          <m:t>1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[32], where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w:rPr>
                <w:rFonts w:ascii="Cambria Math" w:hAnsi="Cambria Math"/>
                <w:sz w:val="20"/>
                <w:szCs w:val="20"/>
              </w:rPr>
              <m:t>m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n</m:t>
            </m:r>
          </m:sub>
        </m:sSub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marks either case. These are level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mismatches, not measured load.</w:t>
      </w:r>
    </w:p>
    <w:bookmarkEnd w:id="26"/>
    <w:bookmarkEnd w:id="27"/>
    <w:bookmarkStart w:id="38" w:name="v.-results"/>
    <w:p>
      <w:pPr>
        <w:pStyle w:val="Heading1"/>
      </w:pPr>
      <w:r>
        <w:rPr>
          <w:rFonts w:ascii="Times New Roman" w:hAnsi="Times New Roman" w:cs="Times New Roman" w:eastAsia="Times New Roman"/>
          <w:b w:val="0"/>
          <w:i w:val="0"/>
          <w:smallCaps/>
          <w:color w:val="000000"/>
          <w:sz w:val="20"/>
        </w:rPr>
        <w:t xml:space="preserve">V. Results</w:t>
      </w:r>
    </w:p>
    <w:p>
      <w:pPr>
        <w:pStyle w:val="FirstParagraph"/>
      </w:pPr>
      <w:r>
        <w:rPr>
          <w:rFonts w:ascii="Times New Roman" w:hAnsi="Times New Roman" w:cs="Times New Roman" w:eastAsia="Times New Roman"/>
          <w:color w:val="000000"/>
        </w:rPr>
        <w:t xml:space="preserve">All numbers come from one run on the test cohort (seed 20261003; tuning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seed 20261004), with normal-approximation 95% CIs over 1,000 learners. The CIs reflect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variation across learners in this run. Over ten independent test seeds the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ranking of arms never changed and the closed loop’s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0"/>
            <w:szCs w:val="20"/>
          </w:rPr>
          <m:t>Δ</m:t>
        </m:r>
        <m:r>
          <w:rPr>
            <w:rFonts w:ascii="Cambria Math" w:hAnsi="Cambria Math"/>
            <w:sz w:val="20"/>
            <w:szCs w:val="20"/>
          </w:rPr>
          <m:t>M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stayed within 0.0118–0.0122.</w:t>
      </w:r>
    </w:p>
    <w:tbl>
      <w:tblPr>
        <w:tblpPr w:leftFromText="0" w:rightFromText="0" w:topFromText="0" w:bottomFromText="200" w:vertAnchor="margin" w:horzAnchor="margin" w:tblpXSpec="center" w:tblpYSpec="top"/>
        <w:tblOverlap w:val="never"/>
        <w:tblW w:w="10320" w:type="dxa"/>
        <w:jc w:val="center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320"/>
      </w:tblGrid>
      <w:tr>
        <w:tc>
          <w:tcPr>
            <w:tcW w:w="10320" w:type="dxa"/>
          </w:tcPr>
          <w:p>
            <w:pPr>
              <w:pStyle w:val="BodyText"/>
              <w:keepNext/>
              <w:spacing w:before="120" w:after="0" w:line="190" w:lineRule="exact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smallCaps w:val="0"/>
                <w:color w:val="000000"/>
                <w:sz w:val="16"/>
              </w:rPr>
              <w:t>TABLE IV</w:t>
            </w:r>
          </w:p>
          <w:p>
            <w:pPr>
              <w:pStyle w:val="BodyText"/>
              <w:keepNext/>
              <w:spacing w:before="0" w:after="60" w:line="190" w:lineRule="exact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smallCaps/>
                <w:color w:val="000000"/>
                <w:sz w:val="16"/>
              </w:rPr>
              <w:t>Main results and ablations on the test cohort.</w:t>
            </w:r>
            <w:r>
              <w:rPr>
                <w:rFonts w:ascii="Times New Roman" w:hAnsi="Times New Roman" w:cs="Times New Roman" w:eastAsia="Times New Roman"/>
                <w:smallCaps/>
                <w:color w:val="000000"/>
                <w:sz w:val="16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16"/>
                  <w:szCs w:val="16"/>
                </w:rPr>
                <m:t>Δ</m:t>
              </m:r>
              <m:r>
                <w:rPr>
                  <w:rFonts w:ascii="Cambria Math" w:hAnsi="Cambria Math"/>
                  <w:sz w:val="16"/>
                  <w:szCs w:val="16"/>
                </w:rPr>
                <m:t>M</m:t>
              </m:r>
            </m:oMath>
            <w:r>
              <w:rPr>
                <w:rFonts w:ascii="Times New Roman" w:hAnsi="Times New Roman" w:cs="Times New Roman" w:eastAsia="Times New Roman"/>
                <w:smallCaps/>
                <w:color w:val="000000"/>
                <w:sz w:val="16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mallCaps/>
                <w:color w:val="000000"/>
                <w:sz w:val="16"/>
              </w:rPr>
              <w:t xml:space="preserve">and</w:t>
            </w:r>
            <w:r>
              <w:rPr>
                <w:rFonts w:ascii="Times New Roman" w:hAnsi="Times New Roman" w:cs="Times New Roman" w:eastAsia="Times New Roman"/>
                <w:smallCaps/>
                <w:color w:val="000000"/>
                <w:sz w:val="16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mallCaps/>
                <w:color w:val="000000"/>
                <w:sz w:val="16"/>
              </w:rPr>
              <w:t xml:space="preserve">“within</w:t>
            </w:r>
            <w:r>
              <w:rPr>
                <w:rFonts w:ascii="Times New Roman" w:hAnsi="Times New Roman" w:cs="Times New Roman" w:eastAsia="Times New Roman"/>
                <w:smallCaps/>
                <w:color w:val="000000"/>
                <w:sz w:val="16"/>
              </w:rPr>
              <w:t xml:space="preserve"> </w:t>
            </w:r>
            <m:oMath>
              <m:r>
                <w:rPr>
                  <w:rFonts w:ascii="Cambria Math" w:hAnsi="Cambria Math"/>
                  <w:sz w:val="16"/>
                  <w:szCs w:val="16"/>
                </w:rPr>
                <m:t>ε</m:t>
              </m:r>
            </m:oMath>
            <w:r>
              <w:rPr>
                <w:rFonts w:ascii="Times New Roman" w:hAnsi="Times New Roman" w:cs="Times New Roman" w:eastAsia="Times New Roman"/>
                <w:smallCaps/>
                <w:color w:val="000000"/>
                <w:sz w:val="16"/>
              </w:rPr>
              <w:t xml:space="preserve">”</w:t>
            </w:r>
            <w:r>
              <w:rPr>
                <w:rFonts w:ascii="Times New Roman" w:hAnsi="Times New Roman" w:cs="Times New Roman" w:eastAsia="Times New Roman"/>
                <w:smallCaps/>
                <w:color w:val="000000"/>
                <w:sz w:val="16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mallCaps/>
                <w:color w:val="000000"/>
                <w:sz w:val="16"/>
              </w:rPr>
              <w:t xml:space="preserve">are measured against the closed-loop</w:t>
            </w:r>
            <w:r>
              <w:rPr>
                <w:rFonts w:ascii="Times New Roman" w:hAnsi="Times New Roman" w:cs="Times New Roman" w:eastAsia="Times New Roman"/>
                <w:smallCaps/>
                <w:color w:val="000000"/>
                <w:sz w:val="16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mallCaps/>
                <w:color w:val="000000"/>
                <w:sz w:val="16"/>
              </w:rPr>
              <w:t xml:space="preserve">reference budget; every closed-loop variant meets its own budget at every step. Overload,</w:t>
            </w:r>
            <w:r>
              <w:rPr>
                <w:rFonts w:ascii="Times New Roman" w:hAnsi="Times New Roman" w:cs="Times New Roman" w:eastAsia="Times New Roman"/>
                <w:smallCaps/>
                <w:color w:val="000000"/>
                <w:sz w:val="16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mallCaps/>
                <w:color w:val="000000"/>
                <w:sz w:val="16"/>
              </w:rPr>
              <w:t xml:space="preserve">underload and ITAE use the latent learner state and exist only in simulation.</w:t>
            </w:r>
            <w:r>
              <w:rPr>
                <w:rFonts w:ascii="Times New Roman" w:hAnsi="Times New Roman" w:cs="Times New Roman" w:eastAsia="Times New Roman"/>
                <w:smallCaps/>
                <w:color w:val="000000"/>
                <w:sz w:val="16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mallCaps/>
                <w:color w:val="000000"/>
                <w:sz w:val="16"/>
              </w:rPr>
              <w:t xml:space="preserve">Fallback rates follow from the surrogate’s fault rates.</w:t>
            </w:r>
          </w:p>
          <w:tbl>
            <w:tblPr>
              <w:tblStyle w:val="Table"/>
              <w:tblW w:w="10314" w:type="dxa"/>
              <w:jc w:val="center"/>
              <w:tblBorders>
                <w:top w:val="single" w:sz="8" w:space="0" w:color="000000"/>
                <w:bottom w:val="single" w:sz="8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826"/>
              <w:gridCol w:w="2009"/>
              <w:gridCol w:w="821"/>
              <w:gridCol w:w="821"/>
              <w:gridCol w:w="1095"/>
              <w:gridCol w:w="1004"/>
              <w:gridCol w:w="1095"/>
              <w:gridCol w:w="639"/>
              <w:gridCol w:w="1004"/>
            </w:tblGrid>
            <w:tr>
              <w:trPr>
                <w:tblHeader w:val="on"/>
                <w:cantSplit/>
              </w:trPr>
              <w:tc>
                <w:tcPr>
                  <w:tcW w:w="1826" w:type="dxa"/>
                  <w:tcBorders>
                    <w:bottom w:val="single" w:sz="4" w:space="0" w:color="000000"/>
                  </w:tcBorders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left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Arm</w:t>
                  </w:r>
                </w:p>
              </w:tc>
              <w:tc>
                <w:tcPr>
                  <w:tcW w:w="2009" w:type="dxa"/>
                  <w:tcBorders>
                    <w:bottom w:val="single" w:sz="4" w:space="0" w:color="000000"/>
                  </w:tcBorders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m:oMath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6"/>
                        <w:szCs w:val="16"/>
                      </w:rPr>
                      <m:t>Δ</m:t>
                    </m:r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M</m:t>
                    </m:r>
                  </m:oMath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 </w:t>
                  </w: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(95% CI)</w:t>
                  </w:r>
                </w:p>
              </w:tc>
              <w:tc>
                <w:tcPr>
                  <w:tcW w:w="821" w:type="dxa"/>
                  <w:tcBorders>
                    <w:bottom w:val="single" w:sz="4" w:space="0" w:color="000000"/>
                  </w:tcBorders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Within</w:t>
                  </w: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 </w:t>
                  </w:r>
                  <m:oMath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ε</m:t>
                    </m:r>
                  </m:oMath>
                </w:p>
              </w:tc>
              <w:tc>
                <w:tcPr>
                  <w:tcW w:w="821" w:type="dxa"/>
                  <w:tcBorders>
                    <w:bottom w:val="single" w:sz="4" w:space="0" w:color="000000"/>
                  </w:tcBorders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Jitter</w:t>
                  </w: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 </w:t>
                  </w:r>
                  <m:oMath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J</m:t>
                    </m:r>
                  </m:oMath>
                </w:p>
              </w:tc>
              <w:tc>
                <w:tcPr>
                  <w:tcW w:w="1095" w:type="dxa"/>
                  <w:tcBorders>
                    <w:bottom w:val="single" w:sz="4" w:space="0" w:color="000000"/>
                  </w:tcBorders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Skips/run</w:t>
                  </w:r>
                </w:p>
              </w:tc>
              <w:tc>
                <w:tcPr>
                  <w:tcW w:w="1004" w:type="dxa"/>
                  <w:tcBorders>
                    <w:bottom w:val="single" w:sz="4" w:space="0" w:color="000000"/>
                  </w:tcBorders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Overload</w:t>
                  </w:r>
                </w:p>
              </w:tc>
              <w:tc>
                <w:tcPr>
                  <w:tcW w:w="1095" w:type="dxa"/>
                  <w:tcBorders>
                    <w:bottom w:val="single" w:sz="4" w:space="0" w:color="000000"/>
                  </w:tcBorders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Underload</w:t>
                  </w:r>
                </w:p>
              </w:tc>
              <w:tc>
                <w:tcPr>
                  <w:tcW w:w="639" w:type="dxa"/>
                  <w:tcBorders>
                    <w:bottom w:val="single" w:sz="4" w:space="0" w:color="000000"/>
                  </w:tcBorders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ITAE</w:t>
                  </w:r>
                </w:p>
              </w:tc>
              <w:tc>
                <w:tcPr>
                  <w:tcW w:w="1004" w:type="dxa"/>
                  <w:tcBorders>
                    <w:bottom w:val="single" w:sz="4" w:space="0" w:color="000000"/>
                  </w:tcBorders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Fallback</w:t>
                  </w:r>
                </w:p>
              </w:tc>
            </w:tr>
            <w:tr>
              <w:trPr>
                <w:cantSplit/>
              </w:trPr>
              <w:tc>
                <w:tcPr>
                  <w:tcW w:w="1826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left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Static</w:t>
                  </w:r>
                </w:p>
              </w:tc>
              <w:tc>
                <w:tcPr>
                  <w:tcW w:w="2009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0.426 (0.422–0.430)</w:t>
                  </w:r>
                </w:p>
              </w:tc>
              <w:tc>
                <w:tcPr>
                  <w:tcW w:w="821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0.004</w:t>
                  </w:r>
                </w:p>
              </w:tc>
              <w:tc>
                <w:tcPr>
                  <w:tcW w:w="821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0.000</w:t>
                  </w:r>
                </w:p>
              </w:tc>
              <w:tc>
                <w:tcPr>
                  <w:tcW w:w="1095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0.00</w:t>
                  </w:r>
                </w:p>
              </w:tc>
              <w:tc>
                <w:tcPr>
                  <w:tcW w:w="1004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0.000</w:t>
                  </w:r>
                </w:p>
              </w:tc>
              <w:tc>
                <w:tcPr>
                  <w:tcW w:w="1095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0.800</w:t>
                  </w:r>
                </w:p>
              </w:tc>
              <w:tc>
                <w:tcPr>
                  <w:tcW w:w="639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0.892</w:t>
                  </w:r>
                </w:p>
              </w:tc>
              <w:tc>
                <w:tcPr>
                  <w:tcW w:w="1004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–</w:t>
                  </w:r>
                </w:p>
              </w:tc>
            </w:tr>
            <w:tr>
              <w:trPr>
                <w:cantSplit/>
              </w:trPr>
              <w:tc>
                <w:tcPr>
                  <w:tcW w:w="1826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left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Unconstrained GenUI</w:t>
                  </w:r>
                </w:p>
              </w:tc>
              <w:tc>
                <w:tcPr>
                  <w:tcW w:w="2009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0.131 (0.128–0.134)</w:t>
                  </w:r>
                </w:p>
              </w:tc>
              <w:tc>
                <w:tcPr>
                  <w:tcW w:w="821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0.321</w:t>
                  </w:r>
                </w:p>
              </w:tc>
              <w:tc>
                <w:tcPr>
                  <w:tcW w:w="821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0.123</w:t>
                  </w:r>
                </w:p>
              </w:tc>
              <w:tc>
                <w:tcPr>
                  <w:tcW w:w="1095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2.06</w:t>
                  </w:r>
                </w:p>
              </w:tc>
              <w:tc>
                <w:tcPr>
                  <w:tcW w:w="1004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0.024</w:t>
                  </w:r>
                </w:p>
              </w:tc>
              <w:tc>
                <w:tcPr>
                  <w:tcW w:w="1095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0.054</w:t>
                  </w:r>
                </w:p>
              </w:tc>
              <w:tc>
                <w:tcPr>
                  <w:tcW w:w="639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0.043</w:t>
                  </w:r>
                </w:p>
              </w:tc>
              <w:tc>
                <w:tcPr>
                  <w:tcW w:w="1004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0.030</w:t>
                  </w:r>
                </w:p>
              </w:tc>
            </w:tr>
            <w:tr>
              <w:trPr>
                <w:cantSplit/>
              </w:trPr>
              <w:tc>
                <w:tcPr>
                  <w:tcW w:w="1826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left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Rule-based</w:t>
                  </w:r>
                </w:p>
              </w:tc>
              <w:tc>
                <w:tcPr>
                  <w:tcW w:w="2009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0.123 (0.119–0.128)</w:t>
                  </w:r>
                </w:p>
              </w:tc>
              <w:tc>
                <w:tcPr>
                  <w:tcW w:w="821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0.596</w:t>
                  </w:r>
                </w:p>
              </w:tc>
              <w:tc>
                <w:tcPr>
                  <w:tcW w:w="821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0.025</w:t>
                  </w:r>
                </w:p>
              </w:tc>
              <w:tc>
                <w:tcPr>
                  <w:tcW w:w="1095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0.00</w:t>
                  </w:r>
                </w:p>
              </w:tc>
              <w:tc>
                <w:tcPr>
                  <w:tcW w:w="1004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0.000</w:t>
                  </w:r>
                </w:p>
              </w:tc>
              <w:tc>
                <w:tcPr>
                  <w:tcW w:w="1095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0.245</w:t>
                  </w:r>
                </w:p>
              </w:tc>
              <w:tc>
                <w:tcPr>
                  <w:tcW w:w="639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0.180</w:t>
                  </w:r>
                </w:p>
              </w:tc>
              <w:tc>
                <w:tcPr>
                  <w:tcW w:w="1004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–</w:t>
                  </w:r>
                </w:p>
              </w:tc>
            </w:tr>
            <w:tr>
              <w:trPr>
                <w:cantSplit/>
              </w:trPr>
              <w:tc>
                <w:tcPr>
                  <w:tcW w:w="1826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left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Closed loop</w:t>
                  </w:r>
                </w:p>
              </w:tc>
              <w:tc>
                <w:tcPr>
                  <w:tcW w:w="2009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0.0122 (0.0119–0.0124)</w:t>
                  </w:r>
                </w:p>
              </w:tc>
              <w:tc>
                <w:tcPr>
                  <w:tcW w:w="821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1.000</w:t>
                  </w:r>
                </w:p>
              </w:tc>
              <w:tc>
                <w:tcPr>
                  <w:tcW w:w="821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0.035</w:t>
                  </w:r>
                </w:p>
              </w:tc>
              <w:tc>
                <w:tcPr>
                  <w:tcW w:w="1095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0.67</w:t>
                  </w:r>
                </w:p>
              </w:tc>
              <w:tc>
                <w:tcPr>
                  <w:tcW w:w="1004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0.002</w:t>
                  </w:r>
                </w:p>
              </w:tc>
              <w:tc>
                <w:tcPr>
                  <w:tcW w:w="1095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0.121</w:t>
                  </w:r>
                </w:p>
              </w:tc>
              <w:tc>
                <w:tcPr>
                  <w:tcW w:w="639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0.073</w:t>
                  </w:r>
                </w:p>
              </w:tc>
              <w:tc>
                <w:tcPr>
                  <w:tcW w:w="1004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0.154</w:t>
                  </w:r>
                </w:p>
              </w:tc>
            </w:tr>
            <w:tr>
              <w:trPr>
                <w:cantSplit/>
              </w:trPr>
              <w:tc>
                <w:tcPr>
                  <w:tcW w:w="1826" w:type="dxa"/>
                  <w:tcBorders>
                    <w:top w:val="single" w:sz="4" w:space="0" w:color="000000"/>
                  </w:tcBorders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 w:left="173"/>
                    <w:jc w:val="left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no derivative filter</w:t>
                  </w:r>
                </w:p>
              </w:tc>
              <w:tc>
                <w:tcPr>
                  <w:tcW w:w="2009" w:type="dxa"/>
                  <w:tcBorders>
                    <w:top w:val="single" w:sz="4" w:space="0" w:color="000000"/>
                  </w:tcBorders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0.031 (0.030–0.033)</w:t>
                  </w:r>
                </w:p>
              </w:tc>
              <w:tc>
                <w:tcPr>
                  <w:tcW w:w="821" w:type="dxa"/>
                  <w:tcBorders>
                    <w:top w:val="single" w:sz="4" w:space="0" w:color="000000"/>
                  </w:tcBorders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0.811</w:t>
                  </w:r>
                </w:p>
              </w:tc>
              <w:tc>
                <w:tcPr>
                  <w:tcW w:w="821" w:type="dxa"/>
                  <w:tcBorders>
                    <w:top w:val="single" w:sz="4" w:space="0" w:color="000000"/>
                  </w:tcBorders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0.044</w:t>
                  </w:r>
                </w:p>
              </w:tc>
              <w:tc>
                <w:tcPr>
                  <w:tcW w:w="1095" w:type="dxa"/>
                  <w:tcBorders>
                    <w:top w:val="single" w:sz="4" w:space="0" w:color="000000"/>
                  </w:tcBorders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1.19</w:t>
                  </w:r>
                </w:p>
              </w:tc>
              <w:tc>
                <w:tcPr>
                  <w:tcW w:w="1004" w:type="dxa"/>
                  <w:tcBorders>
                    <w:top w:val="single" w:sz="4" w:space="0" w:color="000000"/>
                  </w:tcBorders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0.002</w:t>
                  </w:r>
                </w:p>
              </w:tc>
              <w:tc>
                <w:tcPr>
                  <w:tcW w:w="1095" w:type="dxa"/>
                  <w:tcBorders>
                    <w:top w:val="single" w:sz="4" w:space="0" w:color="000000"/>
                  </w:tcBorders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0.124</w:t>
                  </w:r>
                </w:p>
              </w:tc>
              <w:tc>
                <w:tcPr>
                  <w:tcW w:w="639" w:type="dxa"/>
                  <w:tcBorders>
                    <w:top w:val="single" w:sz="4" w:space="0" w:color="000000"/>
                  </w:tcBorders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0.076</w:t>
                  </w:r>
                </w:p>
              </w:tc>
              <w:tc>
                <w:tcPr>
                  <w:tcW w:w="1004" w:type="dxa"/>
                  <w:tcBorders>
                    <w:top w:val="single" w:sz="4" w:space="0" w:color="000000"/>
                  </w:tcBorders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0.156</w:t>
                  </w:r>
                </w:p>
              </w:tc>
            </w:tr>
            <w:tr>
              <w:trPr>
                <w:cantSplit/>
              </w:trPr>
              <w:tc>
                <w:tcPr>
                  <w:tcW w:w="1826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 w:left="173"/>
                    <w:jc w:val="left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no anti-windup</w:t>
                  </w:r>
                </w:p>
              </w:tc>
              <w:tc>
                <w:tcPr>
                  <w:tcW w:w="2009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0.107 (0.102–0.112)</w:t>
                  </w:r>
                </w:p>
              </w:tc>
              <w:tc>
                <w:tcPr>
                  <w:tcW w:w="821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0.549</w:t>
                  </w:r>
                </w:p>
              </w:tc>
              <w:tc>
                <w:tcPr>
                  <w:tcW w:w="821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0.024</w:t>
                  </w:r>
                </w:p>
              </w:tc>
              <w:tc>
                <w:tcPr>
                  <w:tcW w:w="1095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0.42</w:t>
                  </w:r>
                </w:p>
              </w:tc>
              <w:tc>
                <w:tcPr>
                  <w:tcW w:w="1004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0.001</w:t>
                  </w:r>
                </w:p>
              </w:tc>
              <w:tc>
                <w:tcPr>
                  <w:tcW w:w="1095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0.217</w:t>
                  </w:r>
                </w:p>
              </w:tc>
              <w:tc>
                <w:tcPr>
                  <w:tcW w:w="639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0.174</w:t>
                  </w:r>
                </w:p>
              </w:tc>
              <w:tc>
                <w:tcPr>
                  <w:tcW w:w="1004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0.159</w:t>
                  </w:r>
                </w:p>
              </w:tc>
            </w:tr>
            <w:tr>
              <w:trPr>
                <w:cantSplit/>
              </w:trPr>
              <w:tc>
                <w:tcPr>
                  <w:tcW w:w="1826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spacing w:before="20" w:after="20" w:line="240" w:lineRule="auto"/>
                    <w:ind w:firstLine="0" w:left="173"/>
                    <w:jc w:val="left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one-level slew limit</w:t>
                  </w:r>
                </w:p>
              </w:tc>
              <w:tc>
                <w:tcPr>
                  <w:tcW w:w="2009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0.025 (0.023–0.026)</w:t>
                  </w:r>
                </w:p>
              </w:tc>
              <w:tc>
                <w:tcPr>
                  <w:tcW w:w="821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0.875</w:t>
                  </w:r>
                </w:p>
              </w:tc>
              <w:tc>
                <w:tcPr>
                  <w:tcW w:w="821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0.034</w:t>
                  </w:r>
                </w:p>
              </w:tc>
              <w:tc>
                <w:tcPr>
                  <w:tcW w:w="1095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0.02</w:t>
                  </w:r>
                </w:p>
              </w:tc>
              <w:tc>
                <w:tcPr>
                  <w:tcW w:w="1004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0.002</w:t>
                  </w:r>
                </w:p>
              </w:tc>
              <w:tc>
                <w:tcPr>
                  <w:tcW w:w="1095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0.121</w:t>
                  </w:r>
                </w:p>
              </w:tc>
              <w:tc>
                <w:tcPr>
                  <w:tcW w:w="639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0.073</w:t>
                  </w:r>
                </w:p>
              </w:tc>
              <w:tc>
                <w:tcPr>
                  <w:tcW w:w="1004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0.153</w:t>
                  </w:r>
                </w:p>
              </w:tc>
            </w:tr>
          </w:tbl>
          <w:p/>
        </w:tc>
      </w:tr>
    </w:tbl>
    <w:p>
      <w:pPr>
        <w:pStyle w:val="BodyText"/>
        <w:keepNext/>
        <w:spacing w:before="12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color w:val="000000"/>
        </w:rPr>
        <w:drawing>
          <wp:inline>
            <wp:extent cx="3200400" cy="1143000"/>
            <wp:effectExtent b="0" l="0" r="0" t="0"/>
            <wp:docPr descr="image" title="" id="29" name="Picture"/>
            <a:graphic>
              <a:graphicData uri="http://schemas.openxmlformats.org/drawingml/2006/picture">
                <pic:pic>
                  <pic:nvPicPr>
                    <pic:cNvPr descr="fig/result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14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60" w:after="160" w:line="190" w:lineRule="exact"/>
        <w:ind w:firstLine="0"/>
        <w:jc w:val="both"/>
      </w:pPr>
      <w:r>
        <w:rPr>
          <w:rFonts w:ascii="Times New Roman" w:hAnsi="Times New Roman" w:cs="Times New Roman" w:eastAsia="Times New Roman"/>
          <w:color w:val="000000"/>
          <w:sz w:val="16"/>
        </w:rPr>
        <w:t>Fig. 3. Main comparison on the test cohort (means, 95% CIs); closed loop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dark.</w:t>
      </w:r>
    </w:p>
    <w:bookmarkStart w:id="31" w:name="a.-main-comparison"/>
    <w:p>
      <w:pPr>
        <w:pStyle w:val="Heading2"/>
      </w:pPr>
      <w:r>
        <w:rPr>
          <w:rFonts w:ascii="Times New Roman" w:hAnsi="Times New Roman" w:cs="Times New Roman" w:eastAsia="Times New Roman"/>
          <w:b w:val="0"/>
          <w:i/>
          <w:smallCaps w:val="0"/>
          <w:color w:val="000000"/>
          <w:sz w:val="20"/>
        </w:rPr>
        <w:t xml:space="preserve">A. Main comparison</w:t>
      </w:r>
    </w:p>
    <w:p>
      <w:pPr>
        <w:pStyle w:val="FirstParagraph"/>
      </w:pPr>
      <w:r>
        <w:rPr>
          <w:rFonts w:ascii="Times New Roman" w:hAnsi="Times New Roman" w:cs="Times New Roman" w:eastAsia="Times New Roman"/>
          <w:color w:val="000000"/>
        </w:rPr>
        <w:t xml:space="preserve">The closed loop keeps the rendered interface within 0.012 of its budget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on average (Table IV, Fig. 3), against 0.131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and 0.123 for unconstrained GenUI and the rule-based arm. Every rendered tree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is within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ε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, partly by construction: the generator’s own output met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the budget on 84.6% of steps, and the gate replaced the other 15.4% from the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fallback catalog. Compliance thus belongs to governor, planner and gate together. The closed loop’s jitter (0.035) is 3.5 times lower than that of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unconstrained GenUI (0.123), which also skips levels 2.06 times per run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against 0.67. The rule-based arm is smoother still (0.025, no skips), because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it moves one level at a time. Against the latent learner state, the picture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is mixed. Unconstrained GenUI has the lowest ITAE mismatch (0.043 against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0.073) and the least underload (5.4% of steps against 12.1%), but shows an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abstract interface to a learner who does not know the skill twelve times as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often (2.4% against 0.2%). After streaks of five or more errors that lowered the level, the closed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loop regained its pre-streak level in 34 of 51 cases (median 5 items), the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rule-based arm in 9 of 19 (median 12).</w:t>
      </w:r>
    </w:p>
    <w:bookmarkEnd w:id="31"/>
    <w:bookmarkStart w:id="32" w:name="b.-ablations"/>
    <w:p>
      <w:pPr>
        <w:pStyle w:val="Heading2"/>
      </w:pPr>
      <w:r>
        <w:rPr>
          <w:rFonts w:ascii="Times New Roman" w:hAnsi="Times New Roman" w:cs="Times New Roman" w:eastAsia="Times New Roman"/>
          <w:b w:val="0"/>
          <w:i/>
          <w:smallCaps w:val="0"/>
          <w:color w:val="000000"/>
          <w:sz w:val="20"/>
        </w:rPr>
        <w:t xml:space="preserve">B. Ablations</w:t>
      </w:r>
    </w:p>
    <w:p>
      <w:pPr>
        <w:pStyle w:val="FirstParagraph"/>
      </w:pPr>
      <w:r>
        <w:rPr>
          <w:rFonts w:ascii="Times New Roman" w:hAnsi="Times New Roman" w:cs="Times New Roman" w:eastAsia="Times New Roman"/>
          <w:color w:val="000000"/>
        </w:rPr>
        <w:t xml:space="preserve">Removing the derivative filter raises jitter from 0.035 to 0.044 and nearly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doubles level skips (1.19 per run). Removing anti-windup lets the integral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grow without bound: underload rises from 12.1% to 21.7%, only 84% of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learners reach level 4 against 95%, and median recovery after an error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streak grows from 5 to 14 items. In a scripted probe the unclamped integral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reached 22.9 (clamp 1.25). A one-level slew limit removes nearly all skips (0.02 per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run) and leaves the ground-truth measures unchanged.</w:t>
      </w:r>
    </w:p>
    <w:bookmarkEnd w:id="32"/>
    <w:bookmarkStart w:id="33" w:name="c.-sensitivity"/>
    <w:p>
      <w:pPr>
        <w:pStyle w:val="Heading2"/>
      </w:pPr>
      <w:r>
        <w:rPr>
          <w:rFonts w:ascii="Times New Roman" w:hAnsi="Times New Roman" w:cs="Times New Roman" w:eastAsia="Times New Roman"/>
          <w:b w:val="0"/>
          <w:i/>
          <w:smallCaps w:val="0"/>
          <w:color w:val="000000"/>
          <w:sz w:val="20"/>
        </w:rPr>
        <w:t xml:space="preserve">C. Sensitivity</w:t>
      </w:r>
    </w:p>
    <w:p>
      <w:pPr>
        <w:pStyle w:val="FirstParagraph"/>
      </w:pPr>
      <w:r>
        <w:rPr>
          <w:rFonts w:ascii="Times New Roman" w:hAnsi="Times New Roman" w:cs="Times New Roman" w:eastAsia="Times New Roman"/>
          <w:color w:val="000000"/>
        </w:rPr>
        <w:t xml:space="preserve">Changing each controller parameter by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0"/>
            <w:szCs w:val="20"/>
          </w:rPr>
          <m:t>±</m:t>
        </m:r>
        <m:r>
          <w:rPr>
            <w:rFonts w:ascii="Cambria Math" w:hAnsi="Cambria Math"/>
            <w:sz w:val="20"/>
            <w:szCs w:val="20"/>
          </w:rPr>
          <m:t>50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%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raised the cost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(</w:t>
      </w:r>
      <m:oMath>
        <m:r>
          <m:rPr>
            <m:sty m:val="p"/>
          </m:rPr>
          <w:rPr>
            <w:rFonts w:ascii="Cambria Math" w:hAnsi="Cambria Math"/>
            <w:sz w:val="20"/>
            <w:szCs w:val="20"/>
          </w:rPr>
          <m:t>I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T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A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E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+</m:t>
        </m:r>
        <m:r>
          <w:rPr>
            <w:rFonts w:ascii="Cambria Math" w:hAnsi="Cambria Math"/>
            <w:sz w:val="20"/>
            <w:szCs w:val="20"/>
          </w:rPr>
          <m:t>J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) from 0.108 to at most 0.118, except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1.5</m:t>
        </m:r>
        <m:sSub>
          <m:e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Δ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h</m:t>
            </m:r>
          </m:sub>
        </m:sSub>
      </m:oMath>
      <w:r>
        <w:rPr>
          <w:rFonts w:ascii="Times New Roman" w:hAnsi="Times New Roman" w:cs="Times New Roman" w:eastAsia="Times New Roman"/>
          <w:color w:val="000000"/>
        </w:rPr>
        <w:t xml:space="preserve">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which lowered it to 0.104 but more than doubled level skips. For the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metric weights, the closed loop’s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0"/>
            <w:szCs w:val="20"/>
          </w:rPr>
          <m:t>Δ</m:t>
        </m:r>
        <m:r>
          <w:rPr>
            <w:rFonts w:ascii="Cambria Math" w:hAnsi="Cambria Math"/>
            <w:sz w:val="20"/>
            <w:szCs w:val="20"/>
          </w:rPr>
          <m:t>M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stays between 0.007 and 0.017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under equal weights, the initial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0.40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/</m:t>
        </m:r>
        <m:r>
          <w:rPr>
            <w:rFonts w:ascii="Cambria Math" w:hAnsi="Cambria Math"/>
            <w:sz w:val="20"/>
            <w:szCs w:val="20"/>
          </w:rPr>
          <m:t>0.35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/</m:t>
        </m:r>
        <m:r>
          <w:rPr>
            <w:rFonts w:ascii="Cambria Math" w:hAnsi="Cambria Math"/>
            <w:sz w:val="20"/>
            <w:szCs w:val="20"/>
          </w:rPr>
          <m:t>0.25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split and three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single-feature-heavy splits (</w:t>
      </w:r>
      <m:oMath>
        <m:r>
          <w:rPr>
            <w:rFonts w:ascii="Cambria Math" w:hAnsi="Cambria Math"/>
            <w:sz w:val="20"/>
            <w:szCs w:val="20"/>
          </w:rPr>
          <m:t>0.6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/</m:t>
        </m:r>
        <m:r>
          <w:rPr>
            <w:rFonts w:ascii="Cambria Math" w:hAnsi="Cambria Math"/>
            <w:sz w:val="20"/>
            <w:szCs w:val="20"/>
          </w:rPr>
          <m:t>0.2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/</m:t>
        </m:r>
        <m:r>
          <w:rPr>
            <w:rFonts w:ascii="Cambria Math" w:hAnsi="Cambria Math"/>
            <w:sz w:val="20"/>
            <w:szCs w:val="20"/>
          </w:rPr>
          <m:t>0.2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). Dropping abstraction or depth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roughly doubles it (0.023 and 0.022) while keeping more than 99% of steps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within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ε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. Dropping element density breaks the loop: fallbacks rise to 84% and only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18% of screens are within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ε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. Changing each BKT parameter by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0"/>
            <w:szCs w:val="20"/>
          </w:rPr>
          <m:t>±</m:t>
        </m:r>
        <m:r>
          <w:rPr>
            <w:rFonts w:ascii="Cambria Math" w:hAnsi="Cambria Math"/>
            <w:sz w:val="20"/>
            <w:szCs w:val="20"/>
          </w:rPr>
          <m:t>50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%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kept every step within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ε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0"/>
            <w:szCs w:val="20"/>
          </w:rPr>
          <m:t>Δ</m:t>
        </m:r>
        <m:r>
          <w:rPr>
            <w:rFonts w:ascii="Cambria Math" w:hAnsi="Cambria Math"/>
            <w:sz w:val="20"/>
            <w:szCs w:val="20"/>
          </w:rPr>
          <m:t>M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between 0.010 and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0.017, jitter between 0.034 and 0.041 and fallbacks at 15–16%. The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parameters mainly shift when the interface escalates: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r>
          <w:rPr>
            <w:rFonts w:ascii="Cambria Math" w:hAnsi="Cambria Math"/>
            <w:sz w:val="20"/>
            <w:szCs w:val="20"/>
          </w:rPr>
          <m:t>T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and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r>
          <w:rPr>
            <w:rFonts w:ascii="Cambria Math" w:hAnsi="Cambria Math"/>
            <w:sz w:val="20"/>
            <w:szCs w:val="20"/>
          </w:rPr>
          <m:t>G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move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ITAE between 0.048 and 0.115, and skips rise to at most 1.20 per run.</w:t>
      </w:r>
    </w:p>
    <w:bookmarkEnd w:id="33"/>
    <w:bookmarkStart w:id="37" w:name="d.-bkt-saturation-and-lapse-handling"/>
    <w:p>
      <w:pPr>
        <w:pStyle w:val="Heading2"/>
      </w:pPr>
      <w:r>
        <w:rPr>
          <w:rFonts w:ascii="Times New Roman" w:hAnsi="Times New Roman" w:cs="Times New Roman" w:eastAsia="Times New Roman"/>
          <w:b w:val="0"/>
          <w:i/>
          <w:smallCaps w:val="0"/>
          <w:color w:val="000000"/>
          <w:sz w:val="20"/>
        </w:rPr>
        <w:t xml:space="preserve">D. BKT saturation and lapse handling</w:t>
      </w:r>
    </w:p>
    <w:p>
      <w:pPr>
        <w:pStyle w:val="FirstParagraph"/>
      </w:pPr>
      <w:r>
        <w:rPr>
          <w:rFonts w:ascii="Times New Roman" w:hAnsi="Times New Roman" w:cs="Times New Roman" w:eastAsia="Times New Roman"/>
          <w:color w:val="000000"/>
        </w:rPr>
        <w:t xml:space="preserve">Under correct responses the BKT estimate converges to a stable fixed point at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one [14]. With the default parameters the estimate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exceeds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1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−</m:t>
        </m:r>
        <m:sSup>
          <m:e>
            <m:r>
              <w:rPr>
                <w:rFonts w:ascii="Cambria Math" w:hAnsi="Cambria Math"/>
                <w:sz w:val="20"/>
                <w:szCs w:val="20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−</m:t>
            </m:r>
            <m:r>
              <w:rPr>
                <w:rFonts w:ascii="Cambria Math" w:hAnsi="Cambria Math"/>
                <w:sz w:val="20"/>
                <w:szCs w:val="20"/>
              </w:rPr>
              <m:t>6</m:t>
            </m:r>
          </m:sup>
        </m:sSup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after ten correct responses and five subsequent errors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lower it only to about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0.98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; after 24 correct responses it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equals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1.0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in double precision and no further evidence can lower it. The interface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then stays at its highest level through a streak of errors.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We compare two remedies: forgetting,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r>
          <w:rPr>
            <w:rFonts w:ascii="Cambria Math" w:hAnsi="Cambria Math"/>
            <w:sz w:val="20"/>
            <w:szCs w:val="20"/>
          </w:rPr>
          <m:t>F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&gt;</m:t>
        </m:r>
        <m:r>
          <w:rPr>
            <w:rFonts w:ascii="Cambria Math" w:hAnsi="Cambria Math"/>
            <w:sz w:val="20"/>
            <w:szCs w:val="20"/>
          </w:rPr>
          <m:t>0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[12],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and a CUSUM detector [40] on the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log-likelihood ratio between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“not known”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and the tracker’s prediction,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which resets the estimate to 0.5 when the sum exceeds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h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6.5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. It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accumulates only when a confident estimate is contradicted, so isolated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slips are absorbed. Forgetting uses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r>
          <w:rPr>
            <w:rFonts w:ascii="Cambria Math" w:hAnsi="Cambria Math"/>
            <w:sz w:val="20"/>
            <w:szCs w:val="20"/>
          </w:rPr>
          <m:t>F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0.02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.</w:t>
      </w:r>
    </w:p>
    <w:p>
      <w:pPr>
        <w:pStyle w:val="BodyText"/>
        <w:keepNext/>
        <w:spacing w:before="12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color w:val="000000"/>
        </w:rPr>
        <w:drawing>
          <wp:inline>
            <wp:extent cx="3200400" cy="1097279"/>
            <wp:effectExtent b="0" l="0" r="0" t="0"/>
            <wp:docPr descr="image" title="" id="35" name="Picture"/>
            <a:graphic>
              <a:graphicData uri="http://schemas.openxmlformats.org/drawingml/2006/picture">
                <pic:pic>
                  <pic:nvPicPr>
                    <pic:cNvPr descr="fig/prob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097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60" w:after="160" w:line="190" w:lineRule="exact"/>
        <w:ind w:firstLine="0"/>
        <w:jc w:val="both"/>
      </w:pPr>
      <w:r>
        <w:rPr>
          <w:rFonts w:ascii="Times New Roman" w:hAnsi="Times New Roman" w:cs="Times New Roman" w:eastAsia="Times New Roman"/>
          <w:color w:val="000000"/>
          <w:sz w:val="16"/>
        </w:rPr>
        <w:t>Fig. 4. Scripted probe: 15 correct responses, five errors, then correct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again. With plain BKT the estimate is saturated and the budget never moves.</w:t>
      </w:r>
    </w:p>
    <w:p>
      <w:pPr>
        <w:pStyle w:val="BodyText"/>
      </w:pPr>
      <w:r>
        <w:rPr>
          <w:rFonts w:ascii="Times New Roman" w:hAnsi="Times New Roman" w:cs="Times New Roman" w:eastAsia="Times New Roman"/>
          <w:color w:val="000000"/>
        </w:rPr>
        <w:t xml:space="preserve">In a scripted probe with fifteen correct responses followed by five errors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(Fig. 4), the plain closed loop never lowers the interface; the CUSUM variant drops a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level 3 items after the streak begins and forgetting after 1. To test this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at scale, a second cohort of 1,000 learners can forget the skill with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probability 0.02–0.06 per item. There the plain closed loop shows an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abstract interface to a learner who does not know the skill on 7.6% of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steps. The CUSUM detector lowers this to 5.6% (</w:t>
      </w:r>
      <m:oMath>
        <m:r>
          <m:rPr>
            <m:sty m:val="p"/>
          </m:rPr>
          <w:rPr>
            <w:rFonts w:ascii="Cambria Math" w:hAnsi="Cambria Math"/>
            <w:sz w:val="20"/>
            <w:szCs w:val="20"/>
          </w:rPr>
          <m:t>−</m:t>
        </m:r>
        <m:r>
          <w:rPr>
            <w:rFonts w:ascii="Cambria Math" w:hAnsi="Cambria Math"/>
            <w:sz w:val="20"/>
            <w:szCs w:val="20"/>
          </w:rPr>
          <m:t>25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%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) at the cost of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higher jitter (0.052 against 0.042) and an almost unchanged ITAE mismatch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(0.189 against 0.184). Forgetting lowers overload further, to 3.0%, but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underloads on 25.3% of steps against 12.8%, raises ITAE to 0.273 and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lets only 80% of learners reach level 4. Neither remedy dominates; weighting recent responses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[41] is left for future work.</w:t>
      </w:r>
    </w:p>
    <w:bookmarkEnd w:id="37"/>
    <w:bookmarkEnd w:id="38"/>
    <w:bookmarkStart w:id="39" w:name="vi.-discussion-and-limitations"/>
    <w:p>
      <w:pPr>
        <w:pStyle w:val="Heading1"/>
      </w:pPr>
      <w:r>
        <w:rPr>
          <w:rFonts w:ascii="Times New Roman" w:hAnsi="Times New Roman" w:cs="Times New Roman" w:eastAsia="Times New Roman"/>
          <w:b w:val="0"/>
          <w:i w:val="0"/>
          <w:smallCaps/>
          <w:color w:val="000000"/>
          <w:sz w:val="20"/>
        </w:rPr>
        <w:t xml:space="preserve">VI. Discussion and Limitations</w:t>
      </w:r>
    </w:p>
    <w:p>
      <w:pPr>
        <w:pStyle w:val="FirstParagraph"/>
      </w:pPr>
      <w:r>
        <w:rPr>
          <w:rFonts w:ascii="Times New Roman" w:hAnsi="Times New Roman" w:cs="Times New Roman" w:eastAsia="Times New Roman"/>
          <w:color w:val="000000"/>
        </w:rPr>
        <w:t xml:space="preserve">The benchmark tests whether the controller does what it is designed to do; it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does not test whether learners benefit. Because simulated responses do not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depend on the interface, the loop is closed only through the mastery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estimate, not through the learner.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w:rPr>
                <w:rFonts w:ascii="Cambria Math" w:hAnsi="Cambria Math"/>
                <w:sz w:val="20"/>
                <w:szCs w:val="20"/>
              </w:rPr>
              <m:t>M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I</m:t>
            </m:r>
          </m:sub>
        </m:sSub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is a structural proxy that has not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been validated against measured or perceived load, for which instruments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exist [42]; the results show structural complexity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regulation, not reduced cognitive load. BKT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parameters are design values rather than fits to tutor data;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0"/>
            <w:szCs w:val="20"/>
          </w:rPr>
          <m:t>±</m:t>
        </m:r>
        <m:r>
          <w:rPr>
            <w:rFonts w:ascii="Cambria Math" w:hAnsi="Cambria Math"/>
            <w:sz w:val="20"/>
            <w:szCs w:val="20"/>
          </w:rPr>
          <m:t>50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%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changes leave tracking intact but shift when the interface escalates. Long error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streaks may reflect misconceptions rather than slips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[24]; the controller does not distinguish these.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The surrogate plant’s fault rates match or exceed the real model’s, but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the real model was measured on single calls, not full trajectories. Its latency (median 7.7 s free,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2.7 s guided) calls for prefetching or caching.</w:t>
      </w:r>
    </w:p>
    <w:bookmarkEnd w:id="39"/>
    <w:bookmarkStart w:id="40" w:name="vii.-conclusion"/>
    <w:p>
      <w:pPr>
        <w:pStyle w:val="Heading1"/>
      </w:pPr>
      <w:r>
        <w:rPr>
          <w:rFonts w:ascii="Times New Roman" w:hAnsi="Times New Roman" w:cs="Times New Roman" w:eastAsia="Times New Roman"/>
          <w:b w:val="0"/>
          <w:i w:val="0"/>
          <w:smallCaps/>
          <w:color w:val="000000"/>
          <w:sz w:val="20"/>
        </w:rPr>
        <w:t xml:space="preserve">VII. Conclusion</w:t>
      </w:r>
    </w:p>
    <w:p>
      <w:pPr>
        <w:pStyle w:val="FirstParagraph"/>
      </w:pPr>
      <w:r>
        <w:rPr>
          <w:rFonts w:ascii="Times New Roman" w:hAnsi="Times New Roman" w:cs="Times New Roman" w:eastAsia="Times New Roman"/>
          <w:color w:val="000000"/>
        </w:rPr>
        <w:t xml:space="preserve">We coupled a learner model to a generative interface through a PID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governor, a layout planner and a validation gate, and tested the loop in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simulation. The governor’s budget is met at every step, with the gate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replacing the 15.4% of generated trees that miss it, and the interface changes 3.5 times less than an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unconstrained generator while rarely showing abstract screens to simulated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learners who have not mastered the skill. Anti-windup and the derivative filter each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matter, and a slew limit removes level skips. A CUSUM lapse detector restores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BKT’s reaction after long success runs at a modest cost in jitter. In 300 single real calls, 98.7% of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raw outputs met the budget with the planner and 92% without it. The next steps are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running full trajectories with the real model, a learned fast policy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trained on real interaction data, and a study with learners. We claim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structural budget regulation in simulation, not learning gains or reduced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cognitive load.</w:t>
      </w:r>
    </w:p>
    <w:bookmarkEnd w:id="40"/>
    <w:bookmarkStart w:id="42" w:name="code-and-data-availability"/>
    <w:p>
      <w:pPr>
        <w:pStyle w:val="Heading1"/>
      </w:pPr>
      <w:r>
        <w:rPr>
          <w:rFonts w:ascii="Times New Roman" w:hAnsi="Times New Roman" w:cs="Times New Roman" w:eastAsia="Times New Roman"/>
          <w:b w:val="0"/>
          <w:i w:val="0"/>
          <w:smallCaps/>
          <w:color w:val="000000"/>
          <w:sz w:val="20"/>
        </w:rPr>
        <w:t xml:space="preserve">Code and Data Availability</w:t>
      </w:r>
    </w:p>
    <w:p>
      <w:pPr>
        <w:pStyle w:val="FirstParagraph"/>
      </w:pPr>
      <w:r>
        <w:rPr>
          <w:rFonts w:ascii="Times New Roman" w:hAnsi="Times New Roman" w:cs="Times New Roman" w:eastAsia="Times New Roman"/>
          <w:color w:val="000000"/>
        </w:rPr>
        <w:t xml:space="preserve">The engine, simulation harness, benchmark results and the sources of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this manuscript are openly available at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hyperlink r:id="rId41">
        <w:r>
          <w:rPr>
            <w:rStyle w:val="Hyperlink"/>
          </w:rPr>
          <w:t xml:space="preserve">https://github.com/omanandswami2005/closed-loop-genui-research-implementation</w:t>
        </w:r>
      </w:hyperlink>
      <w:r>
        <w:rPr>
          <w:rFonts w:ascii="Times New Roman" w:hAnsi="Times New Roman" w:cs="Times New Roman" w:eastAsia="Times New Roman"/>
          <w:color w:val="000000"/>
        </w:rPr>
        <w:t xml:space="preserve">.</w:t>
      </w:r>
    </w:p>
    <w:bookmarkEnd w:id="42"/>
    <w:bookmarkStart w:id="81" w:name="references"/>
    <w:p>
      <w:pPr>
        <w:pStyle w:val="Heading1"/>
      </w:pPr>
      <w:r>
        <w:rPr>
          <w:rFonts w:ascii="Times New Roman" w:hAnsi="Times New Roman" w:cs="Times New Roman" w:eastAsia="Times New Roman"/>
          <w:b w:val="0"/>
          <w:i w:val="0"/>
          <w:smallCaps/>
          <w:color w:val="000000"/>
          <w:sz w:val="20"/>
        </w:rPr>
        <w:t xml:space="preserve">References</w:t>
      </w:r>
    </w:p>
    <w:p>
      <w:pPr>
        <w:pStyle w:val="FirstParagraph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[1] A. T. Corbett and J. R. Anderson,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“Knowledge tracing: Modeling the acquisition of procedural knowledge,”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User Modeling and User-Adapted Interaction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4, no. 4, pp. 253–278, 1995.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43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https://doi.org/10.1007/BF01099821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[2] S. Ritter, J. R. Anderson, K. R. Koedinger, and A. Corbett,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Cognitive Tutor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: Applied research in mathematics education,”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Psychonomic Bulletin &amp; Review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14, no. 2, pp. 249–255, 2007.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44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https://doi.org/10.3758/BF03194060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[3] K. VanLehn,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“The relative effectiveness of human tutoring, intelligent tutoring systems, and other tutoring systems,”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Educational Psychologist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46, no. 4, pp. 197–221, 2011.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45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https://doi.org/10.1080/00461520.2011.611369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[4] Y. Leviathan, D. Valevski, M. Kalman, D. Lumen, E. Segalis, E. Molad, S. Pasternak, V. Natchu, V. Nygaard, V. Srinivasan, J. Manyika, and Y. Matias,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“Generative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UI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LLMs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are effective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UI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generators,”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arXiv:2604.09577, 2026.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46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https://arxiv.org/abs/2604.09577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[5] S. Tu, Y. Li, K. Chen, S. Zhang, J. Yu, D. Zhang-Li, L. Hou, J. Li, Y. Zhang, H. Liu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et al.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MAIC-UI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: Making interactive courseware with generative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UI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arXiv:2604.25806, 2026.</w:t>
      </w:r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[6] S. Kalyuga, P. Ayres, P. Chandler, and J. Sweller,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“The expertise reversal effect,”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Educational Psychologist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38, no. 1, pp. 23–31, 2003.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47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https://doi.org/10.1207/S15326985EP3801_4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[7] A. Renkl and R. K. Atkinson,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“Structuring the transition from example study to problem solving in cognitive skill acquisition: A cognitive load perspective,”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Educational Psychologist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38, no. 1, pp. 15–22, 2003.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48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https://doi.org/10.1207/S15326985EP3801_3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[8] R. J. C. M. Salden, V. Aleven, R. Schwonke, and A. Renkl,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“The expertise reversal effect and worked examples in tutored problem solving,”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Instructional Science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38, no. 3, pp. 289–307, 2010.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49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https://doi.org/10.1007/s11251-009-9107-8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[9] K. Z. Gajos, K. Everitt, D. S. Tan, M. Czerwinski, and D. S. Weld,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“Predictability and accuracy in adaptive user interfaces,”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in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Proceedings of the SIGCHI Conference on Human Factors in Computing Systems (CHI)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. ACM, 2008, pp. 1271–1274.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50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https://doi.org/10.1145/1357054.1357252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[10] L. Findlater and J. McGrenere,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“A comparison of static, adaptive, and adaptable menus,”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in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Proceedings of the SIGCHI Conference on Human Factors in Computing Systems (CHI)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. ACM, 2004, pp. 89–96.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51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https://doi.org/10.1145/985692.985704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[11] Z. A. Pardos and N. T. Heffernan,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“Modeling individualization in a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B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ayesian networks implementation of knowledge tracing,”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in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User Modeling, Adaptation, and Personalization (UMAP 2010)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ser. Lecture Notes in Computer Science. Springer, 2010, pp. 255–266.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52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https://doi.org/10.1007/978-3-642-13470-8_24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[12] M. Khajah, R. V. Lindsey, and M. C. Mozer,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“How deep is knowledge tracing?”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in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Proceedings of the 9th International Conference on Educational Data Mining (EDM 2016)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2016.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53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https://arxiv.org/abs/1604.02416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[13] R. S. J. d. Baker, A. T. Corbett, and V. Aleven,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“More accurate student modeling through contextual estimation of slip and guess probabilities in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B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ayesian knowledge tracing,”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in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Intelligent Tutoring Systems (ITS 2008)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ser. Lecture Notes in Computer Science. Springer, 2008, pp. 406–415.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54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https://doi.org/10.1007/978-3-540-69132-7_44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[14] B. van de Sande,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“Properties of the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B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ayesian knowledge tracing model,”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Journal of Educational Data Mining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5, no. 2, pp. 1–10, 2013.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55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https://jedm.educationaldatamining.org/index.php/JEDM/article/view/35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[15] R. Pel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á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nek,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B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ayesian knowledge tracing, logistic models, and beyond: An overview of learner modeling techniques,”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User Modeling and User-Adapted Interaction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27, no. 3–5, pp. 313–350, 2017.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56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https://doi.org/10.1007/s11257-017-9193-2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[16] K. Z. Gajos, D. S. Weld, and J. O. Wobbrock,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“Automatically generating personalized user interfaces with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Supple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Artificial Intelligence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 174, no. 12–13, pp. 910–950, 2010.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57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https://doi.org/10.1016/j.artint.2010.05.005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[17] H. Levitt,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“Transformed up-down methods in psychoacoustics,”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The Journal of the Acoustical Society of America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49, no. 2B, pp. 467–477, 1971.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58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https://doi.org/10.1121/1.1912375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[18] J. Sweller,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“Cognitive load during problem solving: Effects on learning,”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Cognitive Science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12, no. 2, pp. 257–285, 1988.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59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https://doi.org/10.1207/s15516709cog1202_4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[19] ——,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“Element interactivity and intrinsic, extraneous, and germane cognitive load,”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Educational Psychology Review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22, no. 2, pp. 123–138, 2010.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60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https://doi.org/10.1007/s10648-010-9128-5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[20] J. Sweller and G. A. Cooper,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“The use of worked examples as a substitute for problem solving in learning algebra,”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Cognition and Instruction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2, no. 1, pp. 59–89, 1985.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61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https://doi.org/10.1207/s1532690xci0201_3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[21] E. R. Fyfe, N. M. McNeil, J. Y. Son, and R. L. Goldstone,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“Concreteness fading in mathematics and science instruction: A systematic review,”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Educational Psychology Review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26, no. 1, pp. 9–25, 2014.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62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https://doi.org/10.1007/s10648-014-9249-3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[22] J. Vlassis,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“The balance model: Hindrance or support for the solving of linear equations with one unknown,”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Educational Studies in Mathematics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49, no. 3, pp. 341–359, 2002.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63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https://doi.org/10.1023/A:1020229023965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[23] C. Kieran,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“Concepts associated with the equality symbol,”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Educational Studies in Mathematics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12, no. 3, pp. 317–326, 1981.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64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https://doi.org/10.1007/BF00311062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[24] J. L. Booth, C. Barbieri, F. Eyer, and E. J. Par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é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-Blagoev,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“Persistent and pernicious errors in algebraic problem solving,”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The Journal of Problem Solving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7, no. 1, 2014.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65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https://doi.org/10.7771/1932-6246.1161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[25] K. J.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Å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str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ö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m and T. H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ä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gglund,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Advanced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PID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Control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. Research Triangle Park, NC: ISA – The Instrumentation, Systems, and Automation Society, 2006.</w:t>
      </w:r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[26] K. J.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Å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str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ö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m and L. Rundqwist,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“Integrator windup and how to avoid it,”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in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1989 American Control Conference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. IEEE, 1989, pp. 1693–1698.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66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https://doi.org/10.23919/ACC.1989.4790464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[27] B. T. Willard and R. Louf,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“Efficient guided generation for large language models,”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arXiv:2307.09702, 2023.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67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https://arxiv.org/abs/2307.09702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[28] S. Geng, H. Cooper, M. Moskal, S. Jenkins, J. Berman, N. Ranchin, R. West, E. Horvitz, and H. Nori,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JSONSchemaBench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: A rigorous benchmark of structured outputs for language models,”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arXiv:2501.10868, 2025.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68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https://arxiv.org/abs/2501.10868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[29] J. Zhang, K. Vanacore, R. S. Baker, N. Ch, C. Mills, and O. Henkel,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“How much mastery is enough mastery?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The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relationship between mastery in a lesson and the performance on the subsequent lesson,”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in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Proceedings of the 18th International Conference on Educational Data Mining (EDM 2025)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2025.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69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https://doi.org/10.5281/zenodo.15870292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[30] J. G. Ziegler and N. B. Nichols,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“Optimum settings for automatic controllers,”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Transactions of the ASME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64, no. 8, pp. 759–765, 1942.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70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https://doi.org/10.1115/1.4019264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[31] S. Skogestad,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“Simple analytic rules for model reduction and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PID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controller tuning,”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Journal of Process Control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13, no. 4, pp. 291–309, 2003.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71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https://doi.org/10.1016/S0959-1524(02)00062-8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[32] D. Graham and R. C. Lathrop,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“The synthesis of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‘optimum’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transient response: Criteria and standard forms,”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Transactions of the American Institute of Electrical Engineers, Part II: Applications and Industry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72, no. 5, pp. 273–288, 1953.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72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https://doi.org/10.1109/TAI.1953.6371346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[33]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Convai Innovations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“Laya: Open-weight decision model,”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Model card,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73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https://huggingface.co/convaiinnovations/laya</w:t>
        </w:r>
      </w:hyperlink>
      <w:r>
        <w:rPr>
          <w:rFonts w:ascii="Times New Roman" w:hAnsi="Times New Roman" w:cs="Times New Roman" w:eastAsia="Times New Roman"/>
          <w:color w:val="000000"/>
          <w:sz w:val="16"/>
        </w:rPr>
        <w:t xml:space="preserve">, 2026.</w:t>
      </w:r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[34] T. S. Tullis,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“The formatting of alphanumeric displays: A review and analysis,”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Human Factors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25, no. 6, pp. 657–682, 1983.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74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https://doi.org/10.1177/001872088302500604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[35] J. I. Kiger,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“The depth/breadth trade-off in the design of menu-driven user interfaces,”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International Journal of Man-Machine Studies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20, no. 2, pp. 201–213, 1984.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75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https://doi.org/10.1016/S0020-7373(84)80018-8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[36] R. M. Dawes,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“The robust beauty of improper linear models in decision making,”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American Psychologist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34, no. 7, pp. 571–582, 1979.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76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https://doi.org/10.1037/0003-066X.34.7.571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[37] K. VanLehn, S. Ohlsson, and R. Nason,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“Applications of simulated students: An exploration,”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Journal of Artificial Intelligence in Education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5, no. 2, pp. 135–175, 1994.</w:t>
      </w:r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[38] T. K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ä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ser and G. Alexandron,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“Simulated learners in educational technology: A systematic literature review and a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T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uring-like test,”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International Journal of Artificial Intelligence in Education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34, no. 2, pp. 545–585, 2024.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77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https://doi.org/10.1007/s40593-023-00337-2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[39] S. E. Fancsali, T. Nixon, and S. Ritter,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“Optimal and worst-case performance of mastery learning assessment with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B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ayesian knowledge tracing,”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in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Proceedings of the 6th International Conference on Educational Data Mining (EDM 2013)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2013.</w:t>
      </w:r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[40] E. S. Page,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“Continuous inspection schemes,”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Biometrika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41, no. 1/2, pp. 100–115, 1954.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78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https://doi.org/10.2307/2333009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[41] A. Galyardt and I. Goldin,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“Move your lamp post: Recent data reflects learner knowledge better than older data,”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Journal of Educational Data Mining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7, no. 2, pp. 83–108, 2015.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79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https://doi.org/10.5281/zenodo.3554672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[42] J. Leppink, F. Paas, C. P. M. Van der Vleuten, T. Van Gog, and J. J. G. Van Merri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ë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nboer,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“Development of an instrument for measuring different types of cognitive load,”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Behavior Research Methods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45, no. 4, pp. 1058–1072, 2013.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80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https://doi.org/10.3758/s13428-013-0334-1</w:t>
        </w:r>
      </w:hyperlink>
    </w:p>
    <w:bookmarkEnd w:id="81"/>
    <w:sectPr>
      <w:footnotePr>
        <w:numRestart w:val="eachSect"/>
      </w:footnotePr>
      <w:type w:val="continuous"/>
      <w:pgSz w:w="12240" w:h="15840"/>
      <w:pgMar w:top="938" w:bottom="1462" w:left="960" w:right="960" w:header="432" w:footer="432" w:gutter="0"/>
      <w:cols w:num="2" w:space="2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autoHyphenation w:val="tru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0" w:line="240" w:lineRule="exact"/>
      <w:ind w:firstLine="202"/>
      <w:jc w:val="both"/>
    </w:pPr>
    <w:rPr>
      <w:rFonts w:ascii="Times New Roman" w:hAnsi="Times New Roman" w:cs="Times New Roman" w:eastAsia="Times New Roman"/>
      <w:b w:val="0"/>
      <w:i w:val="0"/>
      <w:color w:val="000000"/>
      <w:sz w:val="20"/>
    </w:rPr>
  </w:style>
  <w:style w:styleId="BodyText" w:type="paragraph">
    <w:name w:val="Body Text"/>
    <w:basedOn w:val="Normal"/>
    <w:link w:val="BodyTextChar"/>
    <w:qFormat/>
    <w:pPr>
      <w:spacing w:after="0" w:before="0" w:line="240" w:lineRule="exact"/>
      <w:ind w:firstLine="202"/>
      <w:jc w:val="both"/>
    </w:pPr>
    <w:rPr>
      <w:rFonts w:ascii="Times New Roman" w:hAnsi="Times New Roman" w:cs="Times New Roman" w:eastAsia="Times New Roman"/>
      <w:b w:val="0"/>
      <w:i w:val="0"/>
      <w:color w:val="000000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before="0" w:after="0" w:line="240" w:lineRule="exact"/>
      <w:ind w:firstLine="202"/>
      <w:jc w:val="both"/>
    </w:pPr>
    <w:rPr>
      <w:rFonts w:ascii="Times New Roman" w:hAnsi="Times New Roman" w:cs="Times New Roman" w:eastAsia="Times New Roman"/>
      <w:b w:val="0"/>
      <w:i w:val="0"/>
      <w:color w:val="000000"/>
      <w:sz w:val="20"/>
    </w:rPr>
  </w:style>
  <w:style w:customStyle="1" w:styleId="Compact" w:type="paragraph">
    <w:name w:val="Compact"/>
    <w:basedOn w:val="BodyText"/>
    <w:qFormat/>
    <w:pPr>
      <w:spacing w:after="0" w:before="0" w:line="240" w:lineRule="exact"/>
      <w:ind w:firstLine="202"/>
      <w:jc w:val="both"/>
    </w:pPr>
    <w:rPr>
      <w:rFonts w:ascii="Times New Roman" w:hAnsi="Times New Roman" w:cs="Times New Roman" w:eastAsia="Times New Roman"/>
      <w:b w:val="0"/>
      <w:i w:val="0"/>
      <w:color w:val="000000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cs="Times New Roman" w:eastAsia="Times New Roman"/>
      <w:color w:val="000000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cs="Times New Roman" w:eastAsia="Times New Roman"/>
      <w:color w:val="000000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cs="Times New Roman" w:eastAsia="Times New Roman"/>
      <w:b/>
      <w:color w:val="000000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cs="Times New Roman" w:eastAsia="Times New Roma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160" w:line="240" w:lineRule="exact"/>
      <w:ind w:firstLine="0"/>
      <w:jc w:val="center"/>
      <w:outlineLvl w:val="0"/>
    </w:pPr>
    <w:rPr>
      <w:rFonts w:ascii="Times New Roman" w:hAnsi="Times New Roman" w:cs="Times New Roman" w:eastAsia="Times New Roman"/>
      <w:b w:val="0"/>
      <w:i w:val="0"/>
      <w:smallCaps/>
      <w:color w:val="000000"/>
      <w:sz w:val="2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60" w:before="120" w:line="240" w:lineRule="exact"/>
      <w:ind w:firstLine="0"/>
      <w:jc w:val="left"/>
      <w:outlineLvl w:val="1"/>
    </w:pPr>
    <w:rPr>
      <w:rFonts w:ascii="Times New Roman" w:hAnsi="Times New Roman" w:cs="Times New Roman" w:eastAsia="Times New Roman"/>
      <w:b w:val="0"/>
      <w:i/>
      <w:smallCaps w:val="0"/>
      <w:color w:val="000000"/>
      <w:sz w:val="2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hAnsi="Times New Roman" w:cs="Times New Roman" w:eastAsia="Times New Roman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cs="Times New Roman" w:eastAsia="Times New Roman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cs="Times New Roman" w:eastAsia="Times New Roman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cs="Times New Roman" w:eastAsia="Times New Roman"/>
      <w:i/>
      <w:iCs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cs="Times New Roman" w:eastAsia="Times New Roman"/>
      <w:color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cs="Times New Roman" w:eastAsia="Times New Roman"/>
      <w:i/>
      <w:iCs/>
      <w:color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cs="Times New Roman" w:eastAsia="Times New Roman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34" Type="http://schemas.openxmlformats.org/officeDocument/2006/relationships/image" Target="media/rId34.png"/><Relationship Id="rId28" Type="http://schemas.openxmlformats.org/officeDocument/2006/relationships/image" Target="media/rId28.png"/><Relationship Id="rId17" Type="http://schemas.openxmlformats.org/officeDocument/2006/relationships/image" Target="media/rId17.png"/><Relationship Id="rId20" Type="http://schemas.openxmlformats.org/officeDocument/2006/relationships/image" Target="media/rId20.png"/><Relationship Id="rId53" Type="http://schemas.openxmlformats.org/officeDocument/2006/relationships/hyperlink" Target="https://arxiv.org/abs/1604.02416" TargetMode="External"/><Relationship Id="rId67" Type="http://schemas.openxmlformats.org/officeDocument/2006/relationships/hyperlink" Target="https://arxiv.org/abs/2307.09702" TargetMode="External"/><Relationship Id="rId68" Type="http://schemas.openxmlformats.org/officeDocument/2006/relationships/hyperlink" Target="https://arxiv.org/abs/2501.10868" TargetMode="External"/><Relationship Id="rId46" Type="http://schemas.openxmlformats.org/officeDocument/2006/relationships/hyperlink" Target="https://arxiv.org/abs/2604.09577" TargetMode="External"/><Relationship Id="rId54" Type="http://schemas.openxmlformats.org/officeDocument/2006/relationships/hyperlink" Target="https://doi.org/10.1007/978-3-540-69132-7_44" TargetMode="External"/><Relationship Id="rId52" Type="http://schemas.openxmlformats.org/officeDocument/2006/relationships/hyperlink" Target="https://doi.org/10.1007/978-3-642-13470-8_24" TargetMode="External"/><Relationship Id="rId64" Type="http://schemas.openxmlformats.org/officeDocument/2006/relationships/hyperlink" Target="https://doi.org/10.1007/BF00311062" TargetMode="External"/><Relationship Id="rId43" Type="http://schemas.openxmlformats.org/officeDocument/2006/relationships/hyperlink" Target="https://doi.org/10.1007/BF01099821" TargetMode="External"/><Relationship Id="rId60" Type="http://schemas.openxmlformats.org/officeDocument/2006/relationships/hyperlink" Target="https://doi.org/10.1007/s10648-010-9128-5" TargetMode="External"/><Relationship Id="rId62" Type="http://schemas.openxmlformats.org/officeDocument/2006/relationships/hyperlink" Target="https://doi.org/10.1007/s10648-014-9249-3" TargetMode="External"/><Relationship Id="rId49" Type="http://schemas.openxmlformats.org/officeDocument/2006/relationships/hyperlink" Target="https://doi.org/10.1007/s11251-009-9107-8" TargetMode="External"/><Relationship Id="rId56" Type="http://schemas.openxmlformats.org/officeDocument/2006/relationships/hyperlink" Target="https://doi.org/10.1007/s11257-017-9193-2" TargetMode="External"/><Relationship Id="rId77" Type="http://schemas.openxmlformats.org/officeDocument/2006/relationships/hyperlink" Target="https://doi.org/10.1007/s40593-023-00337-2" TargetMode="External"/><Relationship Id="rId75" Type="http://schemas.openxmlformats.org/officeDocument/2006/relationships/hyperlink" Target="https://doi.org/10.1016/S0020-7373(84)80018-8" TargetMode="External"/><Relationship Id="rId71" Type="http://schemas.openxmlformats.org/officeDocument/2006/relationships/hyperlink" Target="https://doi.org/10.1016/S0959-1524(02)00062-8" TargetMode="External"/><Relationship Id="rId57" Type="http://schemas.openxmlformats.org/officeDocument/2006/relationships/hyperlink" Target="https://doi.org/10.1016/j.artint.2010.05.005" TargetMode="External"/><Relationship Id="rId63" Type="http://schemas.openxmlformats.org/officeDocument/2006/relationships/hyperlink" Target="https://doi.org/10.1023/A:1020229023965" TargetMode="External"/><Relationship Id="rId76" Type="http://schemas.openxmlformats.org/officeDocument/2006/relationships/hyperlink" Target="https://doi.org/10.1037/0003-066X.34.7.571" TargetMode="External"/><Relationship Id="rId45" Type="http://schemas.openxmlformats.org/officeDocument/2006/relationships/hyperlink" Target="https://doi.org/10.1080/00461520.2011.611369" TargetMode="External"/><Relationship Id="rId72" Type="http://schemas.openxmlformats.org/officeDocument/2006/relationships/hyperlink" Target="https://doi.org/10.1109/TAI.1953.6371346" TargetMode="External"/><Relationship Id="rId70" Type="http://schemas.openxmlformats.org/officeDocument/2006/relationships/hyperlink" Target="https://doi.org/10.1115/1.4019264" TargetMode="External"/><Relationship Id="rId58" Type="http://schemas.openxmlformats.org/officeDocument/2006/relationships/hyperlink" Target="https://doi.org/10.1121/1.1912375" TargetMode="External"/><Relationship Id="rId50" Type="http://schemas.openxmlformats.org/officeDocument/2006/relationships/hyperlink" Target="https://doi.org/10.1145/1357054.1357252" TargetMode="External"/><Relationship Id="rId51" Type="http://schemas.openxmlformats.org/officeDocument/2006/relationships/hyperlink" Target="https://doi.org/10.1145/985692.985704" TargetMode="External"/><Relationship Id="rId74" Type="http://schemas.openxmlformats.org/officeDocument/2006/relationships/hyperlink" Target="https://doi.org/10.1177/001872088302500604" TargetMode="External"/><Relationship Id="rId48" Type="http://schemas.openxmlformats.org/officeDocument/2006/relationships/hyperlink" Target="https://doi.org/10.1207/S15326985EP3801_3" TargetMode="External"/><Relationship Id="rId47" Type="http://schemas.openxmlformats.org/officeDocument/2006/relationships/hyperlink" Target="https://doi.org/10.1207/S15326985EP3801_4" TargetMode="External"/><Relationship Id="rId61" Type="http://schemas.openxmlformats.org/officeDocument/2006/relationships/hyperlink" Target="https://doi.org/10.1207/s1532690xci0201_3" TargetMode="External"/><Relationship Id="rId59" Type="http://schemas.openxmlformats.org/officeDocument/2006/relationships/hyperlink" Target="https://doi.org/10.1207/s15516709cog1202_4" TargetMode="External"/><Relationship Id="rId78" Type="http://schemas.openxmlformats.org/officeDocument/2006/relationships/hyperlink" Target="https://doi.org/10.2307/2333009" TargetMode="External"/><Relationship Id="rId66" Type="http://schemas.openxmlformats.org/officeDocument/2006/relationships/hyperlink" Target="https://doi.org/10.23919/ACC.1989.4790464" TargetMode="External"/><Relationship Id="rId44" Type="http://schemas.openxmlformats.org/officeDocument/2006/relationships/hyperlink" Target="https://doi.org/10.3758/BF03194060" TargetMode="External"/><Relationship Id="rId80" Type="http://schemas.openxmlformats.org/officeDocument/2006/relationships/hyperlink" Target="https://doi.org/10.3758/s13428-013-0334-1" TargetMode="External"/><Relationship Id="rId69" Type="http://schemas.openxmlformats.org/officeDocument/2006/relationships/hyperlink" Target="https://doi.org/10.5281/zenodo.15870292" TargetMode="External"/><Relationship Id="rId79" Type="http://schemas.openxmlformats.org/officeDocument/2006/relationships/hyperlink" Target="https://doi.org/10.5281/zenodo.3554672" TargetMode="External"/><Relationship Id="rId65" Type="http://schemas.openxmlformats.org/officeDocument/2006/relationships/hyperlink" Target="https://doi.org/10.7771/1932-6246.1161" TargetMode="External"/><Relationship Id="rId41" Type="http://schemas.openxmlformats.org/officeDocument/2006/relationships/hyperlink" Target="https://github.com/omanandswami2005/closed-loop-genui-research-implementation" TargetMode="External"/><Relationship Id="rId73" Type="http://schemas.openxmlformats.org/officeDocument/2006/relationships/hyperlink" Target="https://huggingface.co/convaiinnovations/laya" TargetMode="External"/><Relationship Id="rId55" Type="http://schemas.openxmlformats.org/officeDocument/2006/relationships/hyperlink" Target="https://jedm.educationaldatamining.org/index.php/JEDM/article/view/35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arxiv.org/abs/1604.02416" TargetMode="External"/><Relationship Id="rId67" Type="http://schemas.openxmlformats.org/officeDocument/2006/relationships/hyperlink" Target="https://arxiv.org/abs/2307.09702" TargetMode="External"/><Relationship Id="rId68" Type="http://schemas.openxmlformats.org/officeDocument/2006/relationships/hyperlink" Target="https://arxiv.org/abs/2501.10868" TargetMode="External"/><Relationship Id="rId46" Type="http://schemas.openxmlformats.org/officeDocument/2006/relationships/hyperlink" Target="https://arxiv.org/abs/2604.09577" TargetMode="External"/><Relationship Id="rId54" Type="http://schemas.openxmlformats.org/officeDocument/2006/relationships/hyperlink" Target="https://doi.org/10.1007/978-3-540-69132-7_44" TargetMode="External"/><Relationship Id="rId52" Type="http://schemas.openxmlformats.org/officeDocument/2006/relationships/hyperlink" Target="https://doi.org/10.1007/978-3-642-13470-8_24" TargetMode="External"/><Relationship Id="rId64" Type="http://schemas.openxmlformats.org/officeDocument/2006/relationships/hyperlink" Target="https://doi.org/10.1007/BF00311062" TargetMode="External"/><Relationship Id="rId43" Type="http://schemas.openxmlformats.org/officeDocument/2006/relationships/hyperlink" Target="https://doi.org/10.1007/BF01099821" TargetMode="External"/><Relationship Id="rId60" Type="http://schemas.openxmlformats.org/officeDocument/2006/relationships/hyperlink" Target="https://doi.org/10.1007/s10648-010-9128-5" TargetMode="External"/><Relationship Id="rId62" Type="http://schemas.openxmlformats.org/officeDocument/2006/relationships/hyperlink" Target="https://doi.org/10.1007/s10648-014-9249-3" TargetMode="External"/><Relationship Id="rId49" Type="http://schemas.openxmlformats.org/officeDocument/2006/relationships/hyperlink" Target="https://doi.org/10.1007/s11251-009-9107-8" TargetMode="External"/><Relationship Id="rId56" Type="http://schemas.openxmlformats.org/officeDocument/2006/relationships/hyperlink" Target="https://doi.org/10.1007/s11257-017-9193-2" TargetMode="External"/><Relationship Id="rId77" Type="http://schemas.openxmlformats.org/officeDocument/2006/relationships/hyperlink" Target="https://doi.org/10.1007/s40593-023-00337-2" TargetMode="External"/><Relationship Id="rId75" Type="http://schemas.openxmlformats.org/officeDocument/2006/relationships/hyperlink" Target="https://doi.org/10.1016/S0020-7373(84)80018-8" TargetMode="External"/><Relationship Id="rId71" Type="http://schemas.openxmlformats.org/officeDocument/2006/relationships/hyperlink" Target="https://doi.org/10.1016/S0959-1524(02)00062-8" TargetMode="External"/><Relationship Id="rId57" Type="http://schemas.openxmlformats.org/officeDocument/2006/relationships/hyperlink" Target="https://doi.org/10.1016/j.artint.2010.05.005" TargetMode="External"/><Relationship Id="rId63" Type="http://schemas.openxmlformats.org/officeDocument/2006/relationships/hyperlink" Target="https://doi.org/10.1023/A:1020229023965" TargetMode="External"/><Relationship Id="rId76" Type="http://schemas.openxmlformats.org/officeDocument/2006/relationships/hyperlink" Target="https://doi.org/10.1037/0003-066X.34.7.571" TargetMode="External"/><Relationship Id="rId45" Type="http://schemas.openxmlformats.org/officeDocument/2006/relationships/hyperlink" Target="https://doi.org/10.1080/00461520.2011.611369" TargetMode="External"/><Relationship Id="rId72" Type="http://schemas.openxmlformats.org/officeDocument/2006/relationships/hyperlink" Target="https://doi.org/10.1109/TAI.1953.6371346" TargetMode="External"/><Relationship Id="rId70" Type="http://schemas.openxmlformats.org/officeDocument/2006/relationships/hyperlink" Target="https://doi.org/10.1115/1.4019264" TargetMode="External"/><Relationship Id="rId58" Type="http://schemas.openxmlformats.org/officeDocument/2006/relationships/hyperlink" Target="https://doi.org/10.1121/1.1912375" TargetMode="External"/><Relationship Id="rId50" Type="http://schemas.openxmlformats.org/officeDocument/2006/relationships/hyperlink" Target="https://doi.org/10.1145/1357054.1357252" TargetMode="External"/><Relationship Id="rId51" Type="http://schemas.openxmlformats.org/officeDocument/2006/relationships/hyperlink" Target="https://doi.org/10.1145/985692.985704" TargetMode="External"/><Relationship Id="rId74" Type="http://schemas.openxmlformats.org/officeDocument/2006/relationships/hyperlink" Target="https://doi.org/10.1177/001872088302500604" TargetMode="External"/><Relationship Id="rId48" Type="http://schemas.openxmlformats.org/officeDocument/2006/relationships/hyperlink" Target="https://doi.org/10.1207/S15326985EP3801_3" TargetMode="External"/><Relationship Id="rId47" Type="http://schemas.openxmlformats.org/officeDocument/2006/relationships/hyperlink" Target="https://doi.org/10.1207/S15326985EP3801_4" TargetMode="External"/><Relationship Id="rId61" Type="http://schemas.openxmlformats.org/officeDocument/2006/relationships/hyperlink" Target="https://doi.org/10.1207/s1532690xci0201_3" TargetMode="External"/><Relationship Id="rId59" Type="http://schemas.openxmlformats.org/officeDocument/2006/relationships/hyperlink" Target="https://doi.org/10.1207/s15516709cog1202_4" TargetMode="External"/><Relationship Id="rId78" Type="http://schemas.openxmlformats.org/officeDocument/2006/relationships/hyperlink" Target="https://doi.org/10.2307/2333009" TargetMode="External"/><Relationship Id="rId66" Type="http://schemas.openxmlformats.org/officeDocument/2006/relationships/hyperlink" Target="https://doi.org/10.23919/ACC.1989.4790464" TargetMode="External"/><Relationship Id="rId44" Type="http://schemas.openxmlformats.org/officeDocument/2006/relationships/hyperlink" Target="https://doi.org/10.3758/BF03194060" TargetMode="External"/><Relationship Id="rId80" Type="http://schemas.openxmlformats.org/officeDocument/2006/relationships/hyperlink" Target="https://doi.org/10.3758/s13428-013-0334-1" TargetMode="External"/><Relationship Id="rId69" Type="http://schemas.openxmlformats.org/officeDocument/2006/relationships/hyperlink" Target="https://doi.org/10.5281/zenodo.15870292" TargetMode="External"/><Relationship Id="rId79" Type="http://schemas.openxmlformats.org/officeDocument/2006/relationships/hyperlink" Target="https://doi.org/10.5281/zenodo.3554672" TargetMode="External"/><Relationship Id="rId65" Type="http://schemas.openxmlformats.org/officeDocument/2006/relationships/hyperlink" Target="https://doi.org/10.7771/1932-6246.1161" TargetMode="External"/><Relationship Id="rId41" Type="http://schemas.openxmlformats.org/officeDocument/2006/relationships/hyperlink" Target="https://github.com/omanandswami2005/closed-loop-genui-research-implementation" TargetMode="External"/><Relationship Id="rId73" Type="http://schemas.openxmlformats.org/officeDocument/2006/relationships/hyperlink" Target="https://huggingface.co/convaiinnovations/laya" TargetMode="External"/><Relationship Id="rId55" Type="http://schemas.openxmlformats.org/officeDocument/2006/relationships/hyperlink" Target="https://jedm.educationaldatamining.org/index.php/JEDM/article/view/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Learner-State-Aware Generative User Interfaces: A Closed-Loop Control Architecture for Adaptive Learning Environments</dc:title>
  <dc:creator>Omanand Prashant Swami</dc:creator>
  <cp:keywords/>
  <dcterms:created xsi:type="dcterms:W3CDTF">2026-10-04T17:55:49Z</dcterms:created>
  <dcterms:modified xsi:type="dcterms:W3CDTF">2026-10-04T17:55:49Z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