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48"/>
        </w:rPr>
        <w:t>Learner-State-Aware Generative User Interfaces: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48"/>
        </w:rPr>
        <w:t>A Closed-Loop Control Architecture for Adaptive Learning Environments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Omanand Prashant Swami, Sanjana Shashikant Chavan, K. V. Deshpande,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Pratik Rajendra Patil, Abhishek Ganesh Tirpude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Dept. of Computer Science and Business Systems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JSPM's Rajarshi Shahu College of Engineering, Pune, India</w:t>
      </w:r>
    </w:p>
    <w:p>
      <w:pPr>
        <w:spacing w:before="0" w:after="280" w:line="240" w:lineRule="auto"/>
        <w:ind w:firstLine="0"/>
        <w:jc w:val="center"/>
        <w:sectPr>
          <w:footnotePr>
            <w:numRestart w:val="eachSect"/>
          </w:footnotePr>
          <w:type w:val="continuous"/>
          <w:pgSz w:w="12240" w:h="15840"/>
          <w:pgMar w:top="938" w:bottom="1462" w:left="960" w:right="960" w:header="432" w:footer="432" w:gutter="0"/>
          <w:cols w:num="1" w:space="240"/>
        </w:sect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{opswami_csbs, sschavan_csbs, kvdeshpande_comp, prpatil_csbs, agtirpude_csbs}@jspmrscoe.edu.in</w:t>
      </w:r>
    </w:p>
    <w:p>
      <w:pPr>
        <w:pStyle w:val="FirstParagraph"/>
        <w:spacing w:before="0" w:after="80" w:line="210" w:lineRule="exact"/>
        <w:ind w:firstLine="202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18"/>
        </w:rPr>
        <w:t>Abstract—</w:t>
      </w:r>
      <w:r>
        <w:rPr>
          <w:rFonts w:ascii="Times New Roman" w:hAnsi="Times New Roman" w:cs="Times New Roman" w:eastAsia="Times New Roman"/>
          <w:b/>
          <w:color w:val="000000"/>
          <w:sz w:val="18"/>
        </w:rPr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Intelligent tutoring systems estimate what a learner knows but present a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fixed interface, while generative user interfaces (GenUI) synthesize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interfaces at runtime without any model of the learner. We propose a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closed-loop architecture that couples the two. Bayesian Knowledge Tracing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estimates mastery; a PID governor turns the mastery deficit into a structural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complexity budget; a rule-based policy selects scaffolding; a planner fixes the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layout closest to the budget; and a foundation model writes its content as a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JSON component tree, with a fallback when schema or budget checks fail. We evaluate the architecture in silico on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1,000 synthetic learners from three archetypes, replayed through four arms.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The closed loop keeps the rendered interface within 0.012 of the governor’s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budget on average, against 0.131 for unconstrained GenUI and 0.123 for a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rule-based baseline, with 3.5 times less jitter than unconstrained GenUI,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which matches latent mastery slightly better but skips levels three times as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often. Standard BKT saturates after long success runs, so a later streak of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errors leaves the interface unchanged; a CUSUM lapse detector cuts overload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in a forgetting cohort by 25%. In 300 single calls to the real model with the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planner (not full learner sessions), 98.7% of screens were within budget, against 92% when the model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also chose the layout. All claims concern algorithmic behavior;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no learning gains are claimed.</w:t>
      </w:r>
    </w:p>
    <w:p>
      <w:pPr>
        <w:pStyle w:val="BodyText"/>
        <w:spacing w:before="0" w:after="80" w:line="210" w:lineRule="exact"/>
        <w:ind w:firstLine="202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18"/>
        </w:rPr>
        <w:t>Index Terms—</w:t>
      </w:r>
      <w:r>
        <w:rPr>
          <w:rFonts w:ascii="Times New Roman" w:hAnsi="Times New Roman" w:cs="Times New Roman" w:eastAsia="Times New Roman"/>
          <w:b/>
          <w:color w:val="000000"/>
          <w:sz w:val="18"/>
        </w:rPr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generative user interfaces, Bayesian knowledge tracing, PID control,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18"/>
        </w:rPr>
        <w:t xml:space="preserve">cognitive load, adaptive learning, simulation</w:t>
      </w:r>
    </w:p>
    <w:bookmarkStart w:id="9" w:name="i.-introduction"/>
    <w:p>
      <w:pPr>
        <w:pStyle w:val="Heading1"/>
      </w:pPr>
      <w:r>
        <w:rPr>
          <w:rFonts w:ascii="Times New Roman" w:hAnsi="Times New Roman" w:cs="Times New Roman" w:eastAsia="Times New Roman"/>
          <w:b w:val="0"/>
          <w:i w:val="0"/>
          <w:smallCaps/>
          <w:color w:val="000000"/>
          <w:sz w:val="20"/>
        </w:rPr>
        <w:t xml:space="preserve">I. Introduction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Intelligent tutoring systems (ITS) have long modeled learners precisely.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Knowledge tracing maintains a probability that a learner has mastered each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knowledge component [1], 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tutors built on it have been deployed at scale in mathematics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[2], [3]. Their interface,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however, is authored in advance: the learner model selects the next problem,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not its presentation.</w:t>
      </w:r>
    </w:p>
    <w:p>
      <w:pPr>
        <w:pStyle w:val="BodyText"/>
      </w:pPr>
      <w:r>
        <w:rPr>
          <w:rFonts w:ascii="Times New Roman" w:hAnsi="Times New Roman" w:cs="Times New Roman" w:eastAsia="Times New Roman"/>
          <w:color w:val="000000"/>
        </w:rPr>
        <w:t xml:space="preserve">Generative user interfaces take the opposite position. A foundation model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produces a task-specific interface for each request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[4], including interactive courseware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[5]. These systems are open loop: the model does not observe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learner’s state, and nothing bounds how complex the generated interface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becomes.</w:t>
      </w:r>
    </w:p>
    <w:p>
      <w:pPr>
        <w:pStyle w:val="BodyText"/>
      </w:pPr>
      <w:r>
        <w:rPr>
          <w:rFonts w:ascii="Times New Roman" w:hAnsi="Times New Roman" w:cs="Times New Roman" w:eastAsia="Times New Roman"/>
          <w:color w:val="000000"/>
        </w:rPr>
        <w:t xml:space="preserve">Cognitive load theory explains why this matters. The same material can help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 novice and hinder an expert (the expertise reversal effect)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[6], and guidance should fade as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competence grows [7], [8]. An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adaptive interface therefore needs a learner model and a mechanism that holds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its complexity to that model without the abrupt changes that make adaptive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interfaces hard to use [9], [10].</w:t>
      </w:r>
    </w:p>
    <w:p>
      <w:pPr>
        <w:pStyle w:val="BodyText"/>
      </w:pPr>
      <w:r>
        <w:rPr>
          <w:rFonts w:ascii="Times New Roman" w:hAnsi="Times New Roman" w:cs="Times New Roman" w:eastAsia="Times New Roman"/>
          <w:color w:val="000000"/>
        </w:rPr>
        <w:t xml:space="preserve">BKT, PID control, layout search and constrained generation are each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established; our contribution is their integration, in which a learner model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sets a structural budget that a generated interface must meet at runtime:</w:t>
      </w:r>
    </w:p>
    <w:p>
      <w:pPr>
        <w:numPr>
          <w:ilvl w:val="0"/>
          <w:numId w:val="1001"/>
        </w:numPr>
      </w:pPr>
      <w:r>
        <w:rPr>
          <w:rFonts w:ascii="Times New Roman" w:hAnsi="Times New Roman" w:cs="Times New Roman" w:eastAsia="Times New Roman"/>
          <w:color w:val="000000"/>
        </w:rPr>
        <w:t xml:space="preserve">A closed loop in which BKT mastery drives a PID governor whose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complexity budget is met by a layout planner and a generative model, with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schema validation and a fallback.</w:t>
      </w:r>
    </w:p>
    <w:p>
      <w:pPr>
        <w:numPr>
          <w:ilvl w:val="0"/>
          <w:numId w:val="1001"/>
        </w:numPr>
      </w:pPr>
      <w:r>
        <w:rPr>
          <w:rFonts w:ascii="Times New Roman" w:hAnsi="Times New Roman" w:cs="Times New Roman" w:eastAsia="Times New Roman"/>
          <w:color w:val="000000"/>
        </w:rPr>
        <w:t xml:space="preserve">A computable structural complexity metric over a component tree for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linear-equation tasks, built from features linked to cognitive load.</w:t>
      </w:r>
    </w:p>
    <w:p>
      <w:pPr>
        <w:numPr>
          <w:ilvl w:val="0"/>
          <w:numId w:val="1001"/>
        </w:numPr>
      </w:pPr>
      <w:r>
        <w:rPr>
          <w:rFonts w:ascii="Times New Roman" w:hAnsi="Times New Roman" w:cs="Times New Roman" w:eastAsia="Times New Roman"/>
          <w:color w:val="000000"/>
        </w:rPr>
        <w:t xml:space="preserve">An in-silico benchmark of 1,000 synthetic learners across four arms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ablations, including an analysis of BKT saturation after success runs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two remedies, with sensitivity to controller, metric and BKT parameters.</w:t>
      </w:r>
    </w:p>
    <w:bookmarkEnd w:id="9"/>
    <w:bookmarkStart w:id="10" w:name="ii.-related-work"/>
    <w:p>
      <w:pPr>
        <w:pStyle w:val="Heading1"/>
      </w:pPr>
      <w:r>
        <w:rPr>
          <w:rFonts w:ascii="Times New Roman" w:hAnsi="Times New Roman" w:cs="Times New Roman" w:eastAsia="Times New Roman"/>
          <w:b w:val="0"/>
          <w:i w:val="0"/>
          <w:smallCaps/>
          <w:color w:val="000000"/>
          <w:sz w:val="20"/>
        </w:rPr>
        <w:t xml:space="preserve">II. Related Work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Learner modeling: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Bayesian Knowledge Tracing (BKT) models each knowledge component as a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two-state hidden Markov model with prior, learning, guess and slip parameters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[1]. Extensions individualize parameters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[11], add forgetting [12] or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contextualize guess and slip [13]; its fixed points are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analyzed in [14]. Extended BKT stays competitive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with logistic and deep models [12], [15]; its state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a probability that can serve directly as a control variable.</w:t>
      </w:r>
    </w:p>
    <w:p>
      <w:pPr>
        <w:pStyle w:val="BodyText"/>
      </w:pP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Adaptive and generative interfaces: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Model-based interface generation [16] adapts presentation to users, but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adaptation has costs: unpredictable changes reduce usability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[9], [10]. Recent GenUI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systems let a large language model produce the interface itself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[4], [5]. To our knowledge, none of these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systems bounds the generated interface by a learner model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(Table I).</w:t>
      </w:r>
    </w:p>
    <w:p>
      <w:pPr>
        <w:pStyle w:val="BodyText"/>
        <w:keepNext/>
        <w:spacing w:before="120" w:after="0" w:line="190" w:lineRule="exact"/>
        <w:ind w:firstLine="0"/>
        <w:jc w:val="center"/>
      </w:pPr>
      <w:r>
        <w:rPr>
          <w:rFonts w:ascii="Times New Roman" w:hAnsi="Times New Roman" w:cs="Times New Roman" w:eastAsia="Times New Roman"/>
          <w:smallCaps w:val="0"/>
          <w:color w:val="000000"/>
          <w:sz w:val="16"/>
        </w:rPr>
        <w:t>TABLE I</w:t>
      </w:r>
    </w:p>
    <w:p>
      <w:pPr>
        <w:pStyle w:val="BodyText"/>
        <w:keepNext/>
        <w:spacing w:before="0" w:after="60" w:line="190" w:lineRule="exact"/>
        <w:ind w:firstLine="0"/>
        <w:jc w:val="center"/>
      </w:pPr>
      <w:r>
        <w:rPr>
          <w:rFonts w:ascii="Times New Roman" w:hAnsi="Times New Roman" w:cs="Times New Roman" w:eastAsia="Times New Roman"/>
          <w:smallCaps/>
          <w:color w:val="000000"/>
          <w:sz w:val="16"/>
        </w:rPr>
        <w:t>Prior approaches against the three properties combined here</w:t>
      </w:r>
    </w:p>
    <w:tbl>
      <w:tblPr>
        <w:tblStyle w:val="Table"/>
        <w:tblW w:w="5038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475"/>
        <w:gridCol w:w="921"/>
        <w:gridCol w:w="1167"/>
        <w:gridCol w:w="1475"/>
      </w:tblGrid>
      <w:tr>
        <w:trPr>
          <w:tblHeader w:val="on"/>
          <w:cantSplit/>
        </w:trPr>
        <w:tc>
          <w:tcPr>
            <w:tcW w:w="1475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Approach</w:t>
            </w:r>
          </w:p>
        </w:tc>
        <w:tc>
          <w:tcPr>
            <w:tcW w:w="921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Knowledge model</w:t>
            </w:r>
          </w:p>
        </w:tc>
        <w:tc>
          <w:tcPr>
            <w:tcW w:w="1167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Generated interface</w:t>
            </w:r>
          </w:p>
        </w:tc>
        <w:tc>
          <w:tcPr>
            <w:tcW w:w="1475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Bounded by learner state</w:t>
            </w:r>
          </w:p>
        </w:tc>
      </w:tr>
      <w:tr>
        <w:trPr>
          <w:cantSplit/>
        </w:trPr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Tracing tutors [1], [2]</w:t>
            </w:r>
          </w:p>
        </w:tc>
        <w:tc>
          <w:tcPr>
            <w:tcW w:w="92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yes</w:t>
            </w:r>
          </w:p>
        </w:tc>
        <w:tc>
          <w:tcPr>
            <w:tcW w:w="1167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no</w:t>
            </w:r>
          </w:p>
        </w:tc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Adaptive fading [8]</w:t>
            </w:r>
          </w:p>
        </w:tc>
        <w:tc>
          <w:tcPr>
            <w:tcW w:w="92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yes</w:t>
            </w:r>
          </w:p>
        </w:tc>
        <w:tc>
          <w:tcPr>
            <w:tcW w:w="1167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no</w:t>
            </w:r>
          </w:p>
        </w:tc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fixed rule</w:t>
            </w:r>
          </w:p>
        </w:tc>
      </w:tr>
      <w:tr>
        <w:trPr>
          <w:cantSplit/>
        </w:trPr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Model-based UI [16]</w:t>
            </w:r>
          </w:p>
        </w:tc>
        <w:tc>
          <w:tcPr>
            <w:tcW w:w="92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no</w:t>
            </w:r>
          </w:p>
        </w:tc>
        <w:tc>
          <w:tcPr>
            <w:tcW w:w="1167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yes</w:t>
            </w:r>
          </w:p>
        </w:tc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LLM-based GenUI [4], [5]</w:t>
            </w:r>
          </w:p>
        </w:tc>
        <w:tc>
          <w:tcPr>
            <w:tcW w:w="92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no</w:t>
            </w:r>
          </w:p>
        </w:tc>
        <w:tc>
          <w:tcPr>
            <w:tcW w:w="1167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yes</w:t>
            </w:r>
          </w:p>
        </w:tc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This work</w:t>
            </w:r>
          </w:p>
        </w:tc>
        <w:tc>
          <w:tcPr>
            <w:tcW w:w="921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yes</w:t>
            </w:r>
          </w:p>
        </w:tc>
        <w:tc>
          <w:tcPr>
            <w:tcW w:w="1167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yes</w:t>
            </w:r>
          </w:p>
        </w:tc>
        <w:tc>
          <w:tcPr>
            <w:tcW w:w="1475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yes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Cognitive load and scaffolding: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Cognitive load theory [17]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attributes intrinsic load to element interactivity [18].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Worked examples help algebra novices [19] and should fade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into problem solving [7], [8], as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concrete representations should fade into symbolic ones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[20]. The balance model aids early understanding of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linear equations but fails with negative quantities [21],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misconceptions about equality persist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[22], [23].</w:t>
      </w:r>
    </w:p>
    <w:p>
      <w:pPr>
        <w:pStyle w:val="BodyText"/>
      </w:pP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Control and constrained generation: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PID control with anti-windup and derivative filtering is standard practice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[24], [25]. Constrained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decoding guarantees well-formed model output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[26], though schema-constrained output is not perfectly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reliable in practice [27].</w:t>
      </w:r>
    </w:p>
    <w:bookmarkEnd w:id="10"/>
    <w:bookmarkStart w:id="25" w:name="iii.-architecture"/>
    <w:p>
      <w:pPr>
        <w:pStyle w:val="Heading1"/>
      </w:pPr>
      <w:r>
        <w:rPr>
          <w:rFonts w:ascii="Times New Roman" w:hAnsi="Times New Roman" w:cs="Times New Roman" w:eastAsia="Times New Roman"/>
          <w:b w:val="0"/>
          <w:i w:val="0"/>
          <w:smallCaps/>
          <w:color w:val="000000"/>
          <w:sz w:val="20"/>
        </w:rPr>
        <w:t xml:space="preserve">III. Architecture</w:t>
      </w:r>
    </w:p>
    <w:p>
      <w:pPr>
        <w:pStyle w:val="BodyText"/>
        <w:keepNext/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</w:rPr>
        <w:drawing>
          <wp:inline>
            <wp:extent cx="2944368" cy="1410108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fig/architec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68" cy="1410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60" w:after="160" w:line="190" w:lineRule="exact"/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16"/>
        </w:rPr>
        <w:t>Fig. 1. The closed loop as deployed. The gate rechecks the budget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(dashed); failing trees are replaced from the fallback catalog. The learner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(shaded) is simulated here.</w:t>
      </w:r>
    </w:p>
    <w:p>
      <w:pPr>
        <w:pStyle w:val="BodyText"/>
      </w:pPr>
      <w:r>
        <w:rPr>
          <w:rFonts w:ascii="Times New Roman" w:hAnsi="Times New Roman" w:cs="Times New Roman" w:eastAsia="Times New Roman"/>
          <w:color w:val="000000"/>
        </w:rPr>
        <w:t xml:space="preserve">The loop has five stages (Fig. 1): a psychometric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estimator, a complexity governor, a fast policy, a layout planner, and a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generative plant whose output passes a validation gate before a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deterministic client renders it.</w:t>
      </w:r>
    </w:p>
    <w:bookmarkStart w:id="14" w:name="a.-mastery-estimation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A. Mastery estimation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After response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{</m:t>
        </m:r>
        <m:r>
          <w:rPr>
            <w:rFonts w:ascii="Cambria Math" w:hAnsi="Cambria Math"/>
            <w:sz w:val="20"/>
            <w:szCs w:val="20"/>
          </w:rPr>
          <m:t>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}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mastery estimate is updated by Bayes’ rule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the learning transition [1]. Writing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g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G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∣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</w:p>
    <w:p>
      <w:pPr>
        <w:pStyle w:val="BodyText"/>
        <w:spacing w:before="60" w:after="60" w:line="240" w:lineRule="auto"/>
        <w:ind w:firstLine="0"/>
        <w:jc w:val="center"/>
      </w:pPr>
      <m:oMathPara>
        <m:oMathParaPr>
          <m:jc m:val="center"/>
        </m:oMathParaPr>
        <m:oMath>
          <m:eqAr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sSub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sSub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  <m:r>
                <w:rPr>
                  <w:rFonts w:ascii="Cambria Math" w:hAnsi="Cambria Math"/>
                  <w:sz w:val="20"/>
                  <w:szCs w:val="20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−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−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−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  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sSub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sSub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  <m:r>
                <w:rPr>
                  <w:rFonts w:ascii="Cambria Math" w:hAnsi="Cambria Math"/>
                  <w:sz w:val="20"/>
                  <w:szCs w:val="20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−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−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  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sSub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  <m:r>
                <w:rPr>
                  <w:rFonts w:ascii="Cambria Math" w:hAnsi="Cambria Math"/>
                  <w:sz w:val="20"/>
                  <w:szCs w:val="20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</m:t>
              </m:r>
              <m:acc>
                <m:accPr>
                  <m:chr m:val="̂"/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acc>
                <m:accPr>
                  <m:chr m:val="̂"/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  <m:r>
                <w:rPr>
                  <w:rFonts w:ascii="Cambria Math" w:hAnsi="Cambria Math"/>
                  <w:sz w:val="20"/>
                  <w:szCs w:val="20"/>
                </w:rPr>
                <m:t> </m:t>
              </m:r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  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</m:eqArr>
        </m:oMath>
      </m:oMathPara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where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gives standard BKT 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&gt;</m:t>
        </m:r>
        <m:r>
          <w:rPr>
            <w:rFonts w:ascii="Cambria Math" w:hAnsi="Cambria Math"/>
            <w:sz w:val="20"/>
            <w:szCs w:val="20"/>
          </w:rPr>
          <m:t>0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adds forgetting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[12]. Default parameters are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0.15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T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0.12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G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0.20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0.08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 They are design values, not fitted (sensitivity in Section V-C); they satisfy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bounds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G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&lt;</m:t>
        </m:r>
        <m:r>
          <w:rPr>
            <w:rFonts w:ascii="Cambria Math" w:hAnsi="Cambria Math"/>
            <w:sz w:val="20"/>
            <w:szCs w:val="20"/>
          </w:rPr>
          <m:t>0.3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&lt;</m:t>
        </m:r>
        <m:r>
          <w:rPr>
            <w:rFonts w:ascii="Cambria Math" w:hAnsi="Cambria Math"/>
            <w:sz w:val="20"/>
            <w:szCs w:val="20"/>
          </w:rPr>
          <m:t>0.1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[1] and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non-degeneracy conditions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G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&lt;</m:t>
        </m:r>
        <m:r>
          <w:rPr>
            <w:rFonts w:ascii="Cambria Math" w:hAnsi="Cambria Math"/>
            <w:sz w:val="20"/>
            <w:szCs w:val="20"/>
          </w:rPr>
          <m:t>1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T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&lt;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G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[14].</w:t>
      </w:r>
    </w:p>
    <w:bookmarkEnd w:id="14"/>
    <w:bookmarkStart w:id="15" w:name="b.-complexity-governor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B. Complexity governor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The setpoint is the conventional mastery threshold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p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0.95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[1], [28]. The tracking error is normalized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on each side of the setpoint so that deficit and surplus have equal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authority:</w:t>
      </w:r>
    </w:p>
    <w:p>
      <w:pPr>
        <w:pStyle w:val="BodyText"/>
        <w:spacing w:before="60" w:after="60" w:line="240" w:lineRule="auto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−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/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≤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−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/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−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&gt;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  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so that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control effort is</w:t>
      </w:r>
    </w:p>
    <w:p>
      <w:pPr>
        <w:pStyle w:val="BodyText"/>
        <w:spacing w:before="60" w:after="60" w:line="240" w:lineRule="auto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sub>
          </m:sSub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r>
            <w:rPr>
              <w:rFonts w:ascii="Cambria Math" w:hAnsi="Cambria Math"/>
              <w:sz w:val="20"/>
              <w:szCs w:val="20"/>
            </w:rPr>
            <m:t>  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with the clamped integral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c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−</m:t>
            </m:r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 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 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for anti-windup [25] and the first-order filtered derivative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γ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−</m:t>
            </m:r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r>
          <w:rPr>
            <w:rFonts w:ascii="Cambria Math" w:hAnsi="Cambria Math"/>
            <w:sz w:val="20"/>
            <w:szCs w:val="20"/>
          </w:rPr>
          <m:t>γ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−</m:t>
            </m:r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[24]. An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inverted logistic maps effort to the complexity budget,</w:t>
      </w:r>
    </w:p>
    <w:p>
      <w:pPr>
        <w:pStyle w:val="BodyText"/>
        <w:spacing w:before="60" w:after="60" w:line="240" w:lineRule="auto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sSup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  <m:sSub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r>
            <w:rPr>
              <w:rFonts w:ascii="Cambria Math" w:hAnsi="Cambria Math"/>
              <w:sz w:val="20"/>
              <w:szCs w:val="20"/>
            </w:rPr>
            <m:t>  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3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which is quantized into four levels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ℓ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min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4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⌊</m:t>
        </m:r>
        <m:r>
          <w:rPr>
            <w:rFonts w:ascii="Cambria Math" w:hAnsi="Cambria Math"/>
            <w:sz w:val="20"/>
            <w:szCs w:val="20"/>
          </w:rPr>
          <m:t>4</m:t>
        </m:r>
        <m:sSubSup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sz w:val="20"/>
            <w:szCs w:val="20"/>
          </w:rPr>
          <m:t>⌋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 A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hysteresis deadband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commits a new budget only when it differs from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last committed budget by at least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. The governor steps once per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response (unit sample time) from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with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−</m:t>
            </m:r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, so the first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step has no derivative kick, and its first budget is always committed.</w:t>
      </w:r>
    </w:p>
    <w:p>
      <w:pPr>
        <w:pStyle w:val="BodyText"/>
      </w:pP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Gain selection: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Classical tuning rules [29], [30]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assume an identified plant, but here the interface does not alter simulated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responses (Section IV). Instead,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γ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were selected by minimizing the cost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I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T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E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J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(Section IV) [31] on a separate 1,000-learner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tuning cohort; all reported results use a disjoint test cohort. A random search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of 200 uniform samples over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0.25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2.5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0.4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γ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</w:t>
      </w:r>
      <m:oMath>
        <m:r>
          <w:rPr>
            <w:rFonts w:ascii="Cambria Math" w:hAnsi="Cambria Math"/>
            <w:sz w:val="20"/>
            <w:szCs w:val="20"/>
          </w:rPr>
          <m:t>γ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≥</m:t>
        </m:r>
        <m:r>
          <w:rPr>
            <w:rFonts w:ascii="Cambria Math" w:hAnsi="Cambria Math"/>
            <w:sz w:val="20"/>
            <w:szCs w:val="20"/>
          </w:rPr>
          <m:t>0.05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),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6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0.02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0.15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selected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0.865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0.377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0.672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γ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0.398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1.253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0.141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 The cost surface is flat: the selected point scores 0.104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on the tuning cohort against 0.110 for hand-set initial values, which rank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22nd of 201. The logistic slope is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ln</m:t>
        </m:r>
        <m:r>
          <w:rPr>
            <w:rFonts w:ascii="Cambria Math" w:hAnsi="Cambria Math"/>
            <w:sz w:val="20"/>
            <w:szCs w:val="20"/>
          </w:rPr>
          <m:t>19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2.202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 so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that the effort range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±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maps to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0.05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0.95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</w:t>
      </w:r>
    </w:p>
    <w:bookmarkEnd w:id="15"/>
    <w:bookmarkStart w:id="16" w:name="c.-fast-policy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C. Fast policy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A fast policy maps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Sup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ℓ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m:rPr>
            <m:nor/>
          </m:rPr>
          <w:rPr>
            <w:rFonts w:ascii="Cambria Math" w:hAnsi="Cambria Math"/>
            <w:sz w:val="20"/>
            <w:szCs w:val="20"/>
          </w:rPr>
          <m:t>recent errors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to discrete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affordances: scaffolding mode (worked example, guided scaffold, open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symbolic), whether to show the balance-scale manipulative, whether hints are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enabled, and an instructional density limit. The policy is deterministic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rule-based in every reported result. An open-weight decision model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[32], evaluated zero-shot, took 1.32 s per decision (median, CPU)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chose a worked example in all 200 test states, so it is not used.</w:t>
      </w:r>
    </w:p>
    <w:bookmarkEnd w:id="16"/>
    <w:bookmarkStart w:id="23" w:name="Xf5353b6fc128bbb19b355fc38e78750b7f8773e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D. Layout planner, generative plant and validation gate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The planner turns the budget into a layout. The policy fixes the abstraction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level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; the planner then enumerates every admissible layout with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1–8 interactive elements, 0–3 hint tiers and nesting depth 1–4 (at most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168 candidates) and picks the one whose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closest to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Sup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*</m:t>
            </m:r>
          </m:sup>
        </m:sSubSup>
      </m:oMath>
      <w:r>
        <w:rPr>
          <w:rFonts w:ascii="Times New Roman" w:hAnsi="Times New Roman" w:cs="Times New Roman" w:eastAsia="Times New Roman"/>
          <w:color w:val="000000"/>
        </w:rPr>
        <w:t xml:space="preserve">. It keeps a requested worked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example when that stays within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; ties go to fewer elements,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then shallower nesting. The plant, Gemini 3.7 Flash served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through Vertex AI, receives this layout with the policy decision and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equation and writes the content as a JSON component tree. In the original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design (</w:t>
      </w: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free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mode) the plant also chose the layout; we measure both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(Table III). Nodes are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drawn from a closed set of six components (balance scale, worked step,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operation pad, symbolic workspace, hint accordion, verification plane). The client renders these components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directly and never executes generated code. Each emission is parsed against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schema; if parsing fails, or if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|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sSubSup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sz w:val="20"/>
            <w:szCs w:val="20"/>
          </w:rPr>
          <m:t>|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&gt;</m:t>
        </m:r>
        <m:r>
          <w:rPr>
            <w:rFonts w:ascii="Cambria Math" w:hAnsi="Cambria Math"/>
            <w:sz w:val="20"/>
            <w:szCs w:val="20"/>
          </w:rPr>
          <m:t>ε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with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0.05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 a precompiled fallback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tree nearest to the budget is rendered instead. A web client renders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trees for inspection (Fig. 2); the benchmark does not use it.</w:t>
      </w:r>
    </w:p>
    <w:tbl>
      <w:tblPr>
        <w:tblpPr w:leftFromText="0" w:rightFromText="0" w:topFromText="0" w:bottomFromText="200" w:vertAnchor="margin" w:horzAnchor="margin" w:tblpXSpec="center" w:tblpYSpec="top"/>
        <w:tblOverlap w:val="never"/>
        <w:tblW w:w="1032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20"/>
      </w:tblGrid>
      <w:tr>
        <w:tc>
          <w:tcPr>
            <w:tcW w:w="10320" w:type="dxa"/>
          </w:tcPr>
          <w:p>
            <w:pPr>
              <w:pStyle w:val="BodyText"/>
              <w:keepNext/>
              <w:spacing w:before="12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</w:rPr>
              <w:drawing>
                <wp:inline>
                  <wp:extent cx="2957651" cy="2103120"/>
                  <wp:effectExtent b="0" l="0" r="0" t="0"/>
                  <wp:docPr descr="image" title="" id="18" name="Picture"/>
                  <a:graphic>
                    <a:graphicData uri="http://schemas.openxmlformats.org/drawingml/2006/picture">
                      <pic:pic>
                        <pic:nvPicPr>
                          <pic:cNvPr descr="fig/screen_l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651" cy="210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drawing>
                <wp:inline>
                  <wp:extent cx="2256238" cy="210312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fig/screen_l4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238" cy="210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  <w:spacing w:before="60" w:after="160" w:line="190" w:lineRule="exact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>Fig. 2. Screens written by Gemini 3.7 Flash in guided mode; both passed the</w:t>
            </w: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gate. Left: level 1, balance scale with a worked step (</w:t>
            </w:r>
            <m:oMath>
              <m:sSubSup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=</m:t>
              </m:r>
              <m:r>
                <w:rPr>
                  <w:rFonts w:ascii="Cambria Math" w:hAnsi="Cambria Math"/>
                  <w:sz w:val="16"/>
                  <w:szCs w:val="16"/>
                </w:rPr>
                <m:t>0.091</m:t>
              </m:r>
            </m:oMath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 </w:t>
            </w:r>
            <m:oMath>
              <m:sSub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=</m:t>
              </m:r>
              <m:r>
                <w:rPr>
                  <w:rFonts w:ascii="Cambria Math" w:hAnsi="Cambria Math"/>
                  <w:sz w:val="16"/>
                  <w:szCs w:val="16"/>
                </w:rPr>
                <m:t>0.111</m:t>
              </m:r>
            </m:oMath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). Right: level 4, graph verification (</w:t>
            </w:r>
            <m:oMath>
              <m:sSubSup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=</m:t>
              </m:r>
              <m:r>
                <w:rPr>
                  <w:rFonts w:ascii="Cambria Math" w:hAnsi="Cambria Math"/>
                  <w:sz w:val="16"/>
                  <w:szCs w:val="16"/>
                </w:rPr>
                <m:t>0.903</m:t>
              </m:r>
            </m:oMath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 </w:t>
            </w:r>
            <m:oMath>
              <m:sSub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=</m:t>
              </m:r>
              <m:r>
                <w:rPr>
                  <w:rFonts w:ascii="Cambria Math" w:hAnsi="Cambria Math"/>
                  <w:sz w:val="16"/>
                  <w:szCs w:val="16"/>
                </w:rPr>
                <m:t>0.905</m:t>
              </m:r>
            </m:oMath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).</w:t>
            </w:r>
          </w:p>
        </w:tc>
      </w:tr>
    </w:tbl>
    <w:bookmarkEnd w:id="23"/>
    <w:bookmarkStart w:id="24" w:name="e.-structural-complexity-metric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E. Structural complexity metric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For a tree with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ρ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interactive elements, abstraction level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nesting depth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δ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</w:p>
    <w:p>
      <w:pPr>
        <w:pStyle w:val="BodyText"/>
        <w:spacing w:before="60" w:after="60" w:line="240" w:lineRule="auto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f>
            <m:fPr>
              <m:type m:val="bar"/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f>
            <m:fPr>
              <m:type m:val="bar"/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sSub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f>
            <m:fPr>
              <m:type m:val="bar"/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r>
            <w:rPr>
              <w:rFonts w:ascii="Cambria Math" w:hAnsi="Cambria Math"/>
              <w:sz w:val="20"/>
              <w:szCs w:val="20"/>
            </w:rPr>
            <m:t>  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4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with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ρ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8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α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δ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∈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4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Each feature has a basis in prior work: element interactivity raises load [18]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display density is a classic complexity measure [33];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abstraction ladder from balance scale to operation pad to symbolic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workspace follows concreteness fading [20]; 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deeper structures cost users more [34].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Placing the Cartesian plane at the top of the ladder is our design choice.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With no data to fit weights, we use equal weights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3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 which are robust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in that setting [35], and test sensitivity to the weights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(Section V).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a structural proxy; it has not been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validated against measured cognitive load.</w:t>
      </w:r>
    </w:p>
    <w:bookmarkEnd w:id="24"/>
    <w:bookmarkEnd w:id="25"/>
    <w:bookmarkStart w:id="27" w:name="iv.-method"/>
    <w:p>
      <w:pPr>
        <w:pStyle w:val="Heading1"/>
      </w:pPr>
      <w:r>
        <w:rPr>
          <w:rFonts w:ascii="Times New Roman" w:hAnsi="Times New Roman" w:cs="Times New Roman" w:eastAsia="Times New Roman"/>
          <w:b w:val="0"/>
          <w:i w:val="0"/>
          <w:smallCaps/>
          <w:color w:val="000000"/>
          <w:sz w:val="20"/>
        </w:rPr>
        <w:t xml:space="preserve">IV. Method</w:t>
      </w:r>
    </w:p>
    <w:bookmarkStart w:id="26" w:name="a.-synthetic-learners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A. Synthetic learners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Simulated learners are an established way to test instructional designs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before human studies [36], [37], 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BKT-generated data have been used to evaluate mastery assessment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[38]. Each learner is a two-state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HMM whose parameters are drawn uniformly from archetype ranges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(Table II). Novice and guesser ranges exceed the bounds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of [1] by design but respect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[14]. The cohort has 1,000 learners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(300/400/300) with 40 items each. Responses are sampled once per learner 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replayed unchanged through every arm (paired design). The interface therefore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does not influence the simulated responses: the benchmark measures controller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behavior, not learning.</w:t>
      </w:r>
    </w:p>
    <w:p>
      <w:pPr>
        <w:pStyle w:val="BodyText"/>
        <w:keepNext/>
        <w:spacing w:before="120" w:after="0" w:line="190" w:lineRule="exact"/>
        <w:ind w:firstLine="0"/>
        <w:jc w:val="center"/>
      </w:pPr>
      <w:r>
        <w:rPr>
          <w:rFonts w:ascii="Times New Roman" w:hAnsi="Times New Roman" w:cs="Times New Roman" w:eastAsia="Times New Roman"/>
          <w:smallCaps w:val="0"/>
          <w:color w:val="000000"/>
          <w:sz w:val="16"/>
        </w:rPr>
        <w:t>TABLE II</w:t>
      </w:r>
    </w:p>
    <w:p>
      <w:pPr>
        <w:pStyle w:val="BodyText"/>
        <w:keepNext/>
        <w:spacing w:before="0" w:after="60" w:line="190" w:lineRule="exact"/>
        <w:ind w:firstLine="0"/>
        <w:jc w:val="center"/>
      </w:pPr>
      <w:r>
        <w:rPr>
          <w:rFonts w:ascii="Times New Roman" w:hAnsi="Times New Roman" w:cs="Times New Roman" w:eastAsia="Times New Roman"/>
          <w:smallCaps/>
          <w:color w:val="000000"/>
          <w:sz w:val="16"/>
        </w:rPr>
        <w:t>Learner archetypes (uniform parameter ranges).</w:t>
      </w:r>
    </w:p>
    <w:tbl>
      <w:tblPr>
        <w:tblStyle w:val="Table"/>
        <w:tblW w:w="5036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419"/>
        <w:gridCol w:w="1064"/>
        <w:gridCol w:w="851"/>
        <w:gridCol w:w="851"/>
        <w:gridCol w:w="851"/>
      </w:tblGrid>
      <w:tr>
        <w:trPr>
          <w:tblHeader w:val="on"/>
          <w:cantSplit/>
        </w:trPr>
        <w:tc>
          <w:tcPr>
            <w:tcW w:w="1419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Archetype</w:t>
            </w:r>
          </w:p>
        </w:tc>
        <w:tc>
          <w:tcPr>
            <w:tcW w:w="1064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sSub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</w:p>
        </w:tc>
        <w:tc>
          <w:tcPr>
            <w:tcW w:w="851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</w:p>
        </w:tc>
        <w:tc>
          <w:tcPr>
            <w:tcW w:w="851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</w:p>
        </w:tc>
        <w:tc>
          <w:tcPr>
            <w:tcW w:w="851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</w:p>
        </w:tc>
      </w:tr>
      <w:tr>
        <w:trPr>
          <w:cantSplit/>
        </w:trPr>
        <w:tc>
          <w:tcPr>
            <w:tcW w:w="1419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Struggling novice</w:t>
            </w:r>
          </w:p>
        </w:tc>
        <w:tc>
          <w:tcPr>
            <w:tcW w:w="1064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.02–.08</w:t>
            </w:r>
          </w:p>
        </w:tc>
        <w:tc>
          <w:tcPr>
            <w:tcW w:w="85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.03–.07</w:t>
            </w:r>
          </w:p>
        </w:tc>
        <w:tc>
          <w:tcPr>
            <w:tcW w:w="85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.10–.20</w:t>
            </w:r>
          </w:p>
        </w:tc>
        <w:tc>
          <w:tcPr>
            <w:tcW w:w="85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.20–.30</w:t>
            </w:r>
          </w:p>
        </w:tc>
      </w:tr>
      <w:tr>
        <w:trPr>
          <w:cantSplit/>
        </w:trPr>
        <w:tc>
          <w:tcPr>
            <w:tcW w:w="1419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Inconsistent guesser</w:t>
            </w:r>
          </w:p>
        </w:tc>
        <w:tc>
          <w:tcPr>
            <w:tcW w:w="1064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.05–.20</w:t>
            </w:r>
          </w:p>
        </w:tc>
        <w:tc>
          <w:tcPr>
            <w:tcW w:w="85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.10–.20</w:t>
            </w:r>
          </w:p>
        </w:tc>
        <w:tc>
          <w:tcPr>
            <w:tcW w:w="85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.15–.40</w:t>
            </w:r>
          </w:p>
        </w:tc>
        <w:tc>
          <w:tcPr>
            <w:tcW w:w="85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.08–.30</w:t>
            </w:r>
          </w:p>
        </w:tc>
      </w:tr>
      <w:tr>
        <w:trPr>
          <w:cantSplit/>
        </w:trPr>
        <w:tc>
          <w:tcPr>
            <w:tcW w:w="1419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Fast master</w:t>
            </w:r>
          </w:p>
        </w:tc>
        <w:tc>
          <w:tcPr>
            <w:tcW w:w="1064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.15–.30</w:t>
            </w:r>
          </w:p>
        </w:tc>
        <w:tc>
          <w:tcPr>
            <w:tcW w:w="851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.30–.40</w:t>
            </w:r>
          </w:p>
        </w:tc>
        <w:tc>
          <w:tcPr>
            <w:tcW w:w="851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.15–.25</w:t>
            </w:r>
          </w:p>
        </w:tc>
        <w:tc>
          <w:tcPr>
            <w:tcW w:w="851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.01–.03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Arms: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All arms see the same responses and BKT estimate. (1)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Static</w:t>
      </w:r>
      <w:r>
        <w:rPr>
          <w:rFonts w:ascii="Times New Roman" w:hAnsi="Times New Roman" w:cs="Times New Roman" w:eastAsia="Times New Roman"/>
          <w:color w:val="000000"/>
        </w:rPr>
        <w:t xml:space="preserve">: a fixed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level-2 interface. (2)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Unconstrained GenUI</w:t>
      </w:r>
      <w:r>
        <w:rPr>
          <w:rFonts w:ascii="Times New Roman" w:hAnsi="Times New Roman" w:cs="Times New Roman" w:eastAsia="Times New Roman"/>
          <w:color w:val="000000"/>
        </w:rPr>
        <w:t xml:space="preserve">: the plant sets its own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complexity to the estimate plus Gaussian noise (</w:t>
      </w:r>
      <m:oMath>
        <m:r>
          <w:rPr>
            <w:rFonts w:ascii="Cambria Math" w:hAnsi="Cambria Math"/>
            <w:sz w:val="20"/>
            <w:szCs w:val="20"/>
          </w:rPr>
          <m:t>σ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0.15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); only the schema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checked. (3)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Rule-based</w:t>
      </w:r>
      <w:r>
        <w:rPr>
          <w:rFonts w:ascii="Times New Roman" w:hAnsi="Times New Roman" w:cs="Times New Roman" w:eastAsia="Times New Roman"/>
          <w:color w:val="000000"/>
        </w:rPr>
        <w:t xml:space="preserve">: step up after three consecutive correct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responses and down after two consecutive errors, an up-down rule in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spirit of [39]. Arms 1 and 3 render catalog trees. (4)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Closed loop</w:t>
      </w:r>
      <w:r>
        <w:rPr>
          <w:rFonts w:ascii="Times New Roman" w:hAnsi="Times New Roman" w:cs="Times New Roman" w:eastAsia="Times New Roman"/>
          <w:color w:val="000000"/>
        </w:rPr>
        <w:t xml:space="preserve">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full architecture. Ablations remove the derivative filter, remove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anti-windup, and add a one-level slew limit.</w:t>
      </w:r>
    </w:p>
    <w:p>
      <w:pPr>
        <w:pStyle w:val="BodyText"/>
      </w:pP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Plant model in the benchmark: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benchmark replaces the foundation model with a surrogate that compiles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planner’s layout and injects faults: with probability 0.15 it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drifts off budget, and with probability 0.03 it emits malformed output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(e.g., truncated JSON, unknown component). These rates were set before the real model was measured.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unconstrained arm uses the same surrogate without the budget check.</w:t>
      </w:r>
    </w:p>
    <w:p>
      <w:pPr>
        <w:pStyle w:val="BodyText"/>
      </w:pPr>
      <w:r>
        <w:rPr>
          <w:rFonts w:ascii="Times New Roman" w:hAnsi="Times New Roman" w:cs="Times New Roman" w:eastAsia="Times New Roman"/>
          <w:color w:val="000000"/>
        </w:rPr>
        <w:t xml:space="preserve">We measured the real model in free mode, which tests the model alone, 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in guided mode, the deployed configuration with the planner. Each mode received 300 requests (JSON mode without a response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schema, thinking level low, temperature 0.4, 30 s timeout) with budgets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uniform on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0.02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0.98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 scored by the same gate (Table III).</w:t>
      </w:r>
    </w:p>
    <w:p>
      <w:pPr>
        <w:pStyle w:val="BodyText"/>
        <w:keepNext/>
        <w:spacing w:before="120" w:after="0" w:line="190" w:lineRule="exact"/>
        <w:ind w:firstLine="0"/>
        <w:jc w:val="center"/>
      </w:pPr>
      <w:r>
        <w:rPr>
          <w:rFonts w:ascii="Times New Roman" w:hAnsi="Times New Roman" w:cs="Times New Roman" w:eastAsia="Times New Roman"/>
          <w:smallCaps w:val="0"/>
          <w:color w:val="000000"/>
          <w:sz w:val="16"/>
        </w:rPr>
        <w:t>TABLE III</w:t>
      </w:r>
    </w:p>
    <w:p>
      <w:pPr>
        <w:pStyle w:val="BodyText"/>
        <w:keepNext/>
        <w:spacing w:before="0" w:after="60" w:line="190" w:lineRule="exact"/>
        <w:ind w:firstLine="0"/>
        <w:jc w:val="center"/>
      </w:pPr>
      <w:r>
        <w:rPr>
          <w:rFonts w:ascii="Times New Roman" w:hAnsi="Times New Roman" w:cs="Times New Roman" w:eastAsia="Times New Roman"/>
          <w:smallCaps/>
          <w:color w:val="000000"/>
          <w:sz w:val="16"/>
        </w:rPr>
        <w:t>Gemini 3.7 Flash, 300 calls per mode.</w:t>
      </w:r>
    </w:p>
    <w:tbl>
      <w:tblPr>
        <w:tblStyle w:val="Table"/>
        <w:tblW w:w="5039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3006"/>
        <w:gridCol w:w="1061"/>
        <w:gridCol w:w="972"/>
      </w:tblGrid>
      <w:tr>
        <w:trPr>
          <w:tblHeader w:val="on"/>
          <w:cantSplit/>
        </w:trPr>
        <w:tc>
          <w:tcPr>
            <w:tcW w:w="3006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</w:p>
        </w:tc>
        <w:tc>
          <w:tcPr>
            <w:tcW w:w="1061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Free</w:t>
            </w:r>
          </w:p>
        </w:tc>
        <w:tc>
          <w:tcPr>
            <w:tcW w:w="972" w:type="dxa"/>
            <w:tcBorders>
              <w:bottom w:val="single" w:sz="4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Guided</w:t>
            </w:r>
          </w:p>
        </w:tc>
      </w:tr>
      <w:tr>
        <w:trPr>
          <w:cantSplit/>
        </w:trPr>
        <w:tc>
          <w:tcPr>
            <w:tcW w:w="3006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Transport failures (HTTP error, timeout)</w:t>
            </w:r>
          </w:p>
        </w:tc>
        <w:tc>
          <w:tcPr>
            <w:tcW w:w="106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6</w:t>
            </w:r>
          </w:p>
        </w:tc>
        <w:tc>
          <w:tcPr>
            <w:tcW w:w="972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4</w:t>
            </w:r>
          </w:p>
        </w:tc>
      </w:tr>
      <w:tr>
        <w:trPr>
          <w:cantSplit/>
        </w:trPr>
        <w:tc>
          <w:tcPr>
            <w:tcW w:w="3006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Content-malformed, of completed calls</w:t>
            </w:r>
          </w:p>
        </w:tc>
        <w:tc>
          <w:tcPr>
            <w:tcW w:w="106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3.4%</w:t>
            </w:r>
          </w:p>
        </w:tc>
        <w:tc>
          <w:tcPr>
            <w:tcW w:w="972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w="3006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Off budget, of valid trees</w:t>
            </w:r>
          </w:p>
        </w:tc>
        <w:tc>
          <w:tcPr>
            <w:tcW w:w="106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2.8%</w:t>
            </w:r>
          </w:p>
        </w:tc>
        <w:tc>
          <w:tcPr>
            <w:tcW w:w="972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0%</w:t>
            </w:r>
          </w:p>
        </w:tc>
      </w:tr>
      <w:tr>
        <w:trPr>
          <w:cantSplit/>
        </w:trPr>
        <w:tc>
          <w:tcPr>
            <w:tcW w:w="3006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Within budget, of all calls</w:t>
            </w:r>
          </w:p>
        </w:tc>
        <w:tc>
          <w:tcPr>
            <w:tcW w:w="106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92.0%</w:t>
            </w:r>
          </w:p>
        </w:tc>
        <w:tc>
          <w:tcPr>
            <w:tcW w:w="972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98.7%</w:t>
            </w:r>
          </w:p>
        </w:tc>
      </w:tr>
      <w:tr>
        <w:trPr>
          <w:cantSplit/>
        </w:trPr>
        <w:tc>
          <w:tcPr>
            <w:tcW w:w="3006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Median</w:t>
            </w: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|</m:t>
              </m:r>
              <m:sSub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−</m:t>
              </m:r>
              <m:sSubSup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|</m:t>
              </m:r>
            </m:oMath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of valid trees</w:t>
            </w:r>
          </w:p>
        </w:tc>
        <w:tc>
          <w:tcPr>
            <w:tcW w:w="1061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0.012</w:t>
            </w:r>
          </w:p>
        </w:tc>
        <w:tc>
          <w:tcPr>
            <w:tcW w:w="972" w:type="dxa"/>
            <w:tcMar>
              <w:left w:w="60" w:type="dxa"/>
              <w:right w:w="60" w:type="dxa"/>
            </w:tcMar>
          </w:tcPr>
          <w:p>
            <w:pPr>
              <w:pStyle w:val="Compact"/>
              <w:keepNext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0.007</w:t>
            </w:r>
          </w:p>
        </w:tc>
      </w:tr>
      <w:tr>
        <w:trPr>
          <w:cantSplit/>
        </w:trPr>
        <w:tc>
          <w:tcPr>
            <w:tcW w:w="3006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Latency of completed calls, median / p95</w:t>
            </w:r>
          </w:p>
        </w:tc>
        <w:tc>
          <w:tcPr>
            <w:tcW w:w="1061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7.7 / 18.6 s</w:t>
            </w:r>
          </w:p>
        </w:tc>
        <w:tc>
          <w:tcPr>
            <w:tcW w:w="972" w:type="dxa"/>
            <w:tcMar>
              <w:left w:w="60" w:type="dxa"/>
              <w:right w:w="60" w:type="dxa"/>
            </w:tcMar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16"/>
              </w:rPr>
              <w:t xml:space="preserve">2.7 / 5.1 s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Times New Roman"/>
          <w:color w:val="000000"/>
        </w:rPr>
        <w:t xml:space="preserve">Free-mode failures lacked an interactive element (10/294) or missed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budget (8/284, mostly level 1); guided-mode failures were all in transport. The surrogate’s 3% malformed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rate thus matches free mode, and its 15% drift rate is a stress setting.</w:t>
      </w:r>
    </w:p>
    <w:p>
      <w:pPr>
        <w:pStyle w:val="BodyText"/>
      </w:pP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Metrics: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Constraint error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Δ</m:t>
        </m:r>
        <m:r>
          <w:rPr>
            <w:rFonts w:ascii="Cambria Math" w:hAnsi="Cambria Math"/>
            <w:sz w:val="20"/>
            <w:szCs w:val="20"/>
          </w:rPr>
          <m:t>M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|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sSubSup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sz w:val="20"/>
            <w:szCs w:val="20"/>
          </w:rPr>
          <m:t>|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measured against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budget the closed-loop governor commits for the same responses, so that all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arms share one reference;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“within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”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the share of steps with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Δ</m:t>
        </m:r>
        <m:r>
          <w:rPr>
            <w:rFonts w:ascii="Cambria Math" w:hAnsi="Cambria Math"/>
            <w:sz w:val="20"/>
            <w:szCs w:val="20"/>
          </w:rPr>
          <m:t>M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≤</m:t>
        </m:r>
        <m:r>
          <w:rPr>
            <w:rFonts w:ascii="Cambria Math" w:hAnsi="Cambria Math"/>
            <w:sz w:val="20"/>
            <w:szCs w:val="20"/>
          </w:rPr>
          <m:t>0.05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 Interface jitter is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J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−</m:t>
            </m:r>
            <m:r>
              <w:rPr>
                <w:rFonts w:ascii="Cambria Math" w:hAnsi="Cambria Math"/>
                <w:sz w:val="20"/>
                <w:szCs w:val="20"/>
              </w:rPr>
              <m:t>1</m:t>
            </m:r>
          </m:den>
        </m:f>
        <m:nary>
          <m:naryPr>
            <m:chr m:val="∑"/>
            <m:limLoc m:val="subSup"/>
            <m:subHide m:val="off"/>
            <m:supHide m:val="on"/>
          </m:naryPr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|</m:t>
            </m:r>
          </m:e>
        </m:nary>
        <m:sSub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|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 and a skip is a change of two or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more levels between consecutive items. Jitter operationalizes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stability concern of [9]; the formula is ours.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Recovery time is the number of items after a streak of five or more errors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until the level returns to its pre-streak value. Fallback rate is the share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of steps rendered from the fallback catalog. Because the simulator knows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learner’s latent state, we also report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overload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(level 3 or 4 shown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while the skill is not known),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</w:rPr>
        <w:t xml:space="preserve">underload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(level 1 or 2 shown while it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known) and an ITAE-weighted mismatch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nary>
          <m:naryPr>
            <m:chr m:val="∑"/>
            <m:limLoc m:val="subSup"/>
            <m:subHide m:val="off"/>
            <m:supHide m:val="on"/>
          </m:naryPr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(</m:t>
            </m:r>
          </m:e>
        </m:nary>
        <m:r>
          <w:rPr>
            <w:rFonts w:ascii="Cambria Math" w:hAnsi="Cambria Math"/>
            <w:sz w:val="20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sSub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nary>
          <m:naryPr>
            <m:chr m:val="∑"/>
            <m:limLoc m:val="subSup"/>
            <m:subHide m:val="off"/>
            <m:supHide m:val="on"/>
          </m:naryPr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(</m:t>
            </m:r>
          </m:e>
        </m:nary>
        <m:r>
          <w:rPr>
            <w:rFonts w:ascii="Cambria Math" w:hAnsi="Cambria Math"/>
            <w:sz w:val="20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[31], where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marks either case. These are level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mismatches, not measured load.</w:t>
      </w:r>
    </w:p>
    <w:bookmarkEnd w:id="26"/>
    <w:bookmarkEnd w:id="27"/>
    <w:bookmarkStart w:id="38" w:name="v.-results"/>
    <w:p>
      <w:pPr>
        <w:pStyle w:val="Heading1"/>
      </w:pPr>
      <w:r>
        <w:rPr>
          <w:rFonts w:ascii="Times New Roman" w:hAnsi="Times New Roman" w:cs="Times New Roman" w:eastAsia="Times New Roman"/>
          <w:b w:val="0"/>
          <w:i w:val="0"/>
          <w:smallCaps/>
          <w:color w:val="000000"/>
          <w:sz w:val="20"/>
        </w:rPr>
        <w:t xml:space="preserve">V. Results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All numbers come from one run on the test cohort (seed 20261003; tuning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seed 20261004), with normal-approximation 95% CIs over 1,000 learners. The CIs reflect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variation across learners in this run, not across independent runs.</w:t>
      </w:r>
    </w:p>
    <w:tbl>
      <w:tblPr>
        <w:tblpPr w:leftFromText="0" w:rightFromText="0" w:topFromText="0" w:bottomFromText="200" w:vertAnchor="margin" w:horzAnchor="margin" w:tblpXSpec="center" w:tblpYSpec="top"/>
        <w:tblOverlap w:val="never"/>
        <w:tblW w:w="1032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20"/>
      </w:tblGrid>
      <w:tr>
        <w:tc>
          <w:tcPr>
            <w:tcW w:w="10320" w:type="dxa"/>
          </w:tcPr>
          <w:p>
            <w:pPr>
              <w:pStyle w:val="BodyText"/>
              <w:keepNext/>
              <w:spacing w:before="120" w:after="0" w:line="19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mallCaps w:val="0"/>
                <w:color w:val="000000"/>
                <w:sz w:val="16"/>
              </w:rPr>
              <w:t>TABLE IV</w:t>
            </w:r>
          </w:p>
          <w:p>
            <w:pPr>
              <w:pStyle w:val="BodyText"/>
              <w:keepNext/>
              <w:spacing w:before="0" w:after="60" w:line="19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>Main results and ablations on the test cohort.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Δ</m:t>
              </m:r>
              <m:r>
                <w:rPr>
                  <w:rFonts w:ascii="Cambria Math" w:hAnsi="Cambria Math"/>
                  <w:sz w:val="16"/>
                  <w:szCs w:val="16"/>
                </w:rPr>
                <m:t>M</m:t>
              </m:r>
            </m:oMath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“within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ε</m:t>
              </m:r>
            </m:oMath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”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are measured against the closed-loop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reference budget; every closed-loop variant meets its own budget at every step. Overload,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underload and ITAE use the latent learner state and exist only in simulation.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mallCaps/>
                <w:color w:val="000000"/>
                <w:sz w:val="16"/>
              </w:rPr>
              <w:t xml:space="preserve">Fallback rates follow from the surrogate’s fault rates.</w:t>
            </w:r>
          </w:p>
          <w:tbl>
            <w:tblPr>
              <w:tblStyle w:val="Table"/>
              <w:tblW w:w="10316" w:type="dxa"/>
              <w:jc w:val="center"/>
              <w:tblBorders>
                <w:top w:val="single" w:sz="8" w:space="0" w:color="000000"/>
                <w:bottom w:val="single" w:sz="8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084"/>
              <w:gridCol w:w="2293"/>
              <w:gridCol w:w="938"/>
              <w:gridCol w:w="938"/>
              <w:gridCol w:w="938"/>
              <w:gridCol w:w="833"/>
              <w:gridCol w:w="938"/>
              <w:gridCol w:w="521"/>
              <w:gridCol w:w="833"/>
            </w:tblGrid>
            <w:tr>
              <w:trPr>
                <w:tblHeader w:val="on"/>
                <w:cantSplit/>
              </w:trPr>
              <w:tc>
                <w:tcPr>
                  <w:tcW w:w="2084" w:type="dxa"/>
                  <w:tcBorders>
                    <w:bottom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Arm</w:t>
                  </w:r>
                </w:p>
              </w:tc>
              <w:tc>
                <w:tcPr>
                  <w:tcW w:w="2293" w:type="dxa"/>
                  <w:tcBorders>
                    <w:bottom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Δ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oMath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(95% CI)</w:t>
                  </w:r>
                </w:p>
              </w:tc>
              <w:tc>
                <w:tcPr>
                  <w:tcW w:w="938" w:type="dxa"/>
                  <w:tcBorders>
                    <w:bottom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Within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ε</m:t>
                    </m:r>
                  </m:oMath>
                </w:p>
              </w:tc>
              <w:tc>
                <w:tcPr>
                  <w:tcW w:w="938" w:type="dxa"/>
                  <w:tcBorders>
                    <w:bottom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Jitter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J</m:t>
                    </m:r>
                  </m:oMath>
                </w:p>
              </w:tc>
              <w:tc>
                <w:tcPr>
                  <w:tcW w:w="938" w:type="dxa"/>
                  <w:tcBorders>
                    <w:bottom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Skips/run</w:t>
                  </w:r>
                </w:p>
              </w:tc>
              <w:tc>
                <w:tcPr>
                  <w:tcW w:w="833" w:type="dxa"/>
                  <w:tcBorders>
                    <w:bottom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Overload</w:t>
                  </w:r>
                </w:p>
              </w:tc>
              <w:tc>
                <w:tcPr>
                  <w:tcW w:w="938" w:type="dxa"/>
                  <w:tcBorders>
                    <w:bottom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Underload</w:t>
                  </w:r>
                </w:p>
              </w:tc>
              <w:tc>
                <w:tcPr>
                  <w:tcW w:w="521" w:type="dxa"/>
                  <w:tcBorders>
                    <w:bottom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ITAE</w:t>
                  </w:r>
                </w:p>
              </w:tc>
              <w:tc>
                <w:tcPr>
                  <w:tcW w:w="833" w:type="dxa"/>
                  <w:tcBorders>
                    <w:bottom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Fallback</w:t>
                  </w:r>
                </w:p>
              </w:tc>
            </w:tr>
            <w:tr>
              <w:trPr>
                <w:cantSplit/>
              </w:trPr>
              <w:tc>
                <w:tcPr>
                  <w:tcW w:w="2084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Static</w:t>
                  </w:r>
                </w:p>
              </w:tc>
              <w:tc>
                <w:tcPr>
                  <w:tcW w:w="229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0.426 (0.422–0.430)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0.004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0.000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0.000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0.800</w:t>
                  </w:r>
                </w:p>
              </w:tc>
              <w:tc>
                <w:tcPr>
                  <w:tcW w:w="521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0.892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–</w:t>
                  </w:r>
                </w:p>
              </w:tc>
            </w:tr>
            <w:tr>
              <w:trPr>
                <w:cantSplit/>
              </w:trPr>
              <w:tc>
                <w:tcPr>
                  <w:tcW w:w="2084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Unconstrained GenUI</w:t>
                  </w:r>
                </w:p>
              </w:tc>
              <w:tc>
                <w:tcPr>
                  <w:tcW w:w="229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0.131 (0.128–0.134)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0.321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0.123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2.06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0.024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0.054</w:t>
                  </w:r>
                </w:p>
              </w:tc>
              <w:tc>
                <w:tcPr>
                  <w:tcW w:w="521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0.043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0.030</w:t>
                  </w:r>
                </w:p>
              </w:tc>
            </w:tr>
            <w:tr>
              <w:trPr>
                <w:cantSplit/>
              </w:trPr>
              <w:tc>
                <w:tcPr>
                  <w:tcW w:w="2084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Rule-based</w:t>
                  </w:r>
                </w:p>
              </w:tc>
              <w:tc>
                <w:tcPr>
                  <w:tcW w:w="229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0.123 (0.119–0.128)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0.596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0.025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0.000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0.245</w:t>
                  </w:r>
                </w:p>
              </w:tc>
              <w:tc>
                <w:tcPr>
                  <w:tcW w:w="521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0.180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–</w:t>
                  </w:r>
                </w:p>
              </w:tc>
            </w:tr>
            <w:tr>
              <w:trPr>
                <w:cantSplit/>
              </w:trPr>
              <w:tc>
                <w:tcPr>
                  <w:tcW w:w="2084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Closed loop</w:t>
                  </w:r>
                </w:p>
              </w:tc>
              <w:tc>
                <w:tcPr>
                  <w:tcW w:w="229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0.0122 (0.0119–0.0124)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1.000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0.035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0.67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0.002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0.121</w:t>
                  </w:r>
                </w:p>
              </w:tc>
              <w:tc>
                <w:tcPr>
                  <w:tcW w:w="521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0.073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0.154</w:t>
                  </w:r>
                </w:p>
              </w:tc>
            </w:tr>
            <w:tr>
              <w:trPr>
                <w:cantSplit/>
              </w:trPr>
              <w:tc>
                <w:tcPr>
                  <w:tcW w:w="2084" w:type="dxa"/>
                  <w:tcBorders>
                    <w:top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 w:left="173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no derivative filter</w:t>
                  </w:r>
                </w:p>
              </w:tc>
              <w:tc>
                <w:tcPr>
                  <w:tcW w:w="2293" w:type="dxa"/>
                  <w:tcBorders>
                    <w:top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0.031 (0.030–0.033)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0.811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0.044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1.19</w:t>
                  </w:r>
                </w:p>
              </w:tc>
              <w:tc>
                <w:tcPr>
                  <w:tcW w:w="833" w:type="dxa"/>
                  <w:tcBorders>
                    <w:top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0.002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0.124</w:t>
                  </w:r>
                </w:p>
              </w:tc>
              <w:tc>
                <w:tcPr>
                  <w:tcW w:w="521" w:type="dxa"/>
                  <w:tcBorders>
                    <w:top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0.076</w:t>
                  </w:r>
                </w:p>
              </w:tc>
              <w:tc>
                <w:tcPr>
                  <w:tcW w:w="833" w:type="dxa"/>
                  <w:tcBorders>
                    <w:top w:val="single" w:sz="4" w:space="0" w:color="000000"/>
                  </w:tcBorders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0.156</w:t>
                  </w:r>
                </w:p>
              </w:tc>
            </w:tr>
            <w:tr>
              <w:trPr>
                <w:cantSplit/>
              </w:trPr>
              <w:tc>
                <w:tcPr>
                  <w:tcW w:w="2084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 w:left="173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no anti-windup</w:t>
                  </w:r>
                </w:p>
              </w:tc>
              <w:tc>
                <w:tcPr>
                  <w:tcW w:w="229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0.107 (0.102–0.112)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0.549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0.024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0.42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0.001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0.217</w:t>
                  </w:r>
                </w:p>
              </w:tc>
              <w:tc>
                <w:tcPr>
                  <w:tcW w:w="521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0.174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keepNext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0.159</w:t>
                  </w:r>
                </w:p>
              </w:tc>
            </w:tr>
            <w:tr>
              <w:trPr>
                <w:cantSplit/>
              </w:trPr>
              <w:tc>
                <w:tcPr>
                  <w:tcW w:w="2084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spacing w:before="20" w:after="20" w:line="240" w:lineRule="auto"/>
                    <w:ind w:firstLine="0" w:left="173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one-level slew limit</w:t>
                  </w:r>
                </w:p>
              </w:tc>
              <w:tc>
                <w:tcPr>
                  <w:tcW w:w="229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0.025 (0.023–0.026)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0.875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0.034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0.02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0.002</w:t>
                  </w:r>
                </w:p>
              </w:tc>
              <w:tc>
                <w:tcPr>
                  <w:tcW w:w="938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0.121</w:t>
                  </w:r>
                </w:p>
              </w:tc>
              <w:tc>
                <w:tcPr>
                  <w:tcW w:w="521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0.073</w:t>
                  </w:r>
                </w:p>
              </w:tc>
              <w:tc>
                <w:tcPr>
                  <w:tcW w:w="833" w:type="dxa"/>
                  <w:tcMar>
                    <w:left w:w="60" w:type="dxa"/>
                    <w:right w:w="60" w:type="dxa"/>
                  </w:tcMar>
                </w:tcPr>
                <w:p>
                  <w:pPr>
                    <w:pStyle w:val="Compact"/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z w:val="16"/>
                    </w:rPr>
                    <w:t xml:space="preserve">0.153</w:t>
                  </w:r>
                </w:p>
              </w:tc>
            </w:tr>
          </w:tbl>
          <w:p/>
        </w:tc>
      </w:tr>
    </w:tbl>
    <w:p>
      <w:pPr>
        <w:pStyle w:val="BodyText"/>
        <w:keepNext/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</w:rPr>
        <w:drawing>
          <wp:inline>
            <wp:extent cx="3200400" cy="11430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fig/resul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60" w:after="160" w:line="190" w:lineRule="exact"/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16"/>
        </w:rPr>
        <w:t>Fig. 3. Main comparison on the test cohort (means, 95% CIs); closed loop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dark.</w:t>
      </w:r>
    </w:p>
    <w:bookmarkStart w:id="31" w:name="a.-main-comparison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A. Main comparison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The closed loop keeps the rendered interface within 0.012 of its budget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on average (Table IV, Fig. 3), against 0.131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0.123 for unconstrained GenUI and the rule-based arm. Every rendered tree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within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 partly by construction: the generator’s own output met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budget on 84.6% of steps, and the gate replaced the other 15.4% from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fallback catalog. Compliance thus belongs to governor, planner and gate together. The closed loop’s jitter (0.035) is 3.5 times lower than that of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unconstrained GenUI (0.123), which also skips levels 2.06 times per run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against 0.67. The rule-based arm is smoother still (0.025, no skips), because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it moves one level at a time. Against the latent learner state, the picture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mixed. Unconstrained GenUI has the lowest ITAE mismatch (0.043 against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0.073) and the least underload (5.4% of steps against 12.1%), but shows an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abstract interface to a learner who does not know the skill twelve times as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often (2.4% against 0.2%). After streaks of five or more errors that lowered the level, the closed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loop regained its pre-streak level in 34 of 51 cases (median 5 items),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rule-based arm in 9 of 19 (median 12).</w:t>
      </w:r>
    </w:p>
    <w:bookmarkEnd w:id="31"/>
    <w:bookmarkStart w:id="32" w:name="b.-ablations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B. Ablations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Removing the derivative filter raises jitter from 0.035 to 0.044 and nearly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doubles level skips (1.19 per run). Removing anti-windup lets the integral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grow without bound: underload rises from 12.1% to 21.7%, only 84% of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learners reach level 4 against 95%, and median recovery after an error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streak grows from 5 to 14 items. In a scripted probe the unclamped integral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reached 22.9 (clamp 1.25). A one-level slew limit removes nearly all skips (0.02 per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run) and leaves the ground-truth measures unchanged.</w:t>
      </w:r>
    </w:p>
    <w:bookmarkEnd w:id="32"/>
    <w:bookmarkStart w:id="33" w:name="c.-sensitivity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C. Sensitivity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Changing each controller parameter by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±</m:t>
        </m:r>
        <m:r>
          <w:rPr>
            <w:rFonts w:ascii="Cambria Math" w:hAnsi="Cambria Math"/>
            <w:sz w:val="20"/>
            <w:szCs w:val="20"/>
          </w:rPr>
          <m:t>50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raised the cost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I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T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E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J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) from 0.108 to at most 0.118, except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1.5</m:t>
        </m:r>
        <m:sSub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which lowered it to 0.104 but more than doubled level skips. For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metric weights, the closed loop’s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Δ</m:t>
        </m:r>
        <m:r>
          <w:rPr>
            <w:rFonts w:ascii="Cambria Math" w:hAnsi="Cambria Math"/>
            <w:sz w:val="20"/>
            <w:szCs w:val="20"/>
          </w:rPr>
          <m:t>M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stays between 0.007 and 0.017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under equal weights, the initial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0.40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0.35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0.25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split and three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single-feature-heavy splits (</w:t>
      </w:r>
      <m:oMath>
        <m:r>
          <w:rPr>
            <w:rFonts w:ascii="Cambria Math" w:hAnsi="Cambria Math"/>
            <w:sz w:val="20"/>
            <w:szCs w:val="20"/>
          </w:rPr>
          <m:t>0.6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0.2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0.2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). Dropping abstraction or depth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roughly doubles it (0.023 and 0.022) while keeping more than 99% of steps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within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 Dropping element density breaks the loop: fallbacks rise to 84% and only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18% of screens are within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 Changing each BKT parameter by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±</m:t>
        </m:r>
        <m:r>
          <w:rPr>
            <w:rFonts w:ascii="Cambria Math" w:hAnsi="Cambria Math"/>
            <w:sz w:val="20"/>
            <w:szCs w:val="20"/>
          </w:rPr>
          <m:t>50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kept every step within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Δ</m:t>
        </m:r>
        <m:r>
          <w:rPr>
            <w:rFonts w:ascii="Cambria Math" w:hAnsi="Cambria Math"/>
            <w:sz w:val="20"/>
            <w:szCs w:val="20"/>
          </w:rPr>
          <m:t>M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between 0.010 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0.017, jitter between 0.034 and 0.041 and fallbacks at 15–16%.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parameters mainly shift when the interface escalates: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T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G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move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ITAE between 0.048 and 0.115, and skips rise to at most 1.20 per run.</w:t>
      </w:r>
    </w:p>
    <w:bookmarkEnd w:id="33"/>
    <w:bookmarkStart w:id="37" w:name="d.-bkt-saturation-and-lapse-handling"/>
    <w:p>
      <w:pPr>
        <w:pStyle w:val="Heading2"/>
      </w:pPr>
      <w:r>
        <w:rPr>
          <w:rFonts w:ascii="Times New Roman" w:hAnsi="Times New Roman" w:cs="Times New Roman" w:eastAsia="Times New Roman"/>
          <w:b w:val="0"/>
          <w:i/>
          <w:smallCaps w:val="0"/>
          <w:color w:val="000000"/>
          <w:sz w:val="20"/>
        </w:rPr>
        <w:t xml:space="preserve">D. BKT saturation and lapse handling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Under correct responses the BKT estimate converges to a stable fixed point at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one [14]. With the default parameters the estimate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exceeds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sSup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−</m:t>
            </m:r>
            <m:r>
              <w:rPr>
                <w:rFonts w:ascii="Cambria Math" w:hAnsi="Cambria Math"/>
                <w:sz w:val="20"/>
                <w:szCs w:val="20"/>
              </w:rPr>
              <m:t>6</m:t>
            </m:r>
          </m:sup>
        </m:sSup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after ten correct responses and five subsequent errors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lower it only to about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0.98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; after 24 correct responses it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equals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1.0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in double precision and no further evidence can lower it. The interface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then stays at its highest level through a streak of errors.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We compare two remedies: forgetting,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&gt;</m:t>
        </m:r>
        <m:r>
          <w:rPr>
            <w:rFonts w:ascii="Cambria Math" w:hAnsi="Cambria Math"/>
            <w:sz w:val="20"/>
            <w:szCs w:val="20"/>
          </w:rPr>
          <m:t>0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[12],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a CUSUM detector [40] on the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log-likelihood ratio between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“not known”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and the tracker’s prediction,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which resets the estimate to 0.5 when the sum exceeds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6.5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 It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accumulates only when a confident estimate is contradicted, so isolated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slips are absorbed. Forgetting uses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0.02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.</w:t>
      </w:r>
    </w:p>
    <w:p>
      <w:pPr>
        <w:pStyle w:val="BodyText"/>
        <w:keepNext/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</w:rPr>
        <w:drawing>
          <wp:inline>
            <wp:extent cx="3200400" cy="1097279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fig/prob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97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60" w:after="160" w:line="190" w:lineRule="exact"/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16"/>
        </w:rPr>
        <w:t>Fig. 4. Scripted probe: 15 correct responses, five errors, then correct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again. With plain BKT the estimate is saturated and the budget never moves.</w:t>
      </w:r>
    </w:p>
    <w:p>
      <w:pPr>
        <w:pStyle w:val="BodyText"/>
      </w:pPr>
      <w:r>
        <w:rPr>
          <w:rFonts w:ascii="Times New Roman" w:hAnsi="Times New Roman" w:cs="Times New Roman" w:eastAsia="Times New Roman"/>
          <w:color w:val="000000"/>
        </w:rPr>
        <w:t xml:space="preserve">In a scripted probe with fifteen correct responses followed by five errors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(Fig. 4), the plain closed loop never lowers the interface; the CUSUM variant drops a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level 3 items after the streak begins and forgetting after 1. To test this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at scale, a second cohort of 1,000 learners can forget the skill with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probability 0.02–0.06 per item. There the plain closed loop shows an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abstract interface to a learner who does not know the skill on 7.6% of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steps. The CUSUM detector lowers this to 5.6% (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−</m:t>
        </m:r>
        <m:r>
          <w:rPr>
            <w:rFonts w:ascii="Cambria Math" w:hAnsi="Cambria Math"/>
            <w:sz w:val="20"/>
            <w:szCs w:val="20"/>
          </w:rPr>
          <m:t>25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) at the cost of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higher jitter (0.052 against 0.042) and an almost unchanged ITAE mismatch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(0.189 against 0.184). Forgetting lowers overload further, to 3.0%, but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underloads on 25.3% of steps against 12.8%, raises ITAE to 0.273 and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lets only 80% of learners reach level 4. Neither remedy dominates; weighting recent responses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[41] is left for future work.</w:t>
      </w:r>
    </w:p>
    <w:bookmarkEnd w:id="37"/>
    <w:bookmarkEnd w:id="38"/>
    <w:bookmarkStart w:id="39" w:name="vi.-discussion-and-limitations"/>
    <w:p>
      <w:pPr>
        <w:pStyle w:val="Heading1"/>
      </w:pPr>
      <w:r>
        <w:rPr>
          <w:rFonts w:ascii="Times New Roman" w:hAnsi="Times New Roman" w:cs="Times New Roman" w:eastAsia="Times New Roman"/>
          <w:b w:val="0"/>
          <w:i w:val="0"/>
          <w:smallCaps/>
          <w:color w:val="000000"/>
          <w:sz w:val="20"/>
        </w:rPr>
        <w:t xml:space="preserve">VI. Discussion and Limitations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The benchmark tests whether the controller does what it is designed to do; it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does not test whether learners benefit. Because simulated responses do not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depend on the interface, the loop is closed only through the mastery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estimate, not through the learner.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sSub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is a structural proxy that has not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been validated against measured or perceived load, for which instruments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exist [42]; the results show structural complexity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regulation, not reduced cognitive load. BKT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parameters are design values rather than fits to tutor data;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±</m:t>
        </m:r>
        <m:r>
          <w:rPr>
            <w:rFonts w:ascii="Cambria Math" w:hAnsi="Cambria Math"/>
            <w:sz w:val="20"/>
            <w:szCs w:val="20"/>
          </w:rPr>
          <m:t>50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%</m:t>
        </m:r>
      </m:oMath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changes leave tracking intact but shift when the interface escalates. Long error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streaks may reflect misconceptions rather than slips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[23]; the controller does not distinguish these.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surrogate plant’s fault rates match or exceed the real model’s, but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the real model was measured on single calls, not full trajectories. Its latency (median 7.7 s free,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2.7 s guided) calls for prefetching or caching.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 learned fast policy would need real interaction data.</w:t>
      </w:r>
    </w:p>
    <w:bookmarkEnd w:id="39"/>
    <w:bookmarkStart w:id="40" w:name="vii.-conclusion"/>
    <w:p>
      <w:pPr>
        <w:pStyle w:val="Heading1"/>
      </w:pPr>
      <w:r>
        <w:rPr>
          <w:rFonts w:ascii="Times New Roman" w:hAnsi="Times New Roman" w:cs="Times New Roman" w:eastAsia="Times New Roman"/>
          <w:b w:val="0"/>
          <w:i w:val="0"/>
          <w:smallCaps/>
          <w:color w:val="000000"/>
          <w:sz w:val="20"/>
        </w:rPr>
        <w:t xml:space="preserve">VII. Conclusion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We coupled a learner model to a generative interface through a PID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governor, a layout planner and a validation gate, and tested the loop in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simulation. The governor’s budget is met at every step, with the gate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replacing the 15.4% of generated trees that miss it, and the interface changes 3.5 times less than an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unconstrained generator while rarely showing abstract screens to simulated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learners who have not mastered the skill. Anti-windup and the derivative filter each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matter, and a slew limit removes level skips. Standard BKT stops reacting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after long success runs; a CUSUM lapse detector restores the reaction at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a modest cost in jitter, while forgetting trades overload for underload. In 300 single real calls, 98.7% of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screens met the budget with the planner and 92% without it. The next steps are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running full trajectories with the real model, a learned fast policy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trained on real interaction data, and a study with learners. We claim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structural budget regulation in simulation, not learning gains or reduced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cognitive load.</w:t>
      </w:r>
    </w:p>
    <w:bookmarkEnd w:id="40"/>
    <w:bookmarkStart w:id="42" w:name="code-and-data-availability"/>
    <w:p>
      <w:pPr>
        <w:pStyle w:val="Heading1"/>
      </w:pPr>
      <w:r>
        <w:rPr>
          <w:rFonts w:ascii="Times New Roman" w:hAnsi="Times New Roman" w:cs="Times New Roman" w:eastAsia="Times New Roman"/>
          <w:b w:val="0"/>
          <w:i w:val="0"/>
          <w:smallCaps/>
          <w:color w:val="000000"/>
          <w:sz w:val="20"/>
        </w:rPr>
        <w:t xml:space="preserve">Code and Data Availability</w:t>
      </w:r>
    </w:p>
    <w:p>
      <w:pPr>
        <w:pStyle w:val="FirstParagraph"/>
      </w:pPr>
      <w:r>
        <w:rPr>
          <w:rFonts w:ascii="Times New Roman" w:hAnsi="Times New Roman" w:cs="Times New Roman" w:eastAsia="Times New Roman"/>
          <w:color w:val="000000"/>
        </w:rPr>
        <w:t xml:space="preserve">The engine, simulation harness, benchmark results and the sources of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r>
        <w:rPr>
          <w:rFonts w:ascii="Times New Roman" w:hAnsi="Times New Roman" w:cs="Times New Roman" w:eastAsia="Times New Roman"/>
          <w:color w:val="000000"/>
        </w:rPr>
        <w:t xml:space="preserve">this manuscript are openly available at</w:t>
      </w:r>
      <w:r>
        <w:rPr>
          <w:rFonts w:ascii="Times New Roman" w:hAnsi="Times New Roman" w:cs="Times New Roman" w:eastAsia="Times New Roman"/>
          <w:color w:val="000000"/>
        </w:rPr>
        <w:t xml:space="preserve"> </w:t>
      </w:r>
      <w:hyperlink r:id="rId41">
        <w:r>
          <w:rPr>
            <w:rStyle w:val="Hyperlink"/>
          </w:rPr>
          <w:t xml:space="preserve">https://github.com/omanandswami2005/closed-loop-genui-research-implementation</w:t>
        </w:r>
      </w:hyperlink>
      <w:r>
        <w:rPr>
          <w:rFonts w:ascii="Times New Roman" w:hAnsi="Times New Roman" w:cs="Times New Roman" w:eastAsia="Times New Roman"/>
          <w:color w:val="000000"/>
        </w:rPr>
        <w:t xml:space="preserve">.</w:t>
      </w:r>
    </w:p>
    <w:bookmarkEnd w:id="42"/>
    <w:bookmarkStart w:id="81" w:name="references"/>
    <w:p>
      <w:pPr>
        <w:pStyle w:val="Heading1"/>
      </w:pPr>
      <w:r>
        <w:rPr>
          <w:rFonts w:ascii="Times New Roman" w:hAnsi="Times New Roman" w:cs="Times New Roman" w:eastAsia="Times New Roman"/>
          <w:b w:val="0"/>
          <w:i w:val="0"/>
          <w:smallCaps/>
          <w:color w:val="000000"/>
          <w:sz w:val="20"/>
        </w:rPr>
        <w:t xml:space="preserve">References</w:t>
      </w:r>
    </w:p>
    <w:p>
      <w:pPr>
        <w:pStyle w:val="FirstParagraph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[1] A. T. Corbett and J. R. Anderson,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“Knowledge tracing: Modeling the acquisition of procedural knowledge,”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User Modeling and User-Adapted Interaction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4, no. 4, pp. 253–278, 1995.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43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https://doi.org/10.1007/BF01099821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[2] S. Ritter, J. R. Anderson, K. R. Koedinger, and A. Corbett,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Cognitive Tutor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: Applied research in mathematics education,”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Psychonomic Bulletin &amp; Review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14, no. 2, pp. 249–255, 2007.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44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https://doi.org/10.3758/BF03194060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[3] K. VanLehn,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“The relative effectiveness of human tutoring, intelligent tutoring systems, and other tutoring systems,”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Educational Psychologist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46, no. 4, pp. 197–221, 2011.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45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https://doi.org/10.1080/00461520.2011.611369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[4] Y. Leviathan, D. Valevski, M. Kalman, D. Lumen, E. Segalis, E. Molad, S. Pasternak, V. Natchu, V. Nygaard, V. Srinivasan, J. Manyika, and Y. Matias,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“Generative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UI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LLMs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are effective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UI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generators,”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arXiv:2604.09577, 2026.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46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https://arxiv.org/abs/2604.09577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[5] S. Tu, Y. Li, K. Chen, S. Zhang, J. Yu, D. Zhang-Li, L. Hou, J. Li, Y. Zhang, H. Liu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et al.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MAIC-UI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: Making interactive courseware with generative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UI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arXiv:2604.25806, 2026.</w:t>
      </w:r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[6] S. Kalyuga, P. Ayres, P. Chandler, and J. Sweller,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“The expertise reversal effect,”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Educational Psychologist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38, no. 1, pp. 23–31, 2003.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47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https://doi.org/10.1207/S15326985EP3801_4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[7] A. Renkl and R. K. Atkinson,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“Structuring the transition from example study to problem solving in cognitive skill acquisition: A cognitive load perspective,”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Educational Psychologist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38, no. 1, pp. 15–22, 2003.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48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https://doi.org/10.1207/S15326985EP3801_3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[8] R. J. C. M. Salden, V. Aleven, R. Schwonke, and A. Renkl,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“The expertise reversal effect and worked examples in tutored problem solving,”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Instructional Science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38, no. 3, pp. 289–307, 2010.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49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https://doi.org/10.1007/s11251-009-9107-8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[9] K. Z. Gajos, K. Everitt, D. S. Tan, M. Czerwinski, and D. S. Weld,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“Predictability and accuracy in adaptive user interfaces,”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in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Proceedings of the SIGCHI Conference on Human Factors in Computing Systems (CHI)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. ACM, 2008, pp. 1271–1274.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0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https://doi.org/10.1145/1357054.1357252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[10] L. Findlater and J. McGrenere,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“A comparison of static, adaptive, and adaptable menus,”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in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Proceedings of the SIGCHI Conference on Human Factors in Computing Systems (CHI)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. ACM, 2004, pp. 89–96.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1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https://doi.org/10.1145/985692.985704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[11] Z. A. Pardos and N. T. Heffernan,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“Modeling individualization in a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ayesian networks implementation of knowledge tracing,”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in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User Modeling, Adaptation, and Personalization (UMAP 2010)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ser. Lecture Notes in Computer Science. Springer, 2010, pp. 255–266.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2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https://doi.org/10.1007/978-3-642-13470-8_24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[12] M. Khajah, R. V. Lindsey, and M. C. Mozer,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“How deep is knowledge tracing?”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in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Proceedings of the 9th International Conference on Educational Data Mining (EDM 2016)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2016.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3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https://arxiv.org/abs/1604.02416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[13] R. S. J. d. Baker, A. T. Corbett, and V. Aleven,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“More accurate student modeling through contextual estimation of slip and guess probabilities in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ayesian knowledge tracing,”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in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Intelligent Tutoring Systems (ITS 2008)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ser. Lecture Notes in Computer Science. Springer, 2008, pp. 406–415.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4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https://doi.org/10.1007/978-3-540-69132-7_44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[14] B. van de Sande,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“Properties of the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ayesian knowledge tracing model,”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Journal of Educational Data Mining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5, no. 2, pp. 1–10, 2013.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5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https://jedm.educationaldatamining.org/index.php/JEDM/article/view/35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[15] R. Pel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á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nek,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ayesian knowledge tracing, logistic models, and beyond: An overview of learner modeling techniques,”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User Modeling and User-Adapted Interaction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27, no. 3–5, pp. 313–350, 2017.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6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https://doi.org/10.1007/s11257-017-9193-2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[16] K. Z. Gajos, D. S. Weld, and J. O. Wobbrock,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“Automatically generating personalized user interfaces with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Supple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Artificial Intelligence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 174, no. 12–13, pp. 910–950, 2010.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7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https://doi.org/10.1016/j.artint.2010.05.005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[17] J. Sweller,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“Cognitive load during problem solving: Effects on learning,”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Cognitive Science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12, no. 2, pp. 257–285, 1988.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8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https://doi.org/10.1207/s15516709cog1202_4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[18] ——,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“Element interactivity and intrinsic, extraneous, and germane cognitive load,”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Educational Psychology Review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22, no. 2, pp. 123–138, 2010.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59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https://doi.org/10.1007/s10648-010-9128-5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[19] J. Sweller and G. A. Cooper,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“The use of worked examples as a substitute for problem solving in learning algebra,”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Cognition and Instruction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2, no. 1, pp. 59–89, 1985.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0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https://doi.org/10.1207/s1532690xci0201_3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[20] E. R. Fyfe, N. M. McNeil, J. Y. Son, and R. L. Goldstone,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“Concreteness fading in mathematics and science instruction: A systematic review,”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Educational Psychology Review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26, no. 1, pp. 9–25, 2014.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1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https://doi.org/10.1007/s10648-014-9249-3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[21] J. Vlassis,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“The balance model: Hindrance or support for the solving of linear equations with one unknown,”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Educational Studies in Mathematics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49, no. 3, pp. 341–359, 2002.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2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https://doi.org/10.1023/A:1020229023965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[22] C. Kieran,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“Concepts associated with the equality symbol,”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Educational Studies in Mathematics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12, no. 3, pp. 317–326, 1981.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3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https://doi.org/10.1007/BF00311062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[23] J. L. Booth, C. Barbieri, F. Eyer, and E. J. Par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é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-Blagoev,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“Persistent and pernicious errors in algebraic problem solving,”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The Journal of Problem Solving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7, no. 1, 2014.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4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https://doi.org/10.7771/1932-6246.1161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[24] K. J.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Å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str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m and T. H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ä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gglund,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Advanced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PID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Control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. Research Triangle Park, NC: ISA – The Instrumentation, Systems, and Automation Society, 2006.</w:t>
      </w:r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[25] K. J.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Å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str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m and L. Rundqwist,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“Integrator windup and how to avoid it,”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in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1989 American Control Conference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. IEEE, 1989, pp. 1693–1698.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5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https://doi.org/10.23919/ACC.1989.4790464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[26] B. T. Willard and R. Louf,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“Efficient guided generation for large language models,”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arXiv:2307.09702, 2023.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6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https://arxiv.org/abs/2307.09702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[27] S. Geng, H. Cooper, M. Moskal, S. Jenkins, J. Berman, N. Ranchin, R. West, E. Horvitz, and H. Nori,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JSONSchemaBench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: A rigorous benchmark of structured outputs for language models,”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arXiv:2501.10868, 2025.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7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https://arxiv.org/abs/2501.10868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[28] J. Zhang, K. Vanacore, R. S. Baker, N. Ch, C. Mills, and O. Henkel,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“How much mastery is enough mastery?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The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relationship between mastery in a lesson and the performance on the subsequent lesson,”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in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Proceedings of the 18th International Conference on Educational Data Mining (EDM 2025)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2025.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8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https://doi.org/10.5281/zenodo.15870292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[29] J. G. Ziegler and N. B. Nichols,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“Optimum settings for automatic controllers,”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Transactions of the ASME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64, no. 8, pp. 759–765, 1942.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69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https://doi.org/10.1115/1.4019264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[30] S. Skogestad,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“Simple analytic rules for model reduction and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PID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controller tuning,”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Journal of Process Control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13, no. 4, pp. 291–309, 2003.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0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https://doi.org/10.1016/S0959-1524(02)00062-8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[31] D. Graham and R. C. Lathrop,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“The synthesis of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‘optimum’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transient response: Criteria and standard forms,”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Transactions of the American Institute of Electrical Engineers, Part II: Applications and Industry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72, no. 5, pp. 273–288, 1953.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1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https://doi.org/10.1109/TAI.1953.6371346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[32]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Convai Innovations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“Laya: Open-weight decision model,”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Model card,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2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https://huggingface.co/convaiinnovations/laya</w:t>
        </w:r>
      </w:hyperlink>
      <w:r>
        <w:rPr>
          <w:rFonts w:ascii="Times New Roman" w:hAnsi="Times New Roman" w:cs="Times New Roman" w:eastAsia="Times New Roman"/>
          <w:color w:val="000000"/>
          <w:sz w:val="16"/>
        </w:rPr>
        <w:t xml:space="preserve">, 2026.</w:t>
      </w:r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[33] T. S. Tullis,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“The formatting of alphanumeric displays: A review and analysis,”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Human Factors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25, no. 6, pp. 657–682, 1983.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3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https://doi.org/10.1177/001872088302500604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[34] J. I. Kiger,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“The depth/breadth trade-off in the design of menu-driven user interfaces,”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International Journal of Man-Machine Studies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20, no. 2, pp. 201–213, 1984.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4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https://doi.org/10.1016/S0020-7373(84)80018-8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[35] R. M. Dawes,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“The robust beauty of improper linear models in decision making,”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American Psychologist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34, no. 7, pp. 571–582, 1979.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5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https://doi.org/10.1037/0003-066X.34.7.571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[36] K. VanLehn, S. Ohlsson, and R. Nason,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“Applications of simulated students: An exploration,”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Journal of Artificial Intelligence in Education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5, no. 2, pp. 135–175, 1994.</w:t>
      </w:r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[37] T. K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ä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ser and G. Alexandron,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“Simulated learners in educational technology: A systematic literature review and a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uring-like test,”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International Journal of Artificial Intelligence in Education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34, no. 2, pp. 545–585, 2024.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6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https://doi.org/10.1007/s40593-023-00337-2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[38] S. E. Fancsali, T. Nixon, and S. Ritter,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“Optimal and worst-case performance of mastery learning assessment with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ayesian knowledge tracing,”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in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Proceedings of the 6th International Conference on Educational Data Mining (EDM 2013)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2013.</w:t>
      </w:r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[39] H. Levitt,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“Transformed up-down methods in psychoacoustics,”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The Journal of the Acoustical Society of America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49, no. 2B, pp. 467–477, 1971.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7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https://doi.org/10.1121/1.1912375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[40] E. S. Page,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“Continuous inspection schemes,”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Biometrika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41, no. 1/2, pp. 100–115, 1954.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8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https://doi.org/10.2307/2333009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[41] A. Galyardt and I. Goldin,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“Move your lamp post: Recent data reflects learner knowledge better than older data,”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Journal of Educational Data Mining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7, no. 2, pp. 83–108, 2015.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79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https://doi.org/10.5281/zenodo.3554672</w:t>
        </w:r>
      </w:hyperlink>
    </w:p>
    <w:p>
      <w:pPr>
        <w:pStyle w:val="BodyText"/>
        <w:spacing w:before="0" w:after="0" w:line="180" w:lineRule="exact"/>
        <w:ind w:hanging="360" w:left="360"/>
        <w:jc w:val="left"/>
      </w:pPr>
      <w:r>
        <w:rPr>
          <w:rFonts w:ascii="Times New Roman" w:hAnsi="Times New Roman" w:cs="Times New Roman" w:eastAsia="Times New Roman"/>
          <w:color w:val="000000"/>
          <w:sz w:val="16"/>
        </w:rPr>
        <w:t>[42] J. Leppink, F. Paas, C. P. M. Van der Vleuten, T. Van Gog, and J. J. G. Van Merri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ë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nboer,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“Development of an instrument for measuring different types of cognitive load,”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16"/>
        </w:rPr>
        <w:t xml:space="preserve">Behavior Research Methods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, vol. 45, no. 4, pp. 1058–1072, 2013. [Online]. Available:</w:t>
      </w:r>
      <w:r>
        <w:rPr>
          <w:rFonts w:ascii="Times New Roman" w:hAnsi="Times New Roman" w:cs="Times New Roman" w:eastAsia="Times New Roman"/>
          <w:color w:val="000000"/>
          <w:sz w:val="16"/>
        </w:rPr>
        <w:t xml:space="preserve"> </w:t>
      </w:r>
      <w:hyperlink r:id="rId80">
        <w:r>
          <w:rPr>
            <w:rStyle w:val="Hyperlink"/>
            <w:rFonts w:ascii="Times New Roman" w:hAnsi="Times New Roman" w:cs="Times New Roman" w:eastAsia="Times New Roman"/>
            <w:color w:val="000000"/>
            <w:sz w:val="16"/>
          </w:rPr>
          <w:t xml:space="preserve">https://doi.org/10.3758/s13428-013-0334-1</w:t>
        </w:r>
      </w:hyperlink>
    </w:p>
    <w:bookmarkEnd w:id="81"/>
    <w:sectPr>
      <w:footnotePr>
        <w:numRestart w:val="eachSect"/>
      </w:footnotePr>
      <w:type w:val="continuous"/>
      <w:pgSz w:w="12240" w:h="15840"/>
      <w:pgMar w:top="938" w:bottom="1462" w:left="960" w:right="960" w:header="432" w:footer="432" w:gutter="0"/>
      <w:cols w:num="2" w:space="2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="240" w:lineRule="exact"/>
      <w:ind w:firstLine="202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0" w:before="0" w:line="240" w:lineRule="exact"/>
      <w:ind w:firstLine="202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0" w:line="240" w:lineRule="exact"/>
      <w:ind w:firstLine="202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customStyle="1" w:styleId="Compact" w:type="paragraph">
    <w:name w:val="Compact"/>
    <w:basedOn w:val="BodyText"/>
    <w:qFormat/>
    <w:pPr>
      <w:spacing w:after="0" w:before="0" w:line="240" w:lineRule="exact"/>
      <w:ind w:firstLine="202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160" w:line="240" w:lineRule="exact"/>
      <w:ind w:firstLine="0"/>
      <w:jc w:val="center"/>
      <w:outlineLvl w:val="0"/>
    </w:pPr>
    <w:rPr>
      <w:rFonts w:ascii="Times New Roman" w:hAnsi="Times New Roman" w:cs="Times New Roman" w:eastAsia="Times New Roman"/>
      <w:b w:val="0"/>
      <w:i w:val="0"/>
      <w:smallCaps/>
      <w:color w:val="000000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20" w:line="240" w:lineRule="exact"/>
      <w:ind w:firstLine="0"/>
      <w:jc w:val="left"/>
      <w:outlineLvl w:val="1"/>
    </w:pPr>
    <w:rPr>
      <w:rFonts w:ascii="Times New Roman" w:hAnsi="Times New Roman" w:cs="Times New Roman" w:eastAsia="Times New Roman"/>
      <w:b w:val="0"/>
      <w:i/>
      <w:smallCaps w:val="0"/>
      <w:color w:val="000000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 w:eastAsia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34" Type="http://schemas.openxmlformats.org/officeDocument/2006/relationships/image" Target="media/rId34.png"/><Relationship Id="rId28" Type="http://schemas.openxmlformats.org/officeDocument/2006/relationships/image" Target="media/rId28.png"/><Relationship Id="rId17" Type="http://schemas.openxmlformats.org/officeDocument/2006/relationships/image" Target="media/rId17.png"/><Relationship Id="rId20" Type="http://schemas.openxmlformats.org/officeDocument/2006/relationships/image" Target="media/rId20.png"/><Relationship Id="rId53" Type="http://schemas.openxmlformats.org/officeDocument/2006/relationships/hyperlink" Target="https://arxiv.org/abs/1604.02416" TargetMode="External"/><Relationship Id="rId66" Type="http://schemas.openxmlformats.org/officeDocument/2006/relationships/hyperlink" Target="https://arxiv.org/abs/2307.09702" TargetMode="External"/><Relationship Id="rId67" Type="http://schemas.openxmlformats.org/officeDocument/2006/relationships/hyperlink" Target="https://arxiv.org/abs/2501.10868" TargetMode="External"/><Relationship Id="rId46" Type="http://schemas.openxmlformats.org/officeDocument/2006/relationships/hyperlink" Target="https://arxiv.org/abs/2604.09577" TargetMode="External"/><Relationship Id="rId54" Type="http://schemas.openxmlformats.org/officeDocument/2006/relationships/hyperlink" Target="https://doi.org/10.1007/978-3-540-69132-7_44" TargetMode="External"/><Relationship Id="rId52" Type="http://schemas.openxmlformats.org/officeDocument/2006/relationships/hyperlink" Target="https://doi.org/10.1007/978-3-642-13470-8_24" TargetMode="External"/><Relationship Id="rId63" Type="http://schemas.openxmlformats.org/officeDocument/2006/relationships/hyperlink" Target="https://doi.org/10.1007/BF00311062" TargetMode="External"/><Relationship Id="rId43" Type="http://schemas.openxmlformats.org/officeDocument/2006/relationships/hyperlink" Target="https://doi.org/10.1007/BF01099821" TargetMode="External"/><Relationship Id="rId59" Type="http://schemas.openxmlformats.org/officeDocument/2006/relationships/hyperlink" Target="https://doi.org/10.1007/s10648-010-9128-5" TargetMode="External"/><Relationship Id="rId61" Type="http://schemas.openxmlformats.org/officeDocument/2006/relationships/hyperlink" Target="https://doi.org/10.1007/s10648-014-9249-3" TargetMode="External"/><Relationship Id="rId49" Type="http://schemas.openxmlformats.org/officeDocument/2006/relationships/hyperlink" Target="https://doi.org/10.1007/s11251-009-9107-8" TargetMode="External"/><Relationship Id="rId56" Type="http://schemas.openxmlformats.org/officeDocument/2006/relationships/hyperlink" Target="https://doi.org/10.1007/s11257-017-9193-2" TargetMode="External"/><Relationship Id="rId76" Type="http://schemas.openxmlformats.org/officeDocument/2006/relationships/hyperlink" Target="https://doi.org/10.1007/s40593-023-00337-2" TargetMode="External"/><Relationship Id="rId74" Type="http://schemas.openxmlformats.org/officeDocument/2006/relationships/hyperlink" Target="https://doi.org/10.1016/S0020-7373(84)80018-8" TargetMode="External"/><Relationship Id="rId70" Type="http://schemas.openxmlformats.org/officeDocument/2006/relationships/hyperlink" Target="https://doi.org/10.1016/S0959-1524(02)00062-8" TargetMode="External"/><Relationship Id="rId57" Type="http://schemas.openxmlformats.org/officeDocument/2006/relationships/hyperlink" Target="https://doi.org/10.1016/j.artint.2010.05.005" TargetMode="External"/><Relationship Id="rId62" Type="http://schemas.openxmlformats.org/officeDocument/2006/relationships/hyperlink" Target="https://doi.org/10.1023/A:1020229023965" TargetMode="External"/><Relationship Id="rId75" Type="http://schemas.openxmlformats.org/officeDocument/2006/relationships/hyperlink" Target="https://doi.org/10.1037/0003-066X.34.7.571" TargetMode="External"/><Relationship Id="rId45" Type="http://schemas.openxmlformats.org/officeDocument/2006/relationships/hyperlink" Target="https://doi.org/10.1080/00461520.2011.611369" TargetMode="External"/><Relationship Id="rId71" Type="http://schemas.openxmlformats.org/officeDocument/2006/relationships/hyperlink" Target="https://doi.org/10.1109/TAI.1953.6371346" TargetMode="External"/><Relationship Id="rId69" Type="http://schemas.openxmlformats.org/officeDocument/2006/relationships/hyperlink" Target="https://doi.org/10.1115/1.4019264" TargetMode="External"/><Relationship Id="rId77" Type="http://schemas.openxmlformats.org/officeDocument/2006/relationships/hyperlink" Target="https://doi.org/10.1121/1.1912375" TargetMode="External"/><Relationship Id="rId50" Type="http://schemas.openxmlformats.org/officeDocument/2006/relationships/hyperlink" Target="https://doi.org/10.1145/1357054.1357252" TargetMode="External"/><Relationship Id="rId51" Type="http://schemas.openxmlformats.org/officeDocument/2006/relationships/hyperlink" Target="https://doi.org/10.1145/985692.985704" TargetMode="External"/><Relationship Id="rId73" Type="http://schemas.openxmlformats.org/officeDocument/2006/relationships/hyperlink" Target="https://doi.org/10.1177/001872088302500604" TargetMode="External"/><Relationship Id="rId48" Type="http://schemas.openxmlformats.org/officeDocument/2006/relationships/hyperlink" Target="https://doi.org/10.1207/S15326985EP3801_3" TargetMode="External"/><Relationship Id="rId47" Type="http://schemas.openxmlformats.org/officeDocument/2006/relationships/hyperlink" Target="https://doi.org/10.1207/S15326985EP3801_4" TargetMode="External"/><Relationship Id="rId60" Type="http://schemas.openxmlformats.org/officeDocument/2006/relationships/hyperlink" Target="https://doi.org/10.1207/s1532690xci0201_3" TargetMode="External"/><Relationship Id="rId58" Type="http://schemas.openxmlformats.org/officeDocument/2006/relationships/hyperlink" Target="https://doi.org/10.1207/s15516709cog1202_4" TargetMode="External"/><Relationship Id="rId78" Type="http://schemas.openxmlformats.org/officeDocument/2006/relationships/hyperlink" Target="https://doi.org/10.2307/2333009" TargetMode="External"/><Relationship Id="rId65" Type="http://schemas.openxmlformats.org/officeDocument/2006/relationships/hyperlink" Target="https://doi.org/10.23919/ACC.1989.4790464" TargetMode="External"/><Relationship Id="rId44" Type="http://schemas.openxmlformats.org/officeDocument/2006/relationships/hyperlink" Target="https://doi.org/10.3758/BF03194060" TargetMode="External"/><Relationship Id="rId80" Type="http://schemas.openxmlformats.org/officeDocument/2006/relationships/hyperlink" Target="https://doi.org/10.3758/s13428-013-0334-1" TargetMode="External"/><Relationship Id="rId68" Type="http://schemas.openxmlformats.org/officeDocument/2006/relationships/hyperlink" Target="https://doi.org/10.5281/zenodo.15870292" TargetMode="External"/><Relationship Id="rId79" Type="http://schemas.openxmlformats.org/officeDocument/2006/relationships/hyperlink" Target="https://doi.org/10.5281/zenodo.3554672" TargetMode="External"/><Relationship Id="rId64" Type="http://schemas.openxmlformats.org/officeDocument/2006/relationships/hyperlink" Target="https://doi.org/10.7771/1932-6246.1161" TargetMode="External"/><Relationship Id="rId41" Type="http://schemas.openxmlformats.org/officeDocument/2006/relationships/hyperlink" Target="https://github.com/omanandswami2005/closed-loop-genui-research-implementation" TargetMode="External"/><Relationship Id="rId72" Type="http://schemas.openxmlformats.org/officeDocument/2006/relationships/hyperlink" Target="https://huggingface.co/convaiinnovations/laya" TargetMode="External"/><Relationship Id="rId55" Type="http://schemas.openxmlformats.org/officeDocument/2006/relationships/hyperlink" Target="https://jedm.educationaldatamining.org/index.php/JEDM/article/view/35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arxiv.org/abs/1604.02416" TargetMode="External"/><Relationship Id="rId66" Type="http://schemas.openxmlformats.org/officeDocument/2006/relationships/hyperlink" Target="https://arxiv.org/abs/2307.09702" TargetMode="External"/><Relationship Id="rId67" Type="http://schemas.openxmlformats.org/officeDocument/2006/relationships/hyperlink" Target="https://arxiv.org/abs/2501.10868" TargetMode="External"/><Relationship Id="rId46" Type="http://schemas.openxmlformats.org/officeDocument/2006/relationships/hyperlink" Target="https://arxiv.org/abs/2604.09577" TargetMode="External"/><Relationship Id="rId54" Type="http://schemas.openxmlformats.org/officeDocument/2006/relationships/hyperlink" Target="https://doi.org/10.1007/978-3-540-69132-7_44" TargetMode="External"/><Relationship Id="rId52" Type="http://schemas.openxmlformats.org/officeDocument/2006/relationships/hyperlink" Target="https://doi.org/10.1007/978-3-642-13470-8_24" TargetMode="External"/><Relationship Id="rId63" Type="http://schemas.openxmlformats.org/officeDocument/2006/relationships/hyperlink" Target="https://doi.org/10.1007/BF00311062" TargetMode="External"/><Relationship Id="rId43" Type="http://schemas.openxmlformats.org/officeDocument/2006/relationships/hyperlink" Target="https://doi.org/10.1007/BF01099821" TargetMode="External"/><Relationship Id="rId59" Type="http://schemas.openxmlformats.org/officeDocument/2006/relationships/hyperlink" Target="https://doi.org/10.1007/s10648-010-9128-5" TargetMode="External"/><Relationship Id="rId61" Type="http://schemas.openxmlformats.org/officeDocument/2006/relationships/hyperlink" Target="https://doi.org/10.1007/s10648-014-9249-3" TargetMode="External"/><Relationship Id="rId49" Type="http://schemas.openxmlformats.org/officeDocument/2006/relationships/hyperlink" Target="https://doi.org/10.1007/s11251-009-9107-8" TargetMode="External"/><Relationship Id="rId56" Type="http://schemas.openxmlformats.org/officeDocument/2006/relationships/hyperlink" Target="https://doi.org/10.1007/s11257-017-9193-2" TargetMode="External"/><Relationship Id="rId76" Type="http://schemas.openxmlformats.org/officeDocument/2006/relationships/hyperlink" Target="https://doi.org/10.1007/s40593-023-00337-2" TargetMode="External"/><Relationship Id="rId74" Type="http://schemas.openxmlformats.org/officeDocument/2006/relationships/hyperlink" Target="https://doi.org/10.1016/S0020-7373(84)80018-8" TargetMode="External"/><Relationship Id="rId70" Type="http://schemas.openxmlformats.org/officeDocument/2006/relationships/hyperlink" Target="https://doi.org/10.1016/S0959-1524(02)00062-8" TargetMode="External"/><Relationship Id="rId57" Type="http://schemas.openxmlformats.org/officeDocument/2006/relationships/hyperlink" Target="https://doi.org/10.1016/j.artint.2010.05.005" TargetMode="External"/><Relationship Id="rId62" Type="http://schemas.openxmlformats.org/officeDocument/2006/relationships/hyperlink" Target="https://doi.org/10.1023/A:1020229023965" TargetMode="External"/><Relationship Id="rId75" Type="http://schemas.openxmlformats.org/officeDocument/2006/relationships/hyperlink" Target="https://doi.org/10.1037/0003-066X.34.7.571" TargetMode="External"/><Relationship Id="rId45" Type="http://schemas.openxmlformats.org/officeDocument/2006/relationships/hyperlink" Target="https://doi.org/10.1080/00461520.2011.611369" TargetMode="External"/><Relationship Id="rId71" Type="http://schemas.openxmlformats.org/officeDocument/2006/relationships/hyperlink" Target="https://doi.org/10.1109/TAI.1953.6371346" TargetMode="External"/><Relationship Id="rId69" Type="http://schemas.openxmlformats.org/officeDocument/2006/relationships/hyperlink" Target="https://doi.org/10.1115/1.4019264" TargetMode="External"/><Relationship Id="rId77" Type="http://schemas.openxmlformats.org/officeDocument/2006/relationships/hyperlink" Target="https://doi.org/10.1121/1.1912375" TargetMode="External"/><Relationship Id="rId50" Type="http://schemas.openxmlformats.org/officeDocument/2006/relationships/hyperlink" Target="https://doi.org/10.1145/1357054.1357252" TargetMode="External"/><Relationship Id="rId51" Type="http://schemas.openxmlformats.org/officeDocument/2006/relationships/hyperlink" Target="https://doi.org/10.1145/985692.985704" TargetMode="External"/><Relationship Id="rId73" Type="http://schemas.openxmlformats.org/officeDocument/2006/relationships/hyperlink" Target="https://doi.org/10.1177/001872088302500604" TargetMode="External"/><Relationship Id="rId48" Type="http://schemas.openxmlformats.org/officeDocument/2006/relationships/hyperlink" Target="https://doi.org/10.1207/S15326985EP3801_3" TargetMode="External"/><Relationship Id="rId47" Type="http://schemas.openxmlformats.org/officeDocument/2006/relationships/hyperlink" Target="https://doi.org/10.1207/S15326985EP3801_4" TargetMode="External"/><Relationship Id="rId60" Type="http://schemas.openxmlformats.org/officeDocument/2006/relationships/hyperlink" Target="https://doi.org/10.1207/s1532690xci0201_3" TargetMode="External"/><Relationship Id="rId58" Type="http://schemas.openxmlformats.org/officeDocument/2006/relationships/hyperlink" Target="https://doi.org/10.1207/s15516709cog1202_4" TargetMode="External"/><Relationship Id="rId78" Type="http://schemas.openxmlformats.org/officeDocument/2006/relationships/hyperlink" Target="https://doi.org/10.2307/2333009" TargetMode="External"/><Relationship Id="rId65" Type="http://schemas.openxmlformats.org/officeDocument/2006/relationships/hyperlink" Target="https://doi.org/10.23919/ACC.1989.4790464" TargetMode="External"/><Relationship Id="rId44" Type="http://schemas.openxmlformats.org/officeDocument/2006/relationships/hyperlink" Target="https://doi.org/10.3758/BF03194060" TargetMode="External"/><Relationship Id="rId80" Type="http://schemas.openxmlformats.org/officeDocument/2006/relationships/hyperlink" Target="https://doi.org/10.3758/s13428-013-0334-1" TargetMode="External"/><Relationship Id="rId68" Type="http://schemas.openxmlformats.org/officeDocument/2006/relationships/hyperlink" Target="https://doi.org/10.5281/zenodo.15870292" TargetMode="External"/><Relationship Id="rId79" Type="http://schemas.openxmlformats.org/officeDocument/2006/relationships/hyperlink" Target="https://doi.org/10.5281/zenodo.3554672" TargetMode="External"/><Relationship Id="rId64" Type="http://schemas.openxmlformats.org/officeDocument/2006/relationships/hyperlink" Target="https://doi.org/10.7771/1932-6246.1161" TargetMode="External"/><Relationship Id="rId41" Type="http://schemas.openxmlformats.org/officeDocument/2006/relationships/hyperlink" Target="https://github.com/omanandswami2005/closed-loop-genui-research-implementation" TargetMode="External"/><Relationship Id="rId72" Type="http://schemas.openxmlformats.org/officeDocument/2006/relationships/hyperlink" Target="https://huggingface.co/convaiinnovations/laya" TargetMode="External"/><Relationship Id="rId55" Type="http://schemas.openxmlformats.org/officeDocument/2006/relationships/hyperlink" Target="https://jedm.educationaldatamining.org/index.php/JEDM/article/view/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Learner-State-Aware Generative User Interfaces: A Closed-Loop Control Architecture for Adaptive Learning Environments</dc:title>
  <dc:creator>Omanand Prashant Swami</dc:creator>
  <cp:keywords/>
  <dcterms:created xsi:type="dcterms:W3CDTF">2026-10-04T17:31:53Z</dcterms:created>
  <dcterms:modified xsi:type="dcterms:W3CDTF">2026-10-04T17:31:53Z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