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ASEAN nowcasting paper-output refresh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runs already completed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rerun these unless the underlying data or forecast specification changes: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asean_nowcast.m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repair_dfm_single_en.m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asean_nowcast_news.m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asean_nowcast_news_charts.m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the three .m files in the project root. Place the five .py files in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location from which you normally run the publication-output scripts.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every command below from the project root so that pwd/os.getcwd() resolves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input and output folders correctly.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order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 MATLAB: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asean_nowcast_evaluator2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prefers Debug_Forecast_Ledger_BM_repaired.csv and falls back to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ledger only if the repaired ledger is absent. Confirm that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console prints the repaired filename.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MATLAB (either order):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asean_consensus_extension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asean_variable_selection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 Python, after the evaluator finishes: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python generate_appendix_rmse.py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python dm_tables_plots.py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python generate_latex_tables.py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python summary_of_variables_tables.py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python generate_decomposition_charts.py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last Python filename is retained for compatibility, but it no longer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or overwrites decomposition PNGs. It creates only the hard/soft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.tex/.pdf from the audited MATLAB classification CSV.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output audits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Evaluation_Input_Audit.csv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Records whether the repaired or original ledger was evaluated.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Forecast_Evaluation_Coverage.csv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Reports eligible, finite, and missing forecasts by country and model.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Consensus_Aggregation_Weights.csv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Records the dynamic T-4 weights used for each consensus date.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DM_Test_Overall.csv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DM_Test_by_Horizon.csv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DM_Test_by_EventWindow.csv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Authoritative target-level Newey-West/HAC results from MATLAB. The Python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script formats these files and never recomputes the tests.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requirements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numpy, matplotlib, and openpyxl. pdflatex is optional: without it,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scripts still create PNG and .tex files but cannot compile PDFs.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 and SciPy are not required.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Corrections in this package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Evaluation uses the repaired forecast ledger when available.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Remaining missing DFM_SINGLE_EN forecasts are disclosed rather than filled.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Headline RMSE excludes h=-1; backcast RMSE remains separate.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DM formatting consumes the evaluator's HAC-corrected CSVs.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RMSE and DM outputs cover DFM_SINGLE, DFM_BLOCK, and DFM_FULLVAR families.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Event-window axes are correctly labeled relative to target quarter-end.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ASEAN consensus uses the same dynamic T-4 weighting rule as the forecast.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 tables automatically resolve the audited/latest common data vintage.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Decomposition appendix classifications come from the validated MATLAB CSV.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