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Z:/research-eme/omar/Harun/code/build/logs/04_competition_measures_11_Mar_2026.log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11 Mar 2026, 13:48:17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Build Sector-Year Reference Tables (REWRITTEN)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PREP: Save a streamlined version of the master data to speed up rangejoin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cpc_class cpc_cluster grant_year assignee_id total_5y_citations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vol_weight = 1 + total_5y_citations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raw_patents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`raw_patents'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C:\Users\m1oaf00\AppData\Local\Temp\ST_5d08_000001.tmp saved as .dta format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a skeleton of all unique Class-Years and Cluster-Years to anchor the windows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cpc_class cpc_cluster grant_year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(6,114,933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anchor_years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`anchor_years'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C:\Users\m1oaf00\AppData\Local\Temp\ST_5d08_000002.tmp saved as .dta format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Class-Level Pooled Window Calculations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by(cpc_class)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a) The Class HHI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 assignee_id: egen window_assignee_count = total(one)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cpc_class grant_year: egen window_total_count = total(one)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duplicates drop cpc_class grant_year assignee_id, force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cpc_class grant_year assignee_id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(19,921,858 observations deleted)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share_sq = (window_assignee_count / window_total_count)^2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hhi_class = share_sq, by(cpc_class grant_year)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class_hhi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`class_hhi'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C:\Users\m1oaf00\AppData\Local\Temp\ST_5d08_000004.tmp saved as .dta format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b) The Quality &amp; Flow Metrics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 = vol_weight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(sum) s_cits = total_5y_citations (sum) s_cnt = one ///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 = total_5y_citations, ///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grant_year)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avgq_class = s_cits / s_cnt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s_cits s_cnt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Class HHI back 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cpc_class grant_year using `class_hhi', nogen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4,739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class_metrics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`class_metrics'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C:\Users\m1oaf00\AppData\Local\Temp\ST_5d08_000005.tmp saved as .dta format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Cluster-Level Pooled Window Calculations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`anchor_years', clear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3 using `raw_patents', by(cpc_cluster)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