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Z:/research-eme/omar/Harun/code/build/logs/05_bibliographic_overlap_16_Mar_2026.log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16 Mar 2026, 17:22:04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args id_var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tostring `id_var', replace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`id_var' = trim(itrim(`id_var'))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`id_var' = subinstr(`id_var', "US",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replace `id_var' = subinstr(`id_var', " ", "", 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gen is_num_tmp = real(`id_var')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`id_var' = string(real(`id_var'), "%08.0f") if is_num_tmp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drop is_num_tmp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the Universe of "Rival Arrivals"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Building Rival Arrivals database..."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Rival Arrivals database...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foundation_id)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Get the grant year of the citing rival patent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C:\Users\m1oaf00\AppData\Local\Temp\ST_374c_000002.tmp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Keep grant_year for rangejoin, but duplicate it as rival_year for window logic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rival_year = grant_year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---&gt; MEMORY OPTIMIZATION: Pre-collapse to annual counts &lt;---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num_rivals = 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num_rivals, by(foundation_id rival_year grant_year)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now have a tiny, highly compressed list of annual citation counts per foundation.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rival_cites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`rival_cites'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C:\Users\m1oaf00\AppData\Local\Temp\ST_374c_000003.tmp saved as .dta format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Map Rivals to Focal Patents (The Rangejoin)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Mapping Overlap to Focal Patents..."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Mapping Overlap to Focal Patents...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(focal_id foundation_id)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"$for_regs/master_regression_file.dta", clear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focal_id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focal_years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`focal_years'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C:\Users\m1oaf00\AppData\Local\Temp\ST_374c_000005.tmp saved as .dta format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focal_id using `focal_years', keep(match) nogen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focal_id was str8, now str15 to accommodate using data's values)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THE RANGEJOIN CORE 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11 using `rival_cites', by(foundation_id)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