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77A26" w14:textId="77777777" w:rsidR="00E32AAA" w:rsidRDefault="00E32AAA" w:rsidP="00E32AAA">
      <w:pPr>
        <w:spacing w:line="360" w:lineRule="auto"/>
        <w:jc w:val="both"/>
        <w:rPr>
          <w:rFonts w:asciiTheme="majorBidi" w:hAnsiTheme="majorBidi" w:cstheme="majorBidi"/>
          <w:b/>
          <w:bCs/>
          <w:sz w:val="28"/>
          <w:szCs w:val="28"/>
        </w:rPr>
      </w:pPr>
      <w:r w:rsidRPr="00E32AAA">
        <w:rPr>
          <w:rFonts w:asciiTheme="majorBidi" w:hAnsiTheme="majorBidi" w:cstheme="majorBidi"/>
          <w:b/>
          <w:bCs/>
          <w:sz w:val="28"/>
          <w:szCs w:val="28"/>
        </w:rPr>
        <w:t>Bioinformatics Analysis of Shared Molecular Mechanisms Between SARS-CoV-2 Infection and Alzheimer’s Disease</w:t>
      </w:r>
    </w:p>
    <w:p w14:paraId="29556743" w14:textId="36CEB3C9" w:rsidR="009B7EF2" w:rsidRDefault="009B7EF2" w:rsidP="00E32AAA">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Team member </w:t>
      </w:r>
    </w:p>
    <w:tbl>
      <w:tblPr>
        <w:tblStyle w:val="TableGrid"/>
        <w:tblpPr w:leftFromText="180" w:rightFromText="180" w:vertAnchor="text" w:horzAnchor="margin" w:tblpY="118"/>
        <w:tblW w:w="0" w:type="auto"/>
        <w:tblLook w:val="04A0" w:firstRow="1" w:lastRow="0" w:firstColumn="1" w:lastColumn="0" w:noHBand="0" w:noVBand="1"/>
      </w:tblPr>
      <w:tblGrid>
        <w:gridCol w:w="4315"/>
        <w:gridCol w:w="4315"/>
      </w:tblGrid>
      <w:tr w:rsidR="009B7EF2" w14:paraId="16193AD2" w14:textId="77777777" w:rsidTr="009B7EF2">
        <w:tc>
          <w:tcPr>
            <w:tcW w:w="4315" w:type="dxa"/>
          </w:tcPr>
          <w:p w14:paraId="306541B2" w14:textId="77777777" w:rsidR="009B7EF2" w:rsidRPr="009B7EF2" w:rsidRDefault="009B7EF2" w:rsidP="009B7EF2">
            <w:pPr>
              <w:spacing w:line="360" w:lineRule="auto"/>
              <w:jc w:val="both"/>
              <w:rPr>
                <w:rFonts w:asciiTheme="majorBidi" w:hAnsiTheme="majorBidi" w:cstheme="majorBidi"/>
                <w:sz w:val="24"/>
                <w:szCs w:val="24"/>
              </w:rPr>
            </w:pPr>
            <w:r w:rsidRPr="009B7EF2">
              <w:rPr>
                <w:rFonts w:asciiTheme="majorBidi" w:hAnsiTheme="majorBidi" w:cstheme="majorBidi"/>
                <w:sz w:val="24"/>
                <w:szCs w:val="24"/>
              </w:rPr>
              <w:t xml:space="preserve">Omar Hisham </w:t>
            </w:r>
          </w:p>
        </w:tc>
        <w:tc>
          <w:tcPr>
            <w:tcW w:w="4315" w:type="dxa"/>
          </w:tcPr>
          <w:p w14:paraId="37962514" w14:textId="77777777" w:rsidR="009B7EF2" w:rsidRPr="009B7EF2" w:rsidRDefault="009B7EF2" w:rsidP="009B7EF2">
            <w:pPr>
              <w:spacing w:line="360" w:lineRule="auto"/>
              <w:jc w:val="both"/>
              <w:rPr>
                <w:rFonts w:asciiTheme="majorBidi" w:hAnsiTheme="majorBidi" w:cstheme="majorBidi"/>
                <w:sz w:val="24"/>
                <w:szCs w:val="24"/>
              </w:rPr>
            </w:pPr>
            <w:r w:rsidRPr="009B7EF2">
              <w:rPr>
                <w:rFonts w:asciiTheme="majorBidi" w:hAnsiTheme="majorBidi" w:cstheme="majorBidi"/>
                <w:sz w:val="24"/>
                <w:szCs w:val="24"/>
              </w:rPr>
              <w:t>231001872</w:t>
            </w:r>
          </w:p>
        </w:tc>
      </w:tr>
      <w:tr w:rsidR="009B7EF2" w14:paraId="3E01DCC3" w14:textId="77777777" w:rsidTr="009B7EF2">
        <w:tc>
          <w:tcPr>
            <w:tcW w:w="4315" w:type="dxa"/>
          </w:tcPr>
          <w:p w14:paraId="60F259DC" w14:textId="77777777" w:rsidR="009B7EF2" w:rsidRPr="009B7EF2" w:rsidRDefault="009B7EF2" w:rsidP="009B7EF2">
            <w:pPr>
              <w:spacing w:line="360" w:lineRule="auto"/>
              <w:jc w:val="both"/>
              <w:rPr>
                <w:rFonts w:asciiTheme="majorBidi" w:hAnsiTheme="majorBidi" w:cstheme="majorBidi"/>
                <w:sz w:val="24"/>
                <w:szCs w:val="24"/>
              </w:rPr>
            </w:pPr>
            <w:r w:rsidRPr="009B7EF2">
              <w:rPr>
                <w:rFonts w:asciiTheme="majorBidi" w:hAnsiTheme="majorBidi" w:cstheme="majorBidi"/>
                <w:sz w:val="24"/>
                <w:szCs w:val="24"/>
              </w:rPr>
              <w:t>Mohmed Ashour</w:t>
            </w:r>
          </w:p>
        </w:tc>
        <w:tc>
          <w:tcPr>
            <w:tcW w:w="4315" w:type="dxa"/>
          </w:tcPr>
          <w:p w14:paraId="4C6E4961" w14:textId="77777777" w:rsidR="009B7EF2" w:rsidRPr="009B7EF2" w:rsidRDefault="009B7EF2" w:rsidP="009B7EF2">
            <w:pPr>
              <w:spacing w:line="360" w:lineRule="auto"/>
              <w:jc w:val="both"/>
              <w:rPr>
                <w:rFonts w:asciiTheme="majorBidi" w:hAnsiTheme="majorBidi" w:cstheme="majorBidi"/>
                <w:sz w:val="24"/>
                <w:szCs w:val="24"/>
              </w:rPr>
            </w:pPr>
            <w:r w:rsidRPr="009B7EF2">
              <w:rPr>
                <w:rFonts w:asciiTheme="majorBidi" w:hAnsiTheme="majorBidi" w:cstheme="majorBidi"/>
                <w:sz w:val="24"/>
                <w:szCs w:val="24"/>
              </w:rPr>
              <w:t>231001817</w:t>
            </w:r>
          </w:p>
        </w:tc>
      </w:tr>
      <w:tr w:rsidR="009B7EF2" w14:paraId="4FFF155F" w14:textId="77777777" w:rsidTr="009B7EF2">
        <w:tc>
          <w:tcPr>
            <w:tcW w:w="4315" w:type="dxa"/>
          </w:tcPr>
          <w:p w14:paraId="687F0C77" w14:textId="77777777" w:rsidR="009B7EF2" w:rsidRPr="009B7EF2" w:rsidRDefault="009B7EF2" w:rsidP="009B7EF2">
            <w:pPr>
              <w:spacing w:line="360" w:lineRule="auto"/>
              <w:jc w:val="both"/>
              <w:rPr>
                <w:rFonts w:asciiTheme="majorBidi" w:hAnsiTheme="majorBidi" w:cstheme="majorBidi"/>
                <w:sz w:val="24"/>
                <w:szCs w:val="24"/>
              </w:rPr>
            </w:pPr>
            <w:r w:rsidRPr="009B7EF2">
              <w:rPr>
                <w:rFonts w:asciiTheme="majorBidi" w:hAnsiTheme="majorBidi" w:cstheme="majorBidi"/>
                <w:sz w:val="24"/>
                <w:szCs w:val="24"/>
              </w:rPr>
              <w:t xml:space="preserve">Soha Yehia </w:t>
            </w:r>
          </w:p>
        </w:tc>
        <w:tc>
          <w:tcPr>
            <w:tcW w:w="4315" w:type="dxa"/>
          </w:tcPr>
          <w:p w14:paraId="6D0E1316" w14:textId="77777777" w:rsidR="009B7EF2" w:rsidRPr="009B7EF2" w:rsidRDefault="009B7EF2" w:rsidP="009B7EF2">
            <w:pPr>
              <w:spacing w:line="360" w:lineRule="auto"/>
              <w:jc w:val="both"/>
              <w:rPr>
                <w:rFonts w:asciiTheme="majorBidi" w:hAnsiTheme="majorBidi" w:cstheme="majorBidi"/>
                <w:sz w:val="24"/>
                <w:szCs w:val="24"/>
              </w:rPr>
            </w:pPr>
            <w:r w:rsidRPr="009B7EF2">
              <w:rPr>
                <w:rFonts w:asciiTheme="majorBidi" w:hAnsiTheme="majorBidi" w:cstheme="majorBidi"/>
                <w:sz w:val="24"/>
                <w:szCs w:val="24"/>
              </w:rPr>
              <w:t>231001231</w:t>
            </w:r>
          </w:p>
        </w:tc>
      </w:tr>
    </w:tbl>
    <w:p w14:paraId="457FCF68" w14:textId="77777777" w:rsidR="009B7EF2" w:rsidRPr="00E32AAA" w:rsidRDefault="009B7EF2" w:rsidP="00E32AAA">
      <w:pPr>
        <w:spacing w:line="360" w:lineRule="auto"/>
        <w:jc w:val="both"/>
        <w:rPr>
          <w:rFonts w:asciiTheme="majorBidi" w:hAnsiTheme="majorBidi" w:cstheme="majorBidi"/>
          <w:b/>
          <w:bCs/>
          <w:sz w:val="28"/>
          <w:szCs w:val="28"/>
        </w:rPr>
      </w:pPr>
    </w:p>
    <w:p w14:paraId="095DE43E" w14:textId="77777777" w:rsidR="009B7EF2" w:rsidRPr="009B7EF2" w:rsidRDefault="009B7EF2" w:rsidP="009B7EF2">
      <w:pPr>
        <w:spacing w:line="360" w:lineRule="auto"/>
        <w:jc w:val="both"/>
        <w:rPr>
          <w:rFonts w:asciiTheme="majorBidi" w:hAnsiTheme="majorBidi" w:cstheme="majorBidi"/>
          <w:b/>
          <w:bCs/>
          <w:sz w:val="24"/>
          <w:szCs w:val="24"/>
        </w:rPr>
      </w:pPr>
      <w:r w:rsidRPr="009B7EF2">
        <w:rPr>
          <w:rFonts w:asciiTheme="majorBidi" w:hAnsiTheme="majorBidi" w:cstheme="majorBidi"/>
          <w:b/>
          <w:bCs/>
          <w:sz w:val="24"/>
          <w:szCs w:val="24"/>
        </w:rPr>
        <w:t>Under the supervision of:</w:t>
      </w:r>
    </w:p>
    <w:p w14:paraId="7209CCC0" w14:textId="2004AC82" w:rsidR="009B7EF2" w:rsidRPr="009B7EF2" w:rsidRDefault="009B7EF2" w:rsidP="009B7EF2">
      <w:pPr>
        <w:spacing w:line="360" w:lineRule="auto"/>
        <w:jc w:val="both"/>
        <w:rPr>
          <w:rFonts w:asciiTheme="majorBidi" w:hAnsiTheme="majorBidi" w:cstheme="majorBidi"/>
          <w:b/>
          <w:bCs/>
          <w:sz w:val="24"/>
          <w:szCs w:val="24"/>
        </w:rPr>
      </w:pPr>
      <w:r w:rsidRPr="009B7EF2">
        <w:rPr>
          <w:rFonts w:asciiTheme="majorBidi" w:hAnsiTheme="majorBidi" w:cstheme="majorBidi"/>
          <w:b/>
          <w:bCs/>
          <w:sz w:val="24"/>
          <w:szCs w:val="24"/>
        </w:rPr>
        <w:t xml:space="preserve">DR: </w:t>
      </w:r>
      <w:r w:rsidRPr="009B7EF2">
        <w:rPr>
          <w:rFonts w:asciiTheme="majorBidi" w:hAnsiTheme="majorBidi" w:cstheme="majorBidi"/>
          <w:sz w:val="24"/>
          <w:szCs w:val="24"/>
        </w:rPr>
        <w:t>Mohmed</w:t>
      </w:r>
      <w:r w:rsidRPr="009B7EF2">
        <w:rPr>
          <w:rFonts w:asciiTheme="majorBidi" w:hAnsiTheme="majorBidi" w:cstheme="majorBidi"/>
          <w:sz w:val="24"/>
          <w:szCs w:val="24"/>
        </w:rPr>
        <w:t xml:space="preserve"> </w:t>
      </w:r>
      <w:r w:rsidRPr="009B7EF2">
        <w:rPr>
          <w:rFonts w:asciiTheme="majorBidi" w:hAnsiTheme="majorBidi" w:cstheme="majorBidi"/>
          <w:sz w:val="24"/>
          <w:szCs w:val="24"/>
        </w:rPr>
        <w:t>E</w:t>
      </w:r>
      <w:r w:rsidRPr="009B7EF2">
        <w:rPr>
          <w:rFonts w:asciiTheme="majorBidi" w:hAnsiTheme="majorBidi" w:cstheme="majorBidi"/>
          <w:sz w:val="24"/>
          <w:szCs w:val="24"/>
        </w:rPr>
        <w:t>lsayeh</w:t>
      </w:r>
    </w:p>
    <w:p w14:paraId="48D7E885" w14:textId="77777777" w:rsidR="009B7EF2" w:rsidRDefault="009B7EF2" w:rsidP="00E32AAA">
      <w:pPr>
        <w:spacing w:line="360" w:lineRule="auto"/>
        <w:jc w:val="both"/>
        <w:rPr>
          <w:rFonts w:asciiTheme="majorBidi" w:hAnsiTheme="majorBidi" w:cstheme="majorBidi"/>
          <w:b/>
          <w:bCs/>
          <w:sz w:val="24"/>
          <w:szCs w:val="24"/>
        </w:rPr>
      </w:pPr>
    </w:p>
    <w:p w14:paraId="01C3B3DD" w14:textId="77777777" w:rsidR="009B7EF2" w:rsidRDefault="009B7EF2" w:rsidP="00E32AAA">
      <w:pPr>
        <w:spacing w:line="360" w:lineRule="auto"/>
        <w:jc w:val="both"/>
        <w:rPr>
          <w:rFonts w:asciiTheme="majorBidi" w:hAnsiTheme="majorBidi" w:cstheme="majorBidi"/>
          <w:b/>
          <w:bCs/>
          <w:sz w:val="24"/>
          <w:szCs w:val="24"/>
        </w:rPr>
      </w:pPr>
    </w:p>
    <w:p w14:paraId="34752D90" w14:textId="77777777" w:rsidR="009B7EF2" w:rsidRDefault="009B7EF2" w:rsidP="00E32AAA">
      <w:pPr>
        <w:spacing w:line="360" w:lineRule="auto"/>
        <w:jc w:val="both"/>
        <w:rPr>
          <w:rFonts w:asciiTheme="majorBidi" w:hAnsiTheme="majorBidi" w:cstheme="majorBidi"/>
          <w:b/>
          <w:bCs/>
          <w:sz w:val="24"/>
          <w:szCs w:val="24"/>
        </w:rPr>
      </w:pPr>
    </w:p>
    <w:p w14:paraId="5933088D" w14:textId="77777777" w:rsidR="009B7EF2" w:rsidRDefault="009B7EF2" w:rsidP="00E32AAA">
      <w:pPr>
        <w:spacing w:line="360" w:lineRule="auto"/>
        <w:jc w:val="both"/>
        <w:rPr>
          <w:rFonts w:asciiTheme="majorBidi" w:hAnsiTheme="majorBidi" w:cstheme="majorBidi"/>
          <w:b/>
          <w:bCs/>
          <w:sz w:val="24"/>
          <w:szCs w:val="24"/>
        </w:rPr>
      </w:pPr>
    </w:p>
    <w:p w14:paraId="34235AA0" w14:textId="77777777" w:rsidR="009B7EF2" w:rsidRDefault="009B7EF2" w:rsidP="00E32AAA">
      <w:pPr>
        <w:spacing w:line="360" w:lineRule="auto"/>
        <w:jc w:val="both"/>
        <w:rPr>
          <w:rFonts w:asciiTheme="majorBidi" w:hAnsiTheme="majorBidi" w:cstheme="majorBidi"/>
          <w:b/>
          <w:bCs/>
          <w:sz w:val="24"/>
          <w:szCs w:val="24"/>
        </w:rPr>
      </w:pPr>
    </w:p>
    <w:p w14:paraId="1D96CC39" w14:textId="77777777" w:rsidR="009B7EF2" w:rsidRDefault="009B7EF2" w:rsidP="00E32AAA">
      <w:pPr>
        <w:spacing w:line="360" w:lineRule="auto"/>
        <w:jc w:val="both"/>
        <w:rPr>
          <w:rFonts w:asciiTheme="majorBidi" w:hAnsiTheme="majorBidi" w:cstheme="majorBidi"/>
          <w:b/>
          <w:bCs/>
          <w:sz w:val="24"/>
          <w:szCs w:val="24"/>
        </w:rPr>
      </w:pPr>
    </w:p>
    <w:p w14:paraId="61BBB84C" w14:textId="77777777" w:rsidR="009B7EF2" w:rsidRDefault="009B7EF2" w:rsidP="00E32AAA">
      <w:pPr>
        <w:spacing w:line="360" w:lineRule="auto"/>
        <w:jc w:val="both"/>
        <w:rPr>
          <w:rFonts w:asciiTheme="majorBidi" w:hAnsiTheme="majorBidi" w:cstheme="majorBidi"/>
          <w:b/>
          <w:bCs/>
          <w:sz w:val="24"/>
          <w:szCs w:val="24"/>
        </w:rPr>
      </w:pPr>
    </w:p>
    <w:p w14:paraId="280B84CA" w14:textId="77777777" w:rsidR="009B7EF2" w:rsidRDefault="009B7EF2" w:rsidP="00E32AAA">
      <w:pPr>
        <w:spacing w:line="360" w:lineRule="auto"/>
        <w:jc w:val="both"/>
        <w:rPr>
          <w:rFonts w:asciiTheme="majorBidi" w:hAnsiTheme="majorBidi" w:cstheme="majorBidi"/>
          <w:b/>
          <w:bCs/>
          <w:sz w:val="24"/>
          <w:szCs w:val="24"/>
        </w:rPr>
      </w:pPr>
    </w:p>
    <w:p w14:paraId="48C4FDD5" w14:textId="77777777" w:rsidR="009B7EF2" w:rsidRDefault="009B7EF2" w:rsidP="00E32AAA">
      <w:pPr>
        <w:spacing w:line="360" w:lineRule="auto"/>
        <w:jc w:val="both"/>
        <w:rPr>
          <w:rFonts w:asciiTheme="majorBidi" w:hAnsiTheme="majorBidi" w:cstheme="majorBidi"/>
          <w:b/>
          <w:bCs/>
          <w:sz w:val="24"/>
          <w:szCs w:val="24"/>
        </w:rPr>
      </w:pPr>
    </w:p>
    <w:p w14:paraId="7729880F" w14:textId="77777777" w:rsidR="009B7EF2" w:rsidRDefault="009B7EF2" w:rsidP="00E32AAA">
      <w:pPr>
        <w:spacing w:line="360" w:lineRule="auto"/>
        <w:jc w:val="both"/>
        <w:rPr>
          <w:rFonts w:asciiTheme="majorBidi" w:hAnsiTheme="majorBidi" w:cstheme="majorBidi"/>
          <w:b/>
          <w:bCs/>
          <w:sz w:val="24"/>
          <w:szCs w:val="24"/>
        </w:rPr>
      </w:pPr>
    </w:p>
    <w:p w14:paraId="64C57B23" w14:textId="77777777" w:rsidR="009B7EF2" w:rsidRDefault="009B7EF2" w:rsidP="00E32AAA">
      <w:pPr>
        <w:spacing w:line="360" w:lineRule="auto"/>
        <w:jc w:val="both"/>
        <w:rPr>
          <w:rFonts w:asciiTheme="majorBidi" w:hAnsiTheme="majorBidi" w:cstheme="majorBidi"/>
          <w:b/>
          <w:bCs/>
          <w:sz w:val="24"/>
          <w:szCs w:val="24"/>
        </w:rPr>
      </w:pPr>
    </w:p>
    <w:p w14:paraId="51D370BB" w14:textId="77777777" w:rsidR="009B7EF2" w:rsidRDefault="009B7EF2" w:rsidP="00E32AAA">
      <w:pPr>
        <w:spacing w:line="360" w:lineRule="auto"/>
        <w:jc w:val="both"/>
        <w:rPr>
          <w:rFonts w:asciiTheme="majorBidi" w:hAnsiTheme="majorBidi" w:cstheme="majorBidi"/>
          <w:b/>
          <w:bCs/>
          <w:sz w:val="24"/>
          <w:szCs w:val="24"/>
        </w:rPr>
      </w:pPr>
    </w:p>
    <w:p w14:paraId="717A5FFD" w14:textId="77777777" w:rsidR="009B7EF2" w:rsidRDefault="009B7EF2" w:rsidP="00E32AAA">
      <w:pPr>
        <w:spacing w:line="360" w:lineRule="auto"/>
        <w:jc w:val="both"/>
        <w:rPr>
          <w:rFonts w:asciiTheme="majorBidi" w:hAnsiTheme="majorBidi" w:cstheme="majorBidi"/>
          <w:b/>
          <w:bCs/>
          <w:sz w:val="24"/>
          <w:szCs w:val="24"/>
        </w:rPr>
      </w:pPr>
    </w:p>
    <w:p w14:paraId="28C5F313" w14:textId="3D2579BA" w:rsidR="00E32AAA" w:rsidRPr="00E32AAA" w:rsidRDefault="00E32AAA" w:rsidP="00E32AAA">
      <w:pPr>
        <w:spacing w:line="360" w:lineRule="auto"/>
        <w:jc w:val="both"/>
        <w:rPr>
          <w:rFonts w:asciiTheme="majorBidi" w:hAnsiTheme="majorBidi" w:cstheme="majorBidi"/>
          <w:b/>
          <w:bCs/>
          <w:sz w:val="24"/>
          <w:szCs w:val="24"/>
        </w:rPr>
      </w:pPr>
      <w:r w:rsidRPr="00E32AAA">
        <w:rPr>
          <w:rFonts w:asciiTheme="majorBidi" w:hAnsiTheme="majorBidi" w:cstheme="majorBidi"/>
          <w:b/>
          <w:bCs/>
          <w:sz w:val="24"/>
          <w:szCs w:val="24"/>
        </w:rPr>
        <w:lastRenderedPageBreak/>
        <w:t>Introduction</w:t>
      </w:r>
    </w:p>
    <w:p w14:paraId="4D0AEFB3" w14:textId="77777777" w:rsidR="00E32AAA" w:rsidRPr="00E32AAA" w:rsidRDefault="00E32AAA" w:rsidP="00E32AAA">
      <w:pPr>
        <w:spacing w:line="360" w:lineRule="auto"/>
        <w:jc w:val="both"/>
        <w:rPr>
          <w:rFonts w:asciiTheme="majorBidi" w:hAnsiTheme="majorBidi" w:cstheme="majorBidi"/>
          <w:sz w:val="24"/>
          <w:szCs w:val="24"/>
        </w:rPr>
      </w:pPr>
      <w:r w:rsidRPr="00E32AAA">
        <w:rPr>
          <w:rFonts w:asciiTheme="majorBidi" w:hAnsiTheme="majorBidi" w:cstheme="majorBidi"/>
          <w:sz w:val="24"/>
          <w:szCs w:val="24"/>
        </w:rPr>
        <w:t>Neurodegenerative diseases represent a major global health burden, with Alzheimer’s disease (AD) being the most prevalent form and a well-established model of neurodegeneration. AD is characterized by progressive cognitive decline, synaptic dysfunction, neuronal loss, amyloid-β (Aβ) plaque accumulation, neurofibrillary tangles of hyperphosphorylated tau protein, chronic neuroinflammation, and oxidative stress. Increasing evidence indicates that immune dysregulation and inflammatory signaling pathways play a central role in the initiation and progression of neurodegenerative disorders.</w:t>
      </w:r>
    </w:p>
    <w:p w14:paraId="379A9107" w14:textId="77777777" w:rsidR="00E32AAA" w:rsidRPr="00E32AAA" w:rsidRDefault="00E32AAA" w:rsidP="00E32AAA">
      <w:pPr>
        <w:spacing w:line="360" w:lineRule="auto"/>
        <w:jc w:val="both"/>
        <w:rPr>
          <w:rFonts w:asciiTheme="majorBidi" w:hAnsiTheme="majorBidi" w:cstheme="majorBidi"/>
          <w:sz w:val="24"/>
          <w:szCs w:val="24"/>
        </w:rPr>
      </w:pPr>
      <w:r w:rsidRPr="00E32AAA">
        <w:rPr>
          <w:rFonts w:asciiTheme="majorBidi" w:hAnsiTheme="majorBidi" w:cstheme="majorBidi"/>
          <w:sz w:val="24"/>
          <w:szCs w:val="24"/>
        </w:rPr>
        <w:t>Coronavirus disease 2019 (COVID-19), caused by severe acute respiratory syndrome coronavirus 2 (SARS-CoV-2), is primarily a respiratory disease; however, accumulating clinical and molecular evidence demonstrates significant neurological and neuropsychiatric manifestations. These include anosmia, headache, cognitive impairment, encephalopathy, and long-term neurological complications. Transcriptomic and systems biology studies have shown that SARS-CoV-2 infection induces extensive host gene expression changes, particularly in pathways related to immune activation, cytokine signaling, apoptosis, oxidative stress, and neuronal communication.</w:t>
      </w:r>
    </w:p>
    <w:p w14:paraId="3FBA7BB4" w14:textId="77777777" w:rsidR="00E32AAA" w:rsidRPr="00E32AAA" w:rsidRDefault="00E32AAA" w:rsidP="00E32AAA">
      <w:pPr>
        <w:spacing w:line="360" w:lineRule="auto"/>
        <w:jc w:val="both"/>
        <w:rPr>
          <w:rFonts w:asciiTheme="majorBidi" w:hAnsiTheme="majorBidi" w:cstheme="majorBidi"/>
          <w:sz w:val="24"/>
          <w:szCs w:val="24"/>
        </w:rPr>
      </w:pPr>
      <w:r w:rsidRPr="00E32AAA">
        <w:rPr>
          <w:rFonts w:asciiTheme="majorBidi" w:hAnsiTheme="majorBidi" w:cstheme="majorBidi"/>
          <w:sz w:val="24"/>
          <w:szCs w:val="24"/>
        </w:rPr>
        <w:t>Recent bioinformatics analyses have highlighted a potential molecular crosstalk between SARS-CoV-2 infection and neurodegenerative diseases. Several studies have reported overlapping differentially expressed genes (DEGs) and shared biological pathways between COVID-19 and disorders such as Alzheimer’s disease, Parkinson’s disease, and other neurodegenerative conditions. These shared pathways include neuroinflammation, mitochondrial dysfunction, synaptic signaling disruption, and immune-mediated neuronal damage, suggesting that viral infections may accelerate or exacerbate neurodegenerative processes.</w:t>
      </w:r>
    </w:p>
    <w:p w14:paraId="0C8CAC33" w14:textId="77777777" w:rsidR="00FF4CE6" w:rsidRDefault="00E32AAA" w:rsidP="00FF4CE6">
      <w:pPr>
        <w:spacing w:line="360" w:lineRule="auto"/>
        <w:jc w:val="both"/>
        <w:rPr>
          <w:rFonts w:asciiTheme="majorBidi" w:hAnsiTheme="majorBidi" w:cstheme="majorBidi"/>
          <w:sz w:val="24"/>
          <w:szCs w:val="24"/>
          <w:rtl/>
        </w:rPr>
      </w:pPr>
      <w:r w:rsidRPr="00E32AAA">
        <w:rPr>
          <w:rFonts w:asciiTheme="majorBidi" w:hAnsiTheme="majorBidi" w:cstheme="majorBidi"/>
          <w:sz w:val="24"/>
          <w:szCs w:val="24"/>
        </w:rPr>
        <w:t xml:space="preserve">In line with the course requirements focusing on neurodegenerative and neuropsychiatric disease-related bioinformatics analysis, this project focuses on Alzheimer’s disease as a representative neurodegenerative disorder. By integrating SARS-CoV-2-related transcriptomic data with Alzheimer’s disease gene expression profiles, this study aims to </w:t>
      </w:r>
      <w:r w:rsidRPr="00E32AAA">
        <w:rPr>
          <w:rFonts w:asciiTheme="majorBidi" w:hAnsiTheme="majorBidi" w:cstheme="majorBidi"/>
          <w:sz w:val="24"/>
          <w:szCs w:val="24"/>
        </w:rPr>
        <w:lastRenderedPageBreak/>
        <w:t>identify shared molecular mechanisms and pathways that may explain COVID-19-associated neurological and neurodegenerative outcomes.</w:t>
      </w:r>
    </w:p>
    <w:p w14:paraId="7F85A0D1" w14:textId="4D1F8CAC" w:rsidR="00FF4CE6" w:rsidRPr="00FF4CE6" w:rsidRDefault="00FF4CE6" w:rsidP="00FF4CE6">
      <w:pPr>
        <w:spacing w:line="360" w:lineRule="auto"/>
        <w:jc w:val="both"/>
        <w:rPr>
          <w:rFonts w:asciiTheme="majorBidi" w:hAnsiTheme="majorBidi" w:cstheme="majorBidi"/>
          <w:sz w:val="24"/>
          <w:szCs w:val="24"/>
          <w:rtl/>
        </w:rPr>
      </w:pPr>
      <w:r w:rsidRPr="00FF4CE6">
        <w:rPr>
          <w:rFonts w:asciiTheme="majorBidi" w:hAnsiTheme="majorBidi" w:cstheme="majorBidi"/>
          <w:sz w:val="24"/>
          <w:szCs w:val="24"/>
        </w:rPr>
        <w:t>Recent narrative reviews have proposed that the SARS-CoV-2 spike protein may exhibit prion-like properties, potentially promoting protein misfolding, neuroinflammation, and neurodegenerative cascades. These mechanisms may overlap with pathological processes observed in Alzheimer’s disease, further supporting the hypothesis of shared molecular pathways.</w:t>
      </w:r>
    </w:p>
    <w:p w14:paraId="70CA3104" w14:textId="0BB6D13C" w:rsidR="00E32AAA" w:rsidRPr="00FF4CE6" w:rsidRDefault="00E32AAA" w:rsidP="00FF4CE6">
      <w:pPr>
        <w:spacing w:line="360" w:lineRule="auto"/>
        <w:jc w:val="both"/>
        <w:rPr>
          <w:rFonts w:asciiTheme="majorBidi" w:hAnsiTheme="majorBidi" w:cstheme="majorBidi"/>
          <w:sz w:val="24"/>
          <w:szCs w:val="24"/>
        </w:rPr>
      </w:pPr>
      <w:r w:rsidRPr="00E32AAA">
        <w:rPr>
          <w:rFonts w:asciiTheme="majorBidi" w:hAnsiTheme="majorBidi" w:cstheme="majorBidi"/>
          <w:b/>
          <w:bCs/>
          <w:sz w:val="24"/>
          <w:szCs w:val="24"/>
        </w:rPr>
        <w:t>Aim</w:t>
      </w:r>
    </w:p>
    <w:p w14:paraId="7FFA322F" w14:textId="3403728D" w:rsidR="00E32AAA" w:rsidRPr="00E32AAA" w:rsidRDefault="00E32AAA" w:rsidP="00E32AAA">
      <w:pPr>
        <w:spacing w:line="360" w:lineRule="auto"/>
        <w:jc w:val="both"/>
        <w:rPr>
          <w:rFonts w:asciiTheme="majorBidi" w:hAnsiTheme="majorBidi" w:cstheme="majorBidi"/>
          <w:sz w:val="24"/>
          <w:szCs w:val="24"/>
        </w:rPr>
      </w:pPr>
      <w:r w:rsidRPr="00E32AAA">
        <w:rPr>
          <w:rFonts w:asciiTheme="majorBidi" w:hAnsiTheme="majorBidi" w:cstheme="majorBidi"/>
          <w:sz w:val="24"/>
          <w:szCs w:val="24"/>
        </w:rPr>
        <w:t>To investigate shared differentially expressed genes and molecular pathways between SARS-CoV-2 infection and Alzheimer’s disease using bioinformatics-based transcriptomic analysis.</w:t>
      </w:r>
    </w:p>
    <w:p w14:paraId="3C642C36" w14:textId="7C482C72" w:rsidR="00E32AAA" w:rsidRPr="00E32AAA" w:rsidRDefault="00E32AAA" w:rsidP="00E32AAA">
      <w:pPr>
        <w:spacing w:line="360" w:lineRule="auto"/>
        <w:jc w:val="both"/>
        <w:rPr>
          <w:rFonts w:asciiTheme="majorBidi" w:hAnsiTheme="majorBidi" w:cstheme="majorBidi"/>
          <w:b/>
          <w:bCs/>
          <w:sz w:val="24"/>
          <w:szCs w:val="24"/>
        </w:rPr>
      </w:pPr>
      <w:r w:rsidRPr="00E32AAA">
        <w:rPr>
          <w:rFonts w:asciiTheme="majorBidi" w:hAnsiTheme="majorBidi" w:cstheme="majorBidi"/>
          <w:b/>
          <w:bCs/>
          <w:sz w:val="24"/>
          <w:szCs w:val="24"/>
        </w:rPr>
        <w:t>Objectives</w:t>
      </w:r>
    </w:p>
    <w:p w14:paraId="6A00E643" w14:textId="77777777" w:rsidR="00E32AAA" w:rsidRPr="00E32AAA" w:rsidRDefault="00E32AAA" w:rsidP="00E32AAA">
      <w:pPr>
        <w:numPr>
          <w:ilvl w:val="0"/>
          <w:numId w:val="11"/>
        </w:numPr>
        <w:spacing w:line="360" w:lineRule="auto"/>
        <w:jc w:val="both"/>
        <w:rPr>
          <w:rFonts w:asciiTheme="majorBidi" w:hAnsiTheme="majorBidi" w:cstheme="majorBidi"/>
          <w:sz w:val="24"/>
          <w:szCs w:val="24"/>
        </w:rPr>
      </w:pPr>
      <w:r w:rsidRPr="00E32AAA">
        <w:rPr>
          <w:rFonts w:asciiTheme="majorBidi" w:hAnsiTheme="majorBidi" w:cstheme="majorBidi"/>
          <w:sz w:val="24"/>
          <w:szCs w:val="24"/>
        </w:rPr>
        <w:t>To identify differentially expressed genes (DEGs) associated with SARS-CoV-2 infection from publicly available gene expression datasets.</w:t>
      </w:r>
    </w:p>
    <w:p w14:paraId="3F8E7F97" w14:textId="77777777" w:rsidR="00E32AAA" w:rsidRPr="00E32AAA" w:rsidRDefault="00E32AAA" w:rsidP="00E32AAA">
      <w:pPr>
        <w:numPr>
          <w:ilvl w:val="0"/>
          <w:numId w:val="11"/>
        </w:numPr>
        <w:spacing w:line="360" w:lineRule="auto"/>
        <w:jc w:val="both"/>
        <w:rPr>
          <w:rFonts w:asciiTheme="majorBidi" w:hAnsiTheme="majorBidi" w:cstheme="majorBidi"/>
          <w:sz w:val="24"/>
          <w:szCs w:val="24"/>
        </w:rPr>
      </w:pPr>
      <w:r w:rsidRPr="00E32AAA">
        <w:rPr>
          <w:rFonts w:asciiTheme="majorBidi" w:hAnsiTheme="majorBidi" w:cstheme="majorBidi"/>
          <w:sz w:val="24"/>
          <w:szCs w:val="24"/>
        </w:rPr>
        <w:t>To identify differentially expressed genes associated with Alzheimer’s disease from publicly available gene expression datasets.</w:t>
      </w:r>
    </w:p>
    <w:p w14:paraId="58C1A93B" w14:textId="77777777" w:rsidR="00E32AAA" w:rsidRPr="00E32AAA" w:rsidRDefault="00E32AAA" w:rsidP="00E32AAA">
      <w:pPr>
        <w:numPr>
          <w:ilvl w:val="0"/>
          <w:numId w:val="11"/>
        </w:numPr>
        <w:spacing w:line="360" w:lineRule="auto"/>
        <w:jc w:val="both"/>
        <w:rPr>
          <w:rFonts w:asciiTheme="majorBidi" w:hAnsiTheme="majorBidi" w:cstheme="majorBidi"/>
          <w:sz w:val="24"/>
          <w:szCs w:val="24"/>
        </w:rPr>
      </w:pPr>
      <w:r w:rsidRPr="00E32AAA">
        <w:rPr>
          <w:rFonts w:asciiTheme="majorBidi" w:hAnsiTheme="majorBidi" w:cstheme="majorBidi"/>
          <w:sz w:val="24"/>
          <w:szCs w:val="24"/>
        </w:rPr>
        <w:t>To determine the overlapping DEGs between SARS-CoV-2 infection and Alzheimer’s disease.</w:t>
      </w:r>
    </w:p>
    <w:p w14:paraId="1886336C" w14:textId="77777777" w:rsidR="00E32AAA" w:rsidRPr="00E32AAA" w:rsidRDefault="00E32AAA" w:rsidP="00E32AAA">
      <w:pPr>
        <w:numPr>
          <w:ilvl w:val="0"/>
          <w:numId w:val="11"/>
        </w:numPr>
        <w:spacing w:line="360" w:lineRule="auto"/>
        <w:jc w:val="both"/>
        <w:rPr>
          <w:rFonts w:asciiTheme="majorBidi" w:hAnsiTheme="majorBidi" w:cstheme="majorBidi"/>
          <w:sz w:val="24"/>
          <w:szCs w:val="24"/>
        </w:rPr>
      </w:pPr>
      <w:r w:rsidRPr="00E32AAA">
        <w:rPr>
          <w:rFonts w:asciiTheme="majorBidi" w:hAnsiTheme="majorBidi" w:cstheme="majorBidi"/>
          <w:sz w:val="24"/>
          <w:szCs w:val="24"/>
        </w:rPr>
        <w:t>To perform functional annotation and pathway enrichment analysis of the shared genes, with a focus on neurodegeneration-related pathways, immune and inflammatory signaling, and SARS-CoV-2-associated pathways.</w:t>
      </w:r>
    </w:p>
    <w:p w14:paraId="22C69F4E" w14:textId="0C450355" w:rsidR="00E32AAA" w:rsidRPr="00E32AAA" w:rsidRDefault="00E32AAA" w:rsidP="00E32AAA">
      <w:pPr>
        <w:numPr>
          <w:ilvl w:val="0"/>
          <w:numId w:val="11"/>
        </w:numPr>
        <w:spacing w:line="360" w:lineRule="auto"/>
        <w:jc w:val="both"/>
        <w:rPr>
          <w:rFonts w:asciiTheme="majorBidi" w:hAnsiTheme="majorBidi" w:cstheme="majorBidi"/>
          <w:sz w:val="24"/>
          <w:szCs w:val="24"/>
        </w:rPr>
      </w:pPr>
      <w:r w:rsidRPr="00E32AAA">
        <w:rPr>
          <w:rFonts w:asciiTheme="majorBidi" w:hAnsiTheme="majorBidi" w:cstheme="majorBidi"/>
          <w:sz w:val="24"/>
          <w:szCs w:val="24"/>
        </w:rPr>
        <w:t>To interpret the biological relevance of the shared molecular mechanisms in the context of neuroinflammation and neurodegenerative disease progression.</w:t>
      </w:r>
    </w:p>
    <w:p w14:paraId="38DA39FE" w14:textId="0D4FF4DF" w:rsidR="00E32AAA" w:rsidRPr="00E32AAA" w:rsidRDefault="00E32AAA" w:rsidP="00E32AAA">
      <w:pPr>
        <w:spacing w:line="360" w:lineRule="auto"/>
        <w:jc w:val="both"/>
        <w:rPr>
          <w:rFonts w:asciiTheme="majorBidi" w:hAnsiTheme="majorBidi" w:cstheme="majorBidi"/>
          <w:b/>
          <w:bCs/>
          <w:sz w:val="24"/>
          <w:szCs w:val="24"/>
        </w:rPr>
      </w:pPr>
      <w:r w:rsidRPr="00E32AAA">
        <w:rPr>
          <w:rFonts w:asciiTheme="majorBidi" w:hAnsiTheme="majorBidi" w:cstheme="majorBidi"/>
          <w:b/>
          <w:bCs/>
          <w:sz w:val="24"/>
          <w:szCs w:val="24"/>
        </w:rPr>
        <w:t>Methodology</w:t>
      </w:r>
    </w:p>
    <w:p w14:paraId="26EFAA21" w14:textId="77777777" w:rsidR="00E32AAA" w:rsidRPr="00E32AAA" w:rsidRDefault="00E32AAA" w:rsidP="00E32AAA">
      <w:pPr>
        <w:spacing w:line="360" w:lineRule="auto"/>
        <w:jc w:val="both"/>
        <w:rPr>
          <w:rFonts w:asciiTheme="majorBidi" w:hAnsiTheme="majorBidi" w:cstheme="majorBidi"/>
          <w:b/>
          <w:bCs/>
          <w:sz w:val="24"/>
          <w:szCs w:val="24"/>
        </w:rPr>
      </w:pPr>
      <w:r w:rsidRPr="00E32AAA">
        <w:rPr>
          <w:rFonts w:asciiTheme="majorBidi" w:hAnsiTheme="majorBidi" w:cstheme="majorBidi"/>
          <w:b/>
          <w:bCs/>
          <w:sz w:val="24"/>
          <w:szCs w:val="24"/>
        </w:rPr>
        <w:t>Data Collection</w:t>
      </w:r>
    </w:p>
    <w:p w14:paraId="535E7A32" w14:textId="77777777" w:rsidR="00E32AAA" w:rsidRPr="00E32AAA" w:rsidRDefault="00E32AAA" w:rsidP="00E32AAA">
      <w:pPr>
        <w:spacing w:line="360" w:lineRule="auto"/>
        <w:jc w:val="both"/>
        <w:rPr>
          <w:rFonts w:asciiTheme="majorBidi" w:hAnsiTheme="majorBidi" w:cstheme="majorBidi"/>
          <w:sz w:val="24"/>
          <w:szCs w:val="24"/>
        </w:rPr>
      </w:pPr>
      <w:r w:rsidRPr="00E32AAA">
        <w:rPr>
          <w:rFonts w:asciiTheme="majorBidi" w:hAnsiTheme="majorBidi" w:cstheme="majorBidi"/>
          <w:sz w:val="24"/>
          <w:szCs w:val="24"/>
        </w:rPr>
        <w:lastRenderedPageBreak/>
        <w:t xml:space="preserve">Publicly available gene expression datasets related to SARS-CoV-2 infection and Alzheimer’s disease were retrieved from the Gene Expression Omnibus (GEO) database. Dataset selection followed strategies reported in previous large-scale bioinformatics studies on neurodegenerative and neuropsychiatric disorders, particularly methodologies described by </w:t>
      </w:r>
      <w:proofErr w:type="spellStart"/>
      <w:r w:rsidRPr="00E32AAA">
        <w:rPr>
          <w:rFonts w:asciiTheme="majorBidi" w:hAnsiTheme="majorBidi" w:cstheme="majorBidi"/>
          <w:sz w:val="24"/>
          <w:szCs w:val="24"/>
        </w:rPr>
        <w:t>Gandal</w:t>
      </w:r>
      <w:proofErr w:type="spellEnd"/>
      <w:r w:rsidRPr="00E32AAA">
        <w:rPr>
          <w:rFonts w:asciiTheme="majorBidi" w:hAnsiTheme="majorBidi" w:cstheme="majorBidi"/>
          <w:sz w:val="24"/>
          <w:szCs w:val="24"/>
        </w:rPr>
        <w:t xml:space="preserve"> et al. (2020) and subsequent systems biology studies, in addition to recent COVID-19 and neurodegeneration analyses.</w:t>
      </w:r>
    </w:p>
    <w:p w14:paraId="6A82B192" w14:textId="77777777" w:rsidR="00E32AAA" w:rsidRPr="00E32AAA" w:rsidRDefault="00E32AAA" w:rsidP="00E32AAA">
      <w:pPr>
        <w:spacing w:line="360" w:lineRule="auto"/>
        <w:jc w:val="both"/>
        <w:rPr>
          <w:rFonts w:asciiTheme="majorBidi" w:hAnsiTheme="majorBidi" w:cstheme="majorBidi"/>
          <w:b/>
          <w:bCs/>
          <w:sz w:val="24"/>
          <w:szCs w:val="24"/>
        </w:rPr>
      </w:pPr>
      <w:r w:rsidRPr="00E32AAA">
        <w:rPr>
          <w:rFonts w:asciiTheme="majorBidi" w:hAnsiTheme="majorBidi" w:cstheme="majorBidi"/>
          <w:b/>
          <w:bCs/>
          <w:sz w:val="24"/>
          <w:szCs w:val="24"/>
        </w:rPr>
        <w:t>Adopted Bioinformatics Workflow</w:t>
      </w:r>
    </w:p>
    <w:p w14:paraId="32E30CF9" w14:textId="77777777" w:rsidR="00E32AAA" w:rsidRPr="00E32AAA" w:rsidRDefault="00E32AAA" w:rsidP="00E32AAA">
      <w:pPr>
        <w:spacing w:line="360" w:lineRule="auto"/>
        <w:jc w:val="both"/>
        <w:rPr>
          <w:rFonts w:asciiTheme="majorBidi" w:hAnsiTheme="majorBidi" w:cstheme="majorBidi"/>
          <w:sz w:val="24"/>
          <w:szCs w:val="24"/>
        </w:rPr>
      </w:pPr>
      <w:r w:rsidRPr="00E32AAA">
        <w:rPr>
          <w:rFonts w:asciiTheme="majorBidi" w:hAnsiTheme="majorBidi" w:cstheme="majorBidi"/>
          <w:sz w:val="24"/>
          <w:szCs w:val="24"/>
        </w:rPr>
        <w:t>The bioinformatics analysis pipeline was adopted from previously published studies that investigated shared molecular mechanisms across neurodegenerative and neuropsychiatric disorders (Nature, 2020; Wiley, 2021), as well as COVID-19-related transcriptomic studies. The workflow included data preprocessing, normalization, differential gene expression analysis, gene intersection analysis, and pathway enrichment analysis.</w:t>
      </w:r>
    </w:p>
    <w:p w14:paraId="4B758B9E" w14:textId="77777777" w:rsidR="00E32AAA" w:rsidRPr="00E32AAA" w:rsidRDefault="00E32AAA" w:rsidP="00E32AAA">
      <w:pPr>
        <w:spacing w:line="360" w:lineRule="auto"/>
        <w:jc w:val="both"/>
        <w:rPr>
          <w:rFonts w:asciiTheme="majorBidi" w:hAnsiTheme="majorBidi" w:cstheme="majorBidi"/>
          <w:b/>
          <w:bCs/>
          <w:sz w:val="24"/>
          <w:szCs w:val="24"/>
        </w:rPr>
      </w:pPr>
      <w:r w:rsidRPr="00E32AAA">
        <w:rPr>
          <w:rFonts w:asciiTheme="majorBidi" w:hAnsiTheme="majorBidi" w:cstheme="majorBidi"/>
          <w:b/>
          <w:bCs/>
          <w:sz w:val="24"/>
          <w:szCs w:val="24"/>
        </w:rPr>
        <w:t>Differential Gene Expression Analysis</w:t>
      </w:r>
    </w:p>
    <w:p w14:paraId="7779FA19" w14:textId="77777777" w:rsidR="00E32AAA" w:rsidRPr="00E32AAA" w:rsidRDefault="00E32AAA" w:rsidP="00E32AAA">
      <w:pPr>
        <w:spacing w:line="360" w:lineRule="auto"/>
        <w:jc w:val="both"/>
        <w:rPr>
          <w:rFonts w:asciiTheme="majorBidi" w:hAnsiTheme="majorBidi" w:cstheme="majorBidi"/>
          <w:sz w:val="24"/>
          <w:szCs w:val="24"/>
        </w:rPr>
      </w:pPr>
      <w:r w:rsidRPr="00E32AAA">
        <w:rPr>
          <w:rFonts w:asciiTheme="majorBidi" w:hAnsiTheme="majorBidi" w:cstheme="majorBidi"/>
          <w:sz w:val="24"/>
          <w:szCs w:val="24"/>
        </w:rPr>
        <w:t>Differential gene expression analysis was performed independently for SARS-CoV-2 datasets and Alzheimer’s disease datasets by comparing disease samples to healthy control samples. Standard statistical approaches described in the referenced methodologies were applied. Genes with statistically significant adjusted p-values and biologically meaningful fold-change values were considered differentially expressed.</w:t>
      </w:r>
    </w:p>
    <w:p w14:paraId="1D7C78C9" w14:textId="77777777" w:rsidR="00E32AAA" w:rsidRPr="00E32AAA" w:rsidRDefault="00E32AAA" w:rsidP="00E32AAA">
      <w:pPr>
        <w:spacing w:line="360" w:lineRule="auto"/>
        <w:jc w:val="both"/>
        <w:rPr>
          <w:rFonts w:asciiTheme="majorBidi" w:hAnsiTheme="majorBidi" w:cstheme="majorBidi"/>
          <w:b/>
          <w:bCs/>
          <w:sz w:val="24"/>
          <w:szCs w:val="24"/>
        </w:rPr>
      </w:pPr>
      <w:r w:rsidRPr="00E32AAA">
        <w:rPr>
          <w:rFonts w:asciiTheme="majorBidi" w:hAnsiTheme="majorBidi" w:cstheme="majorBidi"/>
          <w:b/>
          <w:bCs/>
          <w:sz w:val="24"/>
          <w:szCs w:val="24"/>
        </w:rPr>
        <w:t>Identification of Shared Genes</w:t>
      </w:r>
    </w:p>
    <w:p w14:paraId="4B32797B" w14:textId="77777777" w:rsidR="00E32AAA" w:rsidRPr="00E32AAA" w:rsidRDefault="00E32AAA" w:rsidP="00E32AAA">
      <w:pPr>
        <w:spacing w:line="360" w:lineRule="auto"/>
        <w:jc w:val="both"/>
        <w:rPr>
          <w:rFonts w:asciiTheme="majorBidi" w:hAnsiTheme="majorBidi" w:cstheme="majorBidi"/>
          <w:sz w:val="24"/>
          <w:szCs w:val="24"/>
        </w:rPr>
      </w:pPr>
      <w:r w:rsidRPr="00E32AAA">
        <w:rPr>
          <w:rFonts w:asciiTheme="majorBidi" w:hAnsiTheme="majorBidi" w:cstheme="majorBidi"/>
          <w:sz w:val="24"/>
          <w:szCs w:val="24"/>
        </w:rPr>
        <w:t>Differentially expressed genes from SARS-CoV-2 infection and Alzheimer’s disease datasets were intersected to identify common DEGs. Venn diagram analysis was used to visualize overlapping gene sets, representing shared molecular signatures between viral infection and neurodegeneration.</w:t>
      </w:r>
    </w:p>
    <w:p w14:paraId="6A6B41F1" w14:textId="77777777" w:rsidR="00E32AAA" w:rsidRPr="00E32AAA" w:rsidRDefault="00E32AAA" w:rsidP="00E32AAA">
      <w:pPr>
        <w:spacing w:line="360" w:lineRule="auto"/>
        <w:jc w:val="both"/>
        <w:rPr>
          <w:rFonts w:asciiTheme="majorBidi" w:hAnsiTheme="majorBidi" w:cstheme="majorBidi"/>
          <w:b/>
          <w:bCs/>
          <w:sz w:val="24"/>
          <w:szCs w:val="24"/>
        </w:rPr>
      </w:pPr>
      <w:r w:rsidRPr="00E32AAA">
        <w:rPr>
          <w:rFonts w:asciiTheme="majorBidi" w:hAnsiTheme="majorBidi" w:cstheme="majorBidi"/>
          <w:b/>
          <w:bCs/>
          <w:sz w:val="24"/>
          <w:szCs w:val="24"/>
        </w:rPr>
        <w:t>Pathway and Functional Enrichment Analysis</w:t>
      </w:r>
    </w:p>
    <w:p w14:paraId="60A82B66" w14:textId="77777777" w:rsidR="00B76C21" w:rsidRPr="00B76C21" w:rsidRDefault="00E32AAA" w:rsidP="00B76C21">
      <w:pPr>
        <w:spacing w:line="360" w:lineRule="auto"/>
        <w:jc w:val="both"/>
        <w:rPr>
          <w:rFonts w:asciiTheme="majorBidi" w:hAnsiTheme="majorBidi" w:cstheme="majorBidi"/>
        </w:rPr>
      </w:pPr>
      <w:r w:rsidRPr="00E32AAA">
        <w:rPr>
          <w:rFonts w:asciiTheme="majorBidi" w:hAnsiTheme="majorBidi" w:cstheme="majorBidi"/>
          <w:sz w:val="24"/>
          <w:szCs w:val="24"/>
        </w:rPr>
        <w:t xml:space="preserve">Functional enrichment analysis was conducted using Gene Ontology (GO) and Kyoto Encyclopedia of Genes and Genomes (KEGG) pathway databases. </w:t>
      </w:r>
      <w:proofErr w:type="gramStart"/>
      <w:r w:rsidRPr="00E32AAA">
        <w:rPr>
          <w:rFonts w:asciiTheme="majorBidi" w:hAnsiTheme="majorBidi" w:cstheme="majorBidi"/>
          <w:sz w:val="24"/>
          <w:szCs w:val="24"/>
        </w:rPr>
        <w:t>Particular focus</w:t>
      </w:r>
      <w:proofErr w:type="gramEnd"/>
      <w:r w:rsidRPr="00E32AAA">
        <w:rPr>
          <w:rFonts w:asciiTheme="majorBidi" w:hAnsiTheme="majorBidi" w:cstheme="majorBidi"/>
          <w:sz w:val="24"/>
          <w:szCs w:val="24"/>
        </w:rPr>
        <w:t xml:space="preserve"> was placed on pathways specified in the course requirements, including the Alzheimer’s disease </w:t>
      </w:r>
      <w:r w:rsidRPr="00E32AAA">
        <w:rPr>
          <w:rFonts w:asciiTheme="majorBidi" w:hAnsiTheme="majorBidi" w:cstheme="majorBidi"/>
          <w:sz w:val="24"/>
          <w:szCs w:val="24"/>
        </w:rPr>
        <w:lastRenderedPageBreak/>
        <w:t xml:space="preserve">pathway (KEGG map05022) and the SARS-CoV-2 infection pathway (KEGG map05171). Additional </w:t>
      </w:r>
      <w:proofErr w:type="gramStart"/>
      <w:r w:rsidRPr="00E32AAA">
        <w:rPr>
          <w:rFonts w:asciiTheme="majorBidi" w:hAnsiTheme="majorBidi" w:cstheme="majorBidi"/>
          <w:sz w:val="24"/>
          <w:szCs w:val="24"/>
        </w:rPr>
        <w:t>immune</w:t>
      </w:r>
      <w:proofErr w:type="gramEnd"/>
      <w:r w:rsidRPr="00E32AAA">
        <w:rPr>
          <w:rFonts w:asciiTheme="majorBidi" w:hAnsiTheme="majorBidi" w:cstheme="majorBidi"/>
          <w:sz w:val="24"/>
          <w:szCs w:val="24"/>
        </w:rPr>
        <w:t>, inflammatory, and neurodegeneration-related pathways were also assessed.</w:t>
      </w:r>
      <w:r w:rsidR="00B76C21">
        <w:rPr>
          <w:rFonts w:asciiTheme="majorBidi" w:hAnsiTheme="majorBidi" w:cstheme="majorBidi" w:hint="cs"/>
          <w:sz w:val="24"/>
          <w:szCs w:val="24"/>
          <w:rtl/>
        </w:rPr>
        <w:t xml:space="preserve"> </w:t>
      </w:r>
      <w:r w:rsidR="00B76C21">
        <w:rPr>
          <w:rFonts w:asciiTheme="majorBidi" w:hAnsiTheme="majorBidi" w:cstheme="majorBidi"/>
          <w:sz w:val="24"/>
          <w:szCs w:val="24"/>
          <w:rtl/>
        </w:rPr>
        <w:br/>
      </w:r>
      <w:r w:rsidR="00B76C21" w:rsidRPr="00B76C21">
        <w:rPr>
          <w:rFonts w:asciiTheme="majorBidi" w:hAnsiTheme="majorBidi" w:cstheme="majorBidi"/>
          <w:b/>
          <w:bCs/>
          <w:sz w:val="24"/>
          <w:szCs w:val="24"/>
        </w:rPr>
        <w:t xml:space="preserve">All bioinformatics analyses and visualizations were implemented using Python in Google </w:t>
      </w:r>
      <w:proofErr w:type="spellStart"/>
      <w:r w:rsidR="00B76C21" w:rsidRPr="00B76C21">
        <w:rPr>
          <w:rFonts w:asciiTheme="majorBidi" w:hAnsiTheme="majorBidi" w:cstheme="majorBidi"/>
          <w:b/>
          <w:bCs/>
          <w:sz w:val="24"/>
          <w:szCs w:val="24"/>
        </w:rPr>
        <w:t>Colab</w:t>
      </w:r>
      <w:proofErr w:type="spellEnd"/>
      <w:r w:rsidR="00B76C21" w:rsidRPr="00B76C21">
        <w:rPr>
          <w:rFonts w:asciiTheme="majorBidi" w:hAnsiTheme="majorBidi" w:cstheme="majorBidi"/>
          <w:b/>
          <w:bCs/>
          <w:sz w:val="24"/>
          <w:szCs w:val="24"/>
        </w:rPr>
        <w:t>, an online computational environment, following established bioinformatics pipelines described in the referenced studies.</w:t>
      </w:r>
    </w:p>
    <w:p w14:paraId="2E95D53A" w14:textId="0F0BF185" w:rsidR="00B76C21" w:rsidRPr="00B76C21" w:rsidRDefault="00B76C21" w:rsidP="00B76C21">
      <w:pPr>
        <w:spacing w:line="360" w:lineRule="auto"/>
        <w:jc w:val="both"/>
        <w:rPr>
          <w:rFonts w:asciiTheme="majorBidi" w:hAnsiTheme="majorBidi" w:cstheme="majorBidi"/>
          <w:sz w:val="24"/>
          <w:szCs w:val="24"/>
        </w:rPr>
      </w:pPr>
    </w:p>
    <w:p w14:paraId="2FCDA7B9" w14:textId="39404C98" w:rsidR="00E32AAA" w:rsidRPr="00E32AAA" w:rsidRDefault="00B76C21" w:rsidP="00E32AAA">
      <w:pPr>
        <w:spacing w:line="360" w:lineRule="auto"/>
        <w:jc w:val="both"/>
        <w:rPr>
          <w:rFonts w:asciiTheme="majorBidi" w:hAnsiTheme="majorBidi" w:cstheme="majorBidi"/>
          <w:sz w:val="24"/>
          <w:szCs w:val="24"/>
        </w:rPr>
      </w:pPr>
      <w:r>
        <w:rPr>
          <w:noProof/>
        </w:rPr>
        <w:drawing>
          <wp:anchor distT="0" distB="0" distL="114300" distR="114300" simplePos="0" relativeHeight="251658240" behindDoc="1" locked="0" layoutInCell="1" allowOverlap="1" wp14:anchorId="1BC3C7D5" wp14:editId="4C956B07">
            <wp:simplePos x="0" y="0"/>
            <wp:positionH relativeFrom="margin">
              <wp:posOffset>1316355</wp:posOffset>
            </wp:positionH>
            <wp:positionV relativeFrom="paragraph">
              <wp:posOffset>110431</wp:posOffset>
            </wp:positionV>
            <wp:extent cx="4991100" cy="3455670"/>
            <wp:effectExtent l="0" t="0" r="0" b="0"/>
            <wp:wrapNone/>
            <wp:docPr id="83392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91100" cy="3455670"/>
                    </a:xfrm>
                    <a:prstGeom prst="rect">
                      <a:avLst/>
                    </a:prstGeom>
                    <a:noFill/>
                    <a:ln>
                      <a:noFill/>
                    </a:ln>
                  </pic:spPr>
                </pic:pic>
              </a:graphicData>
            </a:graphic>
            <wp14:sizeRelH relativeFrom="margin">
              <wp14:pctWidth>0</wp14:pctWidth>
            </wp14:sizeRelH>
          </wp:anchor>
        </w:drawing>
      </w:r>
    </w:p>
    <w:p w14:paraId="3D823FE0" w14:textId="5687F7F5" w:rsidR="00C80A7A" w:rsidRDefault="00C80A7A" w:rsidP="00E32AAA">
      <w:pPr>
        <w:spacing w:line="360" w:lineRule="auto"/>
        <w:jc w:val="both"/>
        <w:rPr>
          <w:rFonts w:asciiTheme="majorBidi" w:hAnsiTheme="majorBidi" w:cstheme="majorBidi"/>
          <w:b/>
          <w:bCs/>
          <w:sz w:val="24"/>
          <w:szCs w:val="24"/>
          <w:rtl/>
        </w:rPr>
      </w:pPr>
    </w:p>
    <w:p w14:paraId="51C01AFE" w14:textId="064C8A1F" w:rsidR="00C80A7A" w:rsidRDefault="00C80A7A" w:rsidP="00E32AAA">
      <w:pPr>
        <w:spacing w:line="360" w:lineRule="auto"/>
        <w:jc w:val="both"/>
        <w:rPr>
          <w:rFonts w:asciiTheme="majorBidi" w:hAnsiTheme="majorBidi" w:cstheme="majorBidi"/>
          <w:b/>
          <w:bCs/>
          <w:sz w:val="24"/>
          <w:szCs w:val="24"/>
          <w:rtl/>
        </w:rPr>
      </w:pPr>
    </w:p>
    <w:p w14:paraId="72AC0937" w14:textId="77777777" w:rsidR="00C80A7A" w:rsidRDefault="00C80A7A" w:rsidP="00E32AAA">
      <w:pPr>
        <w:spacing w:line="360" w:lineRule="auto"/>
        <w:jc w:val="both"/>
        <w:rPr>
          <w:rFonts w:asciiTheme="majorBidi" w:hAnsiTheme="majorBidi" w:cstheme="majorBidi"/>
          <w:b/>
          <w:bCs/>
          <w:sz w:val="24"/>
          <w:szCs w:val="24"/>
          <w:rtl/>
        </w:rPr>
      </w:pPr>
    </w:p>
    <w:p w14:paraId="5A72A282" w14:textId="6BB0C4B1" w:rsidR="00C80A7A" w:rsidRDefault="00C80A7A" w:rsidP="00E32AAA">
      <w:pPr>
        <w:spacing w:line="360" w:lineRule="auto"/>
        <w:jc w:val="both"/>
        <w:rPr>
          <w:rFonts w:asciiTheme="majorBidi" w:hAnsiTheme="majorBidi" w:cstheme="majorBidi"/>
          <w:b/>
          <w:bCs/>
          <w:sz w:val="24"/>
          <w:szCs w:val="24"/>
          <w:rtl/>
        </w:rPr>
      </w:pPr>
    </w:p>
    <w:p w14:paraId="48D8F063" w14:textId="1729C1B9" w:rsidR="00C80A7A" w:rsidRDefault="00C80A7A" w:rsidP="00E32AAA">
      <w:pPr>
        <w:spacing w:line="360" w:lineRule="auto"/>
        <w:jc w:val="both"/>
        <w:rPr>
          <w:rFonts w:asciiTheme="majorBidi" w:hAnsiTheme="majorBidi" w:cstheme="majorBidi"/>
          <w:b/>
          <w:bCs/>
          <w:sz w:val="24"/>
          <w:szCs w:val="24"/>
          <w:rtl/>
        </w:rPr>
      </w:pPr>
    </w:p>
    <w:p w14:paraId="7BE0F1B2" w14:textId="64EBA319" w:rsidR="00C80A7A" w:rsidRDefault="00C80A7A" w:rsidP="00E32AAA">
      <w:pPr>
        <w:spacing w:line="360" w:lineRule="auto"/>
        <w:jc w:val="both"/>
        <w:rPr>
          <w:rFonts w:asciiTheme="majorBidi" w:hAnsiTheme="majorBidi" w:cstheme="majorBidi"/>
          <w:b/>
          <w:bCs/>
          <w:sz w:val="24"/>
          <w:szCs w:val="24"/>
          <w:rtl/>
          <w:lang w:bidi="ar-EG"/>
        </w:rPr>
      </w:pPr>
      <w:r>
        <w:rPr>
          <w:rFonts w:asciiTheme="majorBidi" w:hAnsiTheme="majorBidi" w:cstheme="majorBidi"/>
          <w:b/>
          <w:bCs/>
          <w:sz w:val="24"/>
          <w:szCs w:val="24"/>
          <w:rtl/>
        </w:rPr>
        <w:br/>
      </w:r>
      <w:r>
        <w:rPr>
          <w:rFonts w:asciiTheme="majorBidi" w:hAnsiTheme="majorBidi" w:cstheme="majorBidi"/>
          <w:b/>
          <w:bCs/>
          <w:sz w:val="24"/>
          <w:szCs w:val="24"/>
          <w:rtl/>
        </w:rPr>
        <w:br/>
      </w:r>
      <w:r>
        <w:rPr>
          <w:rFonts w:asciiTheme="majorBidi" w:hAnsiTheme="majorBidi" w:cstheme="majorBidi"/>
          <w:b/>
          <w:bCs/>
          <w:sz w:val="24"/>
          <w:szCs w:val="24"/>
          <w:rtl/>
        </w:rPr>
        <w:br/>
      </w:r>
    </w:p>
    <w:p w14:paraId="392723C3" w14:textId="77777777" w:rsidR="00B76C21" w:rsidRDefault="00B76C21" w:rsidP="00C80A7A">
      <w:pPr>
        <w:spacing w:line="360" w:lineRule="auto"/>
        <w:jc w:val="both"/>
        <w:rPr>
          <w:rFonts w:asciiTheme="majorBidi" w:hAnsiTheme="majorBidi" w:cstheme="majorBidi"/>
          <w:sz w:val="20"/>
          <w:szCs w:val="20"/>
          <w:rtl/>
        </w:rPr>
      </w:pPr>
    </w:p>
    <w:p w14:paraId="7DB2ED89" w14:textId="05B62E9E" w:rsidR="00C80A7A" w:rsidRPr="00C80A7A" w:rsidRDefault="00C80A7A" w:rsidP="00C80A7A">
      <w:pPr>
        <w:spacing w:line="360" w:lineRule="auto"/>
        <w:jc w:val="both"/>
        <w:rPr>
          <w:rFonts w:asciiTheme="majorBidi" w:hAnsiTheme="majorBidi" w:cstheme="majorBidi"/>
          <w:sz w:val="20"/>
          <w:szCs w:val="20"/>
          <w:rtl/>
        </w:rPr>
      </w:pPr>
      <w:r w:rsidRPr="00C80A7A">
        <w:rPr>
          <w:rFonts w:asciiTheme="majorBidi" w:hAnsiTheme="majorBidi" w:cstheme="majorBidi"/>
          <w:sz w:val="20"/>
          <w:szCs w:val="20"/>
        </w:rPr>
        <w:t xml:space="preserve">Figure </w:t>
      </w:r>
      <w:proofErr w:type="gramStart"/>
      <w:r w:rsidRPr="00C80A7A">
        <w:rPr>
          <w:rFonts w:asciiTheme="majorBidi" w:hAnsiTheme="majorBidi" w:cstheme="majorBidi"/>
          <w:sz w:val="20"/>
          <w:szCs w:val="20"/>
        </w:rPr>
        <w:t>1:Bioinformatics</w:t>
      </w:r>
      <w:proofErr w:type="gramEnd"/>
      <w:r w:rsidRPr="00C80A7A">
        <w:rPr>
          <w:rFonts w:asciiTheme="majorBidi" w:hAnsiTheme="majorBidi" w:cstheme="majorBidi"/>
          <w:sz w:val="20"/>
          <w:szCs w:val="20"/>
        </w:rPr>
        <w:t xml:space="preserve"> workflow used to identify shared molecular mechanisms between SARS-CoV-2 infection and Alzheimer’s disease.</w:t>
      </w:r>
    </w:p>
    <w:p w14:paraId="7FA830A1" w14:textId="07A10580" w:rsidR="00E32AAA" w:rsidRPr="00E32AAA" w:rsidRDefault="00E32AAA" w:rsidP="00E32AAA">
      <w:pPr>
        <w:spacing w:line="360" w:lineRule="auto"/>
        <w:jc w:val="both"/>
        <w:rPr>
          <w:rFonts w:asciiTheme="majorBidi" w:hAnsiTheme="majorBidi" w:cstheme="majorBidi"/>
          <w:b/>
          <w:bCs/>
          <w:sz w:val="24"/>
          <w:szCs w:val="24"/>
        </w:rPr>
      </w:pPr>
      <w:r w:rsidRPr="00E32AAA">
        <w:rPr>
          <w:rFonts w:asciiTheme="majorBidi" w:hAnsiTheme="majorBidi" w:cstheme="majorBidi"/>
          <w:b/>
          <w:bCs/>
          <w:sz w:val="24"/>
          <w:szCs w:val="24"/>
        </w:rPr>
        <w:t>Phase Two: Extended Research Question</w:t>
      </w:r>
    </w:p>
    <w:p w14:paraId="327415F1" w14:textId="01255392" w:rsidR="00E32AAA" w:rsidRPr="00E32AAA" w:rsidRDefault="00E32AAA" w:rsidP="00E32AAA">
      <w:pPr>
        <w:spacing w:line="360" w:lineRule="auto"/>
        <w:jc w:val="both"/>
        <w:rPr>
          <w:rFonts w:asciiTheme="majorBidi" w:hAnsiTheme="majorBidi" w:cstheme="majorBidi"/>
          <w:sz w:val="24"/>
          <w:szCs w:val="24"/>
        </w:rPr>
      </w:pPr>
      <w:r w:rsidRPr="00E32AAA">
        <w:rPr>
          <w:rFonts w:asciiTheme="majorBidi" w:hAnsiTheme="majorBidi" w:cstheme="majorBidi"/>
          <w:sz w:val="24"/>
          <w:szCs w:val="24"/>
        </w:rPr>
        <w:t xml:space="preserve">Following the primary analysis, an additional research question will be explored in a subsequent phase of the project: the potential association between SARS-CoV-2 infection and </w:t>
      </w:r>
      <w:proofErr w:type="gramStart"/>
      <w:r w:rsidRPr="00E32AAA">
        <w:rPr>
          <w:rFonts w:asciiTheme="majorBidi" w:hAnsiTheme="majorBidi" w:cstheme="majorBidi"/>
          <w:sz w:val="24"/>
          <w:szCs w:val="24"/>
        </w:rPr>
        <w:t>prion</w:t>
      </w:r>
      <w:proofErr w:type="gramEnd"/>
      <w:r w:rsidRPr="00E32AAA">
        <w:rPr>
          <w:rFonts w:asciiTheme="majorBidi" w:hAnsiTheme="majorBidi" w:cstheme="majorBidi"/>
          <w:sz w:val="24"/>
          <w:szCs w:val="24"/>
        </w:rPr>
        <w:t>-related neurodegenerative mechanisms. Specifically, the possible interrelation between prion diseases, SARS-CoV-2-specific molecular signatures, and non-coding RNAs in neurodegeneration will be investigated based on previously published studies.</w:t>
      </w:r>
    </w:p>
    <w:p w14:paraId="2A7A9D7D" w14:textId="20F59C65" w:rsidR="00E32AAA" w:rsidRPr="00E32AAA" w:rsidRDefault="00E32AAA" w:rsidP="00E32AAA">
      <w:pPr>
        <w:spacing w:line="360" w:lineRule="auto"/>
        <w:jc w:val="both"/>
        <w:rPr>
          <w:rFonts w:asciiTheme="majorBidi" w:hAnsiTheme="majorBidi" w:cstheme="majorBidi"/>
          <w:b/>
          <w:bCs/>
          <w:sz w:val="24"/>
          <w:szCs w:val="24"/>
        </w:rPr>
      </w:pPr>
      <w:r w:rsidRPr="00E32AAA">
        <w:rPr>
          <w:rFonts w:asciiTheme="majorBidi" w:hAnsiTheme="majorBidi" w:cstheme="majorBidi"/>
          <w:b/>
          <w:bCs/>
          <w:sz w:val="24"/>
          <w:szCs w:val="24"/>
        </w:rPr>
        <w:lastRenderedPageBreak/>
        <w:t>Expected Results</w:t>
      </w:r>
    </w:p>
    <w:p w14:paraId="3CF87D35" w14:textId="4854B6DA" w:rsidR="00E32AAA" w:rsidRDefault="00754C67" w:rsidP="00E32AAA">
      <w:pPr>
        <w:spacing w:line="360" w:lineRule="auto"/>
        <w:jc w:val="both"/>
        <w:rPr>
          <w:rFonts w:asciiTheme="majorBidi" w:hAnsiTheme="majorBidi" w:cstheme="majorBidi"/>
          <w:sz w:val="24"/>
          <w:szCs w:val="24"/>
          <w:rtl/>
        </w:rPr>
      </w:pPr>
      <w:r>
        <w:rPr>
          <w:noProof/>
        </w:rPr>
        <w:drawing>
          <wp:anchor distT="0" distB="0" distL="114300" distR="114300" simplePos="0" relativeHeight="251659264" behindDoc="1" locked="0" layoutInCell="1" allowOverlap="1" wp14:anchorId="396F275A" wp14:editId="60F8D13E">
            <wp:simplePos x="0" y="0"/>
            <wp:positionH relativeFrom="margin">
              <wp:posOffset>2897190</wp:posOffset>
            </wp:positionH>
            <wp:positionV relativeFrom="paragraph">
              <wp:posOffset>1147740</wp:posOffset>
            </wp:positionV>
            <wp:extent cx="3397885" cy="2813315"/>
            <wp:effectExtent l="0" t="0" r="0" b="6350"/>
            <wp:wrapNone/>
            <wp:docPr id="1549140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7885" cy="2813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2AAA" w:rsidRPr="00E32AAA">
        <w:rPr>
          <w:rFonts w:asciiTheme="majorBidi" w:hAnsiTheme="majorBidi" w:cstheme="majorBidi"/>
          <w:sz w:val="24"/>
          <w:szCs w:val="24"/>
        </w:rPr>
        <w:t>This study is expected to identify a subset of shared differentially expressed genes between SARS-CoV-2 infection and Alzheimer’s disease. Enrichment analysis is anticipated to reveal common molecular pathways associated with neuroinflammation, immune response, oxidative stress, and neurodegenerative processes. These findings may suggest potential molecular links through which SARS-CoV-2 infection could contribute to or exacerbate Alzheimer’s disease-related pathology.</w:t>
      </w:r>
    </w:p>
    <w:p w14:paraId="40832AE8" w14:textId="19F19384" w:rsidR="00C80A7A" w:rsidRDefault="00C80A7A" w:rsidP="00E32AAA">
      <w:pPr>
        <w:spacing w:line="360" w:lineRule="auto"/>
        <w:jc w:val="both"/>
        <w:rPr>
          <w:rFonts w:asciiTheme="majorBidi" w:hAnsiTheme="majorBidi" w:cstheme="majorBidi"/>
          <w:sz w:val="24"/>
          <w:szCs w:val="24"/>
          <w:rtl/>
        </w:rPr>
      </w:pPr>
    </w:p>
    <w:p w14:paraId="6042D1C2" w14:textId="36EC7392" w:rsidR="00C80A7A" w:rsidRDefault="00C80A7A" w:rsidP="00E32AAA">
      <w:pPr>
        <w:spacing w:line="360" w:lineRule="auto"/>
        <w:jc w:val="both"/>
        <w:rPr>
          <w:rFonts w:asciiTheme="majorBidi" w:hAnsiTheme="majorBidi" w:cstheme="majorBidi"/>
          <w:sz w:val="24"/>
          <w:szCs w:val="24"/>
          <w:rtl/>
        </w:rPr>
      </w:pPr>
    </w:p>
    <w:p w14:paraId="644B2252" w14:textId="77777777" w:rsidR="00C80A7A" w:rsidRDefault="00C80A7A" w:rsidP="00C80A7A">
      <w:pPr>
        <w:spacing w:line="360" w:lineRule="auto"/>
        <w:jc w:val="both"/>
        <w:rPr>
          <w:rFonts w:asciiTheme="majorBidi" w:hAnsiTheme="majorBidi" w:cstheme="majorBidi"/>
          <w:rtl/>
        </w:rPr>
      </w:pPr>
    </w:p>
    <w:p w14:paraId="4886E1FF" w14:textId="77777777" w:rsidR="00C80A7A" w:rsidRDefault="00C80A7A" w:rsidP="00C80A7A">
      <w:pPr>
        <w:spacing w:line="360" w:lineRule="auto"/>
        <w:jc w:val="both"/>
        <w:rPr>
          <w:rFonts w:asciiTheme="majorBidi" w:hAnsiTheme="majorBidi" w:cstheme="majorBidi"/>
          <w:rtl/>
        </w:rPr>
      </w:pPr>
    </w:p>
    <w:p w14:paraId="78FAF15D" w14:textId="77777777" w:rsidR="00C80A7A" w:rsidRDefault="00C80A7A" w:rsidP="00C80A7A">
      <w:pPr>
        <w:spacing w:line="360" w:lineRule="auto"/>
        <w:jc w:val="both"/>
        <w:rPr>
          <w:rFonts w:asciiTheme="majorBidi" w:hAnsiTheme="majorBidi" w:cstheme="majorBidi"/>
          <w:rtl/>
        </w:rPr>
      </w:pPr>
    </w:p>
    <w:p w14:paraId="03C5C386" w14:textId="77777777" w:rsidR="00C80A7A" w:rsidRDefault="00C80A7A" w:rsidP="00C80A7A">
      <w:pPr>
        <w:spacing w:line="360" w:lineRule="auto"/>
        <w:jc w:val="both"/>
        <w:rPr>
          <w:rFonts w:asciiTheme="majorBidi" w:hAnsiTheme="majorBidi" w:cstheme="majorBidi"/>
          <w:rtl/>
        </w:rPr>
      </w:pPr>
    </w:p>
    <w:p w14:paraId="6A549886" w14:textId="77777777" w:rsidR="00754C67" w:rsidRDefault="00754C67" w:rsidP="00754C67">
      <w:pPr>
        <w:spacing w:line="360" w:lineRule="auto"/>
        <w:jc w:val="both"/>
        <w:rPr>
          <w:rFonts w:asciiTheme="majorBidi" w:hAnsiTheme="majorBidi" w:cstheme="majorBidi"/>
          <w:sz w:val="20"/>
          <w:szCs w:val="20"/>
          <w:rtl/>
        </w:rPr>
      </w:pPr>
      <w:r>
        <w:rPr>
          <w:noProof/>
        </w:rPr>
        <w:drawing>
          <wp:anchor distT="0" distB="0" distL="114300" distR="114300" simplePos="0" relativeHeight="251660288" behindDoc="1" locked="0" layoutInCell="1" allowOverlap="1" wp14:anchorId="753C1CDE" wp14:editId="2F72678C">
            <wp:simplePos x="0" y="0"/>
            <wp:positionH relativeFrom="margin">
              <wp:posOffset>2716102</wp:posOffset>
            </wp:positionH>
            <wp:positionV relativeFrom="paragraph">
              <wp:posOffset>112070</wp:posOffset>
            </wp:positionV>
            <wp:extent cx="3753293" cy="3110622"/>
            <wp:effectExtent l="0" t="0" r="0" b="0"/>
            <wp:wrapNone/>
            <wp:docPr id="472302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3293" cy="311062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0A7A" w:rsidRPr="00C80A7A">
        <w:rPr>
          <w:rFonts w:asciiTheme="majorBidi" w:hAnsiTheme="majorBidi" w:cstheme="majorBidi"/>
        </w:rPr>
        <w:t>Figure 2</w:t>
      </w:r>
      <w:r w:rsidR="00C80A7A" w:rsidRPr="00C80A7A">
        <w:rPr>
          <w:rFonts w:asciiTheme="majorBidi" w:hAnsiTheme="majorBidi" w:cstheme="majorBidi" w:hint="cs"/>
          <w:rtl/>
        </w:rPr>
        <w:t>:</w:t>
      </w:r>
      <w:r w:rsidR="00C80A7A" w:rsidRPr="00C80A7A">
        <w:rPr>
          <w:rFonts w:ascii="Times New Roman" w:eastAsia="Times New Roman" w:hAnsi="Times New Roman" w:cs="Times New Roman"/>
        </w:rPr>
        <w:t xml:space="preserve"> </w:t>
      </w:r>
      <w:r w:rsidR="00C80A7A" w:rsidRPr="00C80A7A">
        <w:rPr>
          <w:rFonts w:asciiTheme="majorBidi" w:hAnsiTheme="majorBidi" w:cstheme="majorBidi"/>
          <w:sz w:val="20"/>
          <w:szCs w:val="20"/>
        </w:rPr>
        <w:t>KEGG pathway enrichment highlighting Alzheimer’s disease and SARS-CoV-2 infection pathways.</w:t>
      </w:r>
    </w:p>
    <w:p w14:paraId="35903A42" w14:textId="3AF6C0F9" w:rsidR="00754C67" w:rsidRPr="00754C67" w:rsidRDefault="00754C67" w:rsidP="00754C67">
      <w:pPr>
        <w:spacing w:line="360" w:lineRule="auto"/>
        <w:jc w:val="both"/>
        <w:rPr>
          <w:rFonts w:asciiTheme="majorBidi" w:hAnsiTheme="majorBidi" w:cstheme="majorBidi"/>
          <w:sz w:val="20"/>
          <w:szCs w:val="20"/>
          <w:rtl/>
        </w:rPr>
      </w:pPr>
      <w:r>
        <w:rPr>
          <w:rFonts w:asciiTheme="majorBidi" w:hAnsiTheme="majorBidi" w:cstheme="majorBidi" w:hint="cs"/>
          <w:sz w:val="18"/>
          <w:szCs w:val="18"/>
          <w:rtl/>
        </w:rPr>
        <w:t xml:space="preserve">            </w:t>
      </w:r>
    </w:p>
    <w:p w14:paraId="55B2BC5B" w14:textId="0E0ABDEF" w:rsidR="00C80A7A" w:rsidRDefault="00C80A7A" w:rsidP="00E32AAA">
      <w:pPr>
        <w:spacing w:line="360" w:lineRule="auto"/>
        <w:jc w:val="both"/>
        <w:rPr>
          <w:rFonts w:asciiTheme="majorBidi" w:hAnsiTheme="majorBidi" w:cstheme="majorBidi"/>
          <w:sz w:val="24"/>
          <w:szCs w:val="24"/>
          <w:rtl/>
        </w:rPr>
      </w:pPr>
    </w:p>
    <w:p w14:paraId="6720D127" w14:textId="77777777" w:rsidR="00C80A7A" w:rsidRPr="00E32AAA" w:rsidRDefault="00C80A7A" w:rsidP="00E32AAA">
      <w:pPr>
        <w:spacing w:line="360" w:lineRule="auto"/>
        <w:jc w:val="both"/>
        <w:rPr>
          <w:rFonts w:asciiTheme="majorBidi" w:hAnsiTheme="majorBidi" w:cstheme="majorBidi"/>
          <w:sz w:val="24"/>
          <w:szCs w:val="24"/>
        </w:rPr>
      </w:pPr>
    </w:p>
    <w:p w14:paraId="3F4616DC" w14:textId="0E558384" w:rsidR="00C80A7A" w:rsidRDefault="00C80A7A" w:rsidP="00E32AAA">
      <w:pPr>
        <w:spacing w:line="360" w:lineRule="auto"/>
        <w:jc w:val="both"/>
        <w:rPr>
          <w:rFonts w:asciiTheme="majorBidi" w:hAnsiTheme="majorBidi" w:cstheme="majorBidi"/>
          <w:b/>
          <w:bCs/>
          <w:sz w:val="24"/>
          <w:szCs w:val="24"/>
          <w:rtl/>
        </w:rPr>
      </w:pPr>
    </w:p>
    <w:p w14:paraId="1F25917D" w14:textId="44AC47BF" w:rsidR="00C80A7A" w:rsidRDefault="00C80A7A" w:rsidP="00E32AAA">
      <w:pPr>
        <w:spacing w:line="360" w:lineRule="auto"/>
        <w:jc w:val="both"/>
        <w:rPr>
          <w:rFonts w:asciiTheme="majorBidi" w:hAnsiTheme="majorBidi" w:cstheme="majorBidi"/>
          <w:b/>
          <w:bCs/>
          <w:sz w:val="24"/>
          <w:szCs w:val="24"/>
          <w:rtl/>
        </w:rPr>
      </w:pPr>
    </w:p>
    <w:p w14:paraId="0B9989C6" w14:textId="77777777" w:rsidR="00754C67" w:rsidRDefault="00754C67" w:rsidP="00E32AAA">
      <w:pPr>
        <w:spacing w:line="360" w:lineRule="auto"/>
        <w:jc w:val="both"/>
        <w:rPr>
          <w:rFonts w:asciiTheme="majorBidi" w:hAnsiTheme="majorBidi" w:cstheme="majorBidi"/>
          <w:sz w:val="18"/>
          <w:szCs w:val="18"/>
          <w:rtl/>
        </w:rPr>
      </w:pPr>
      <w:r w:rsidRPr="00CF7BB1">
        <w:rPr>
          <w:rFonts w:asciiTheme="majorBidi" w:hAnsiTheme="majorBidi" w:cstheme="majorBidi"/>
          <w:sz w:val="18"/>
          <w:szCs w:val="18"/>
        </w:rPr>
        <w:t xml:space="preserve">Figure 3: Representative genes shared between </w:t>
      </w:r>
    </w:p>
    <w:p w14:paraId="5F455E13" w14:textId="52FB3E80" w:rsidR="00C80A7A" w:rsidRDefault="00754C67" w:rsidP="00E32AAA">
      <w:pPr>
        <w:spacing w:line="360" w:lineRule="auto"/>
        <w:jc w:val="both"/>
        <w:rPr>
          <w:rFonts w:asciiTheme="majorBidi" w:hAnsiTheme="majorBidi" w:cstheme="majorBidi"/>
          <w:b/>
          <w:bCs/>
          <w:sz w:val="24"/>
          <w:szCs w:val="24"/>
          <w:rtl/>
        </w:rPr>
      </w:pPr>
      <w:r w:rsidRPr="00CF7BB1">
        <w:rPr>
          <w:rFonts w:asciiTheme="majorBidi" w:hAnsiTheme="majorBidi" w:cstheme="majorBidi"/>
          <w:sz w:val="18"/>
          <w:szCs w:val="18"/>
        </w:rPr>
        <w:t>SARS-CoV-2 infection and Alzheimer’s disease.</w:t>
      </w:r>
    </w:p>
    <w:p w14:paraId="5C33727D" w14:textId="77777777" w:rsidR="009B7EF2" w:rsidRDefault="009B7EF2" w:rsidP="00C80A7A">
      <w:pPr>
        <w:spacing w:line="360" w:lineRule="auto"/>
        <w:jc w:val="both"/>
        <w:rPr>
          <w:rFonts w:asciiTheme="majorBidi" w:hAnsiTheme="majorBidi" w:cstheme="majorBidi"/>
          <w:b/>
          <w:bCs/>
          <w:sz w:val="24"/>
          <w:szCs w:val="24"/>
        </w:rPr>
      </w:pPr>
    </w:p>
    <w:p w14:paraId="12C91119" w14:textId="77777777" w:rsidR="009B7EF2" w:rsidRDefault="009B7EF2" w:rsidP="00C80A7A">
      <w:pPr>
        <w:spacing w:line="360" w:lineRule="auto"/>
        <w:jc w:val="both"/>
        <w:rPr>
          <w:rFonts w:asciiTheme="majorBidi" w:hAnsiTheme="majorBidi" w:cstheme="majorBidi"/>
          <w:b/>
          <w:bCs/>
          <w:sz w:val="24"/>
          <w:szCs w:val="24"/>
        </w:rPr>
      </w:pPr>
    </w:p>
    <w:p w14:paraId="1C51A358" w14:textId="3CBBFC41" w:rsidR="00E32AAA" w:rsidRPr="00E32AAA" w:rsidRDefault="00E32AAA" w:rsidP="00C80A7A">
      <w:pPr>
        <w:spacing w:line="360" w:lineRule="auto"/>
        <w:jc w:val="both"/>
        <w:rPr>
          <w:rFonts w:asciiTheme="majorBidi" w:hAnsiTheme="majorBidi" w:cstheme="majorBidi"/>
          <w:b/>
          <w:bCs/>
          <w:sz w:val="24"/>
          <w:szCs w:val="24"/>
        </w:rPr>
      </w:pPr>
      <w:r w:rsidRPr="00E32AAA">
        <w:rPr>
          <w:rFonts w:asciiTheme="majorBidi" w:hAnsiTheme="majorBidi" w:cstheme="majorBidi"/>
          <w:b/>
          <w:bCs/>
          <w:sz w:val="24"/>
          <w:szCs w:val="24"/>
        </w:rPr>
        <w:lastRenderedPageBreak/>
        <w:t>Conclusion</w:t>
      </w:r>
    </w:p>
    <w:p w14:paraId="6BE63F38" w14:textId="7A8DD9E4" w:rsidR="00E32AAA" w:rsidRPr="00E32AAA" w:rsidRDefault="00E32AAA" w:rsidP="00E32AAA">
      <w:pPr>
        <w:spacing w:line="360" w:lineRule="auto"/>
        <w:jc w:val="both"/>
        <w:rPr>
          <w:rFonts w:asciiTheme="majorBidi" w:hAnsiTheme="majorBidi" w:cstheme="majorBidi"/>
          <w:sz w:val="24"/>
          <w:szCs w:val="24"/>
        </w:rPr>
      </w:pPr>
      <w:r w:rsidRPr="00E32AAA">
        <w:rPr>
          <w:rFonts w:asciiTheme="majorBidi" w:hAnsiTheme="majorBidi" w:cstheme="majorBidi"/>
          <w:sz w:val="24"/>
          <w:szCs w:val="24"/>
        </w:rPr>
        <w:t>This bioinformatics-based study aims to provide comprehensive insights into the shared molecular mechanisms between SARS-CoV-2 infection and Alzheimer’s disease. By identifying common differentially expressed genes and enriched biological pathways, the analysis supports emerging evidence that viral infections may influence neurodegenerative processes. Understanding these shared mechanisms may contribute to future research on COVID-19-associated neurological complications and their long-term impact on neurodegenerative diseases.</w:t>
      </w:r>
    </w:p>
    <w:p w14:paraId="7B143483" w14:textId="3E9E60D4" w:rsidR="00E32AAA" w:rsidRPr="00E32AAA" w:rsidRDefault="00E32AAA" w:rsidP="00E32AAA">
      <w:pPr>
        <w:spacing w:line="360" w:lineRule="auto"/>
        <w:jc w:val="both"/>
        <w:rPr>
          <w:rFonts w:asciiTheme="majorBidi" w:hAnsiTheme="majorBidi" w:cstheme="majorBidi"/>
          <w:b/>
          <w:bCs/>
          <w:sz w:val="24"/>
          <w:szCs w:val="24"/>
        </w:rPr>
      </w:pPr>
      <w:r w:rsidRPr="00E32AAA">
        <w:rPr>
          <w:rFonts w:asciiTheme="majorBidi" w:hAnsiTheme="majorBidi" w:cstheme="majorBidi"/>
          <w:b/>
          <w:bCs/>
          <w:sz w:val="24"/>
          <w:szCs w:val="24"/>
        </w:rPr>
        <w:t>References</w:t>
      </w:r>
    </w:p>
    <w:p w14:paraId="512F8F62" w14:textId="43B1ECA7" w:rsidR="00E32AAA" w:rsidRPr="00E32AAA" w:rsidRDefault="00E32AAA" w:rsidP="00E32AAA">
      <w:pPr>
        <w:spacing w:line="360" w:lineRule="auto"/>
        <w:jc w:val="both"/>
        <w:rPr>
          <w:rFonts w:asciiTheme="majorBidi" w:hAnsiTheme="majorBidi" w:cstheme="majorBidi"/>
          <w:sz w:val="24"/>
          <w:szCs w:val="24"/>
        </w:rPr>
      </w:pPr>
      <w:r w:rsidRPr="00E32AAA">
        <w:rPr>
          <w:rFonts w:asciiTheme="majorBidi" w:hAnsiTheme="majorBidi" w:cstheme="majorBidi"/>
          <w:sz w:val="24"/>
          <w:szCs w:val="24"/>
        </w:rPr>
        <w:t>Al-</w:t>
      </w:r>
      <w:proofErr w:type="spellStart"/>
      <w:r w:rsidRPr="00E32AAA">
        <w:rPr>
          <w:rFonts w:asciiTheme="majorBidi" w:hAnsiTheme="majorBidi" w:cstheme="majorBidi"/>
          <w:sz w:val="24"/>
          <w:szCs w:val="24"/>
        </w:rPr>
        <w:t>Mashhadani</w:t>
      </w:r>
      <w:proofErr w:type="spellEnd"/>
      <w:r w:rsidRPr="00E32AAA">
        <w:rPr>
          <w:rFonts w:asciiTheme="majorBidi" w:hAnsiTheme="majorBidi" w:cstheme="majorBidi"/>
          <w:sz w:val="24"/>
          <w:szCs w:val="24"/>
        </w:rPr>
        <w:t xml:space="preserve">, A. H. et al. (2023). Bioinformatics analysis of shared gene expression profiles between COVID-19 and neurodegenerative diseases. </w:t>
      </w:r>
      <w:r w:rsidRPr="00E32AAA">
        <w:rPr>
          <w:rFonts w:asciiTheme="majorBidi" w:hAnsiTheme="majorBidi" w:cstheme="majorBidi"/>
          <w:i/>
          <w:iCs/>
          <w:sz w:val="24"/>
          <w:szCs w:val="24"/>
        </w:rPr>
        <w:t>Journal of Molecular Neuroscience</w:t>
      </w:r>
      <w:r w:rsidRPr="00E32AAA">
        <w:rPr>
          <w:rFonts w:asciiTheme="majorBidi" w:hAnsiTheme="majorBidi" w:cstheme="majorBidi"/>
          <w:sz w:val="24"/>
          <w:szCs w:val="24"/>
        </w:rPr>
        <w:t>.</w:t>
      </w:r>
    </w:p>
    <w:p w14:paraId="289C7DF1" w14:textId="14DFA410" w:rsidR="00E32AAA" w:rsidRPr="00E32AAA" w:rsidRDefault="00E32AAA" w:rsidP="00E32AAA">
      <w:pPr>
        <w:spacing w:line="360" w:lineRule="auto"/>
        <w:jc w:val="both"/>
        <w:rPr>
          <w:rFonts w:asciiTheme="majorBidi" w:hAnsiTheme="majorBidi" w:cstheme="majorBidi"/>
          <w:sz w:val="24"/>
          <w:szCs w:val="24"/>
        </w:rPr>
      </w:pPr>
      <w:r w:rsidRPr="00E32AAA">
        <w:rPr>
          <w:rFonts w:asciiTheme="majorBidi" w:hAnsiTheme="majorBidi" w:cstheme="majorBidi"/>
          <w:sz w:val="24"/>
          <w:szCs w:val="24"/>
        </w:rPr>
        <w:t xml:space="preserve">Zhang, Y. et al. (2023). Identification of common pathways and hub genes between SARS-CoV-2 infection and neurological disorders. </w:t>
      </w:r>
      <w:r w:rsidRPr="00E32AAA">
        <w:rPr>
          <w:rFonts w:asciiTheme="majorBidi" w:hAnsiTheme="majorBidi" w:cstheme="majorBidi"/>
          <w:i/>
          <w:iCs/>
          <w:sz w:val="24"/>
          <w:szCs w:val="24"/>
        </w:rPr>
        <w:t>Scientific Reports</w:t>
      </w:r>
      <w:r w:rsidRPr="00E32AAA">
        <w:rPr>
          <w:rFonts w:asciiTheme="majorBidi" w:hAnsiTheme="majorBidi" w:cstheme="majorBidi"/>
          <w:sz w:val="24"/>
          <w:szCs w:val="24"/>
        </w:rPr>
        <w:t>, 13, 29778.</w:t>
      </w:r>
    </w:p>
    <w:p w14:paraId="16984A24" w14:textId="7A33FE0B" w:rsidR="00E32AAA" w:rsidRPr="00E32AAA" w:rsidRDefault="00E32AAA" w:rsidP="00E32AAA">
      <w:pPr>
        <w:spacing w:line="360" w:lineRule="auto"/>
        <w:jc w:val="both"/>
        <w:rPr>
          <w:rFonts w:asciiTheme="majorBidi" w:hAnsiTheme="majorBidi" w:cstheme="majorBidi"/>
          <w:sz w:val="24"/>
          <w:szCs w:val="24"/>
        </w:rPr>
      </w:pPr>
      <w:r w:rsidRPr="00E32AAA">
        <w:rPr>
          <w:rFonts w:asciiTheme="majorBidi" w:hAnsiTheme="majorBidi" w:cstheme="majorBidi"/>
          <w:sz w:val="24"/>
          <w:szCs w:val="24"/>
        </w:rPr>
        <w:t xml:space="preserve">Liu, X. et al. (2023). Transcriptomic analysis reveals shared molecular mechanisms between COVID-19 and neurodegenerative diseases. </w:t>
      </w:r>
      <w:r w:rsidRPr="00E32AAA">
        <w:rPr>
          <w:rFonts w:asciiTheme="majorBidi" w:hAnsiTheme="majorBidi" w:cstheme="majorBidi"/>
          <w:i/>
          <w:iCs/>
          <w:sz w:val="24"/>
          <w:szCs w:val="24"/>
        </w:rPr>
        <w:t>Frontiers in Medicine</w:t>
      </w:r>
      <w:r w:rsidRPr="00E32AAA">
        <w:rPr>
          <w:rFonts w:asciiTheme="majorBidi" w:hAnsiTheme="majorBidi" w:cstheme="majorBidi"/>
          <w:sz w:val="24"/>
          <w:szCs w:val="24"/>
        </w:rPr>
        <w:t>, 10, 1151046.</w:t>
      </w:r>
    </w:p>
    <w:p w14:paraId="6B60F468" w14:textId="133346E6" w:rsidR="00E32AAA" w:rsidRPr="00E32AAA" w:rsidRDefault="00E32AAA" w:rsidP="00E32AAA">
      <w:pPr>
        <w:spacing w:line="360" w:lineRule="auto"/>
        <w:jc w:val="both"/>
        <w:rPr>
          <w:rFonts w:asciiTheme="majorBidi" w:hAnsiTheme="majorBidi" w:cstheme="majorBidi"/>
          <w:sz w:val="24"/>
          <w:szCs w:val="24"/>
        </w:rPr>
      </w:pPr>
      <w:r w:rsidRPr="00E32AAA">
        <w:rPr>
          <w:rFonts w:asciiTheme="majorBidi" w:hAnsiTheme="majorBidi" w:cstheme="majorBidi"/>
          <w:sz w:val="24"/>
          <w:szCs w:val="24"/>
        </w:rPr>
        <w:t xml:space="preserve">Chirumbolo, S. et al. (2022). A potential role of the spike protein in neurodegenerative diseases: A narrative review. </w:t>
      </w:r>
      <w:r w:rsidRPr="00E32AAA">
        <w:rPr>
          <w:rFonts w:asciiTheme="majorBidi" w:hAnsiTheme="majorBidi" w:cstheme="majorBidi"/>
          <w:i/>
          <w:iCs/>
          <w:sz w:val="24"/>
          <w:szCs w:val="24"/>
        </w:rPr>
        <w:t>Cureus</w:t>
      </w:r>
      <w:r w:rsidRPr="00E32AAA">
        <w:rPr>
          <w:rFonts w:asciiTheme="majorBidi" w:hAnsiTheme="majorBidi" w:cstheme="majorBidi"/>
          <w:sz w:val="24"/>
          <w:szCs w:val="24"/>
        </w:rPr>
        <w:t>, 14(10), e129846.</w:t>
      </w:r>
    </w:p>
    <w:p w14:paraId="1BD4A954" w14:textId="2937BBEC" w:rsidR="00892711" w:rsidRPr="004460FA" w:rsidRDefault="00C80A7A" w:rsidP="004460FA">
      <w:pPr>
        <w:spacing w:line="360" w:lineRule="auto"/>
        <w:jc w:val="both"/>
        <w:rPr>
          <w:rFonts w:asciiTheme="majorBidi" w:hAnsiTheme="majorBidi" w:cstheme="majorBidi"/>
          <w:sz w:val="24"/>
          <w:szCs w:val="24"/>
        </w:rPr>
      </w:pPr>
      <w:r>
        <w:rPr>
          <w:rFonts w:asciiTheme="majorBidi" w:hAnsiTheme="majorBidi" w:cstheme="majorBidi"/>
          <w:sz w:val="24"/>
          <w:szCs w:val="24"/>
          <w:rtl/>
        </w:rPr>
        <w:br/>
      </w:r>
      <w:r>
        <w:rPr>
          <w:rFonts w:asciiTheme="majorBidi" w:hAnsiTheme="majorBidi" w:cstheme="majorBidi"/>
          <w:sz w:val="24"/>
          <w:szCs w:val="24"/>
          <w:rtl/>
        </w:rPr>
        <w:br/>
      </w:r>
    </w:p>
    <w:sectPr w:rsidR="00892711" w:rsidRPr="004460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4516A9"/>
    <w:multiLevelType w:val="hybridMultilevel"/>
    <w:tmpl w:val="8C5C0AC6"/>
    <w:lvl w:ilvl="0" w:tplc="0409000F">
      <w:start w:val="1"/>
      <w:numFmt w:val="decimal"/>
      <w:lvlText w:val="%1."/>
      <w:lvlJc w:val="left"/>
      <w:pPr>
        <w:ind w:left="720" w:hanging="360"/>
      </w:pPr>
    </w:lvl>
    <w:lvl w:ilvl="1" w:tplc="A5F4E9FE">
      <w:numFmt w:val="bullet"/>
      <w:lvlText w:val="-"/>
      <w:lvlJc w:val="left"/>
      <w:pPr>
        <w:ind w:left="1440" w:hanging="360"/>
      </w:pPr>
      <w:rPr>
        <w:rFonts w:ascii="Times New Roman" w:eastAsiaTheme="min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1F792D"/>
    <w:multiLevelType w:val="multilevel"/>
    <w:tmpl w:val="21C26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3376995">
    <w:abstractNumId w:val="8"/>
  </w:num>
  <w:num w:numId="2" w16cid:durableId="1478453392">
    <w:abstractNumId w:val="6"/>
  </w:num>
  <w:num w:numId="3" w16cid:durableId="215045806">
    <w:abstractNumId w:val="5"/>
  </w:num>
  <w:num w:numId="4" w16cid:durableId="998970342">
    <w:abstractNumId w:val="4"/>
  </w:num>
  <w:num w:numId="5" w16cid:durableId="1029254355">
    <w:abstractNumId w:val="7"/>
  </w:num>
  <w:num w:numId="6" w16cid:durableId="1280338302">
    <w:abstractNumId w:val="3"/>
  </w:num>
  <w:num w:numId="7" w16cid:durableId="1804154054">
    <w:abstractNumId w:val="2"/>
  </w:num>
  <w:num w:numId="8" w16cid:durableId="147982686">
    <w:abstractNumId w:val="1"/>
  </w:num>
  <w:num w:numId="9" w16cid:durableId="1987971912">
    <w:abstractNumId w:val="0"/>
  </w:num>
  <w:num w:numId="10" w16cid:durableId="1599631395">
    <w:abstractNumId w:val="9"/>
  </w:num>
  <w:num w:numId="11" w16cid:durableId="20912738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16BC"/>
    <w:rsid w:val="004460FA"/>
    <w:rsid w:val="006D311B"/>
    <w:rsid w:val="00754C67"/>
    <w:rsid w:val="00892711"/>
    <w:rsid w:val="009B7EF2"/>
    <w:rsid w:val="00AA1D8D"/>
    <w:rsid w:val="00B16284"/>
    <w:rsid w:val="00B47730"/>
    <w:rsid w:val="00B76C21"/>
    <w:rsid w:val="00C80A7A"/>
    <w:rsid w:val="00CB0664"/>
    <w:rsid w:val="00CF7BB1"/>
    <w:rsid w:val="00D63E95"/>
    <w:rsid w:val="00E23681"/>
    <w:rsid w:val="00E32AAA"/>
    <w:rsid w:val="00FC693F"/>
    <w:rsid w:val="00FF4C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CA868"/>
  <w14:defaultImageDpi w14:val="300"/>
  <w15:docId w15:val="{32C69207-E1A9-4ECD-BA9C-57C3BCE68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80A7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7</Pages>
  <Words>1313</Words>
  <Characters>7486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Hisham ahmed</cp:lastModifiedBy>
  <cp:revision>7</cp:revision>
  <dcterms:created xsi:type="dcterms:W3CDTF">2026-01-05T14:14:00Z</dcterms:created>
  <dcterms:modified xsi:type="dcterms:W3CDTF">2026-01-07T05:59:00Z</dcterms:modified>
  <cp:category/>
</cp:coreProperties>
</file>