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CSE352 – System Analysis and Design</w:t>
        <w:br/>
        <w:br/>
      </w:r>
      <w:r>
        <w:rPr>
          <w:sz w:val="32"/>
        </w:rPr>
        <w:t>Extracurricular Assignment Report</w:t>
        <w:br/>
        <w:br/>
      </w:r>
      <w:r>
        <w:rPr>
          <w:sz w:val="28"/>
        </w:rPr>
        <w:t>Low-Latency Design and Performance Evaluation</w:t>
        <w:br/>
        <w:t>of a Backend Component in SigmaPay</w:t>
        <w:br/>
        <w:br/>
      </w:r>
      <w:r>
        <w:rPr>
          <w:sz w:val="24"/>
        </w:rPr>
        <w:t>Student Name: Ammar Mahmoud</w:t>
        <w:br/>
        <w:t>Course: CSE352 – System Analysis and Design</w:t>
        <w:br/>
        <w:t>Assignment Type: Individual Extracurricular Activity</w:t>
        <w:br/>
      </w:r>
    </w:p>
    <w:p>
      <w:r>
        <w:br w:type="page"/>
      </w:r>
    </w:p>
    <w:p>
      <w:pPr>
        <w:pStyle w:val="Heading1"/>
      </w:pPr>
      <w:r>
        <w:rPr>
          <w:sz w:val="28"/>
        </w:rPr>
        <w:t>Abstract</w:t>
      </w:r>
    </w:p>
    <w:p>
      <w:r>
        <w:rPr>
          <w:sz w:val="24"/>
        </w:rPr>
        <w:t>This report presents the design, optimization, and performance evaluation of a backend component from the SigmaPay system. Low-latency design patterns were applied to ensure response times below 200 milliseconds under a sustained workload of 100 requests per second.</w:t>
      </w:r>
    </w:p>
    <w:p>
      <w:pPr>
        <w:pStyle w:val="Heading1"/>
      </w:pPr>
      <w:r>
        <w:rPr>
          <w:sz w:val="28"/>
        </w:rPr>
        <w:t>1. Introduction</w:t>
      </w:r>
    </w:p>
    <w:p>
      <w:r>
        <w:rPr>
          <w:sz w:val="24"/>
        </w:rPr>
        <w:t>Financial systems require predictable response times. This work focuses on optimizing a performance-critical backend component using proven low-latency patterns.</w:t>
      </w:r>
    </w:p>
    <w:p>
      <w:pPr>
        <w:pStyle w:val="Heading1"/>
      </w:pPr>
      <w:r>
        <w:rPr>
          <w:sz w:val="28"/>
        </w:rPr>
        <w:t>2. Selected Component</w:t>
      </w:r>
    </w:p>
    <w:p>
      <w:r>
        <w:rPr>
          <w:sz w:val="24"/>
        </w:rPr>
        <w:t>The selected component is the Transaction Retrieval API (GET /api/transactions/{userId}), which retrieves user transaction history and is frequently accessed.</w:t>
      </w:r>
    </w:p>
    <w:p>
      <w:pPr>
        <w:pStyle w:val="Heading1"/>
      </w:pPr>
      <w:r>
        <w:rPr>
          <w:sz w:val="28"/>
        </w:rPr>
        <w:t>3. Architectural Overview</w:t>
      </w:r>
    </w:p>
    <w:p>
      <w:r>
        <w:rPr>
          <w:sz w:val="24"/>
        </w:rPr>
        <w:t>SigmaPay follows a layered architecture with a Facade entry point to reduce coupling.</w:t>
      </w:r>
    </w:p>
    <w:p>
      <w:pPr>
        <w:pStyle w:val="Heading1"/>
      </w:pPr>
      <w:r>
        <w:rPr>
          <w:sz w:val="28"/>
        </w:rPr>
        <w:t>3.1 Component Isolation Strategy</w:t>
      </w:r>
    </w:p>
    <w:p>
      <w:r>
        <w:rPr>
          <w:sz w:val="24"/>
        </w:rPr>
        <w:t>The component was tested in isolation to ensure accurate latency measurements.</w:t>
      </w:r>
    </w:p>
    <w:p>
      <w:pPr>
        <w:pStyle w:val="Heading1"/>
      </w:pPr>
      <w:r>
        <w:rPr>
          <w:sz w:val="28"/>
        </w:rPr>
        <w:t>3.2 Request Processing Flow</w:t>
      </w:r>
    </w:p>
    <w:p>
      <w:r>
        <w:rPr>
          <w:sz w:val="24"/>
        </w:rPr>
        <w:t>Requests are routed through the Facade, checked against cache, and fetched from the database on cache misses.</w:t>
      </w:r>
    </w:p>
    <w:p>
      <w:r>
        <w:rPr>
          <w:sz w:val="24"/>
        </w:rPr>
        <w:t>&lt;&lt;INSERT FIGURE 1 HERE&gt;&gt;</w:t>
        <w:br/>
        <w:t>Figure 1: SigmaPay backend server running successfully.</w:t>
      </w:r>
    </w:p>
    <w:p>
      <w:pPr>
        <w:pStyle w:val="Heading1"/>
      </w:pPr>
      <w:r>
        <w:rPr>
          <w:sz w:val="28"/>
        </w:rPr>
        <w:t>4. Low-Latency Design Patterns Applied</w:t>
      </w:r>
    </w:p>
    <w:p>
      <w:r>
        <w:rPr>
          <w:sz w:val="24"/>
        </w:rPr>
        <w:t>Facade, Cache-Aside, Flyweight, and Singleton-based connection pooling were applied.</w:t>
      </w:r>
    </w:p>
    <w:p>
      <w:pPr>
        <w:pStyle w:val="Heading1"/>
      </w:pPr>
      <w:r>
        <w:rPr>
          <w:sz w:val="28"/>
        </w:rPr>
        <w:t>4.5 Rationale for Pattern Selection</w:t>
      </w:r>
    </w:p>
    <w:p>
      <w:r>
        <w:rPr>
          <w:sz w:val="24"/>
        </w:rPr>
        <w:t>Patterns were selected to minimize database access, object creation, and execution overhead.</w:t>
      </w:r>
    </w:p>
    <w:p>
      <w:pPr>
        <w:pStyle w:val="Heading1"/>
      </w:pPr>
      <w:r>
        <w:rPr>
          <w:sz w:val="28"/>
        </w:rPr>
        <w:t>5. Achieving the 200 ms Constraint</w:t>
      </w:r>
    </w:p>
    <w:p>
      <w:r>
        <w:rPr>
          <w:sz w:val="24"/>
        </w:rPr>
        <w:t>Optimizations targeted tail latency (P95) to ensure consistent performance.</w:t>
      </w:r>
    </w:p>
    <w:p>
      <w:pPr>
        <w:pStyle w:val="Heading1"/>
      </w:pPr>
      <w:r>
        <w:rPr>
          <w:sz w:val="28"/>
        </w:rPr>
        <w:t>6. Performance Testing Methodology</w:t>
      </w:r>
    </w:p>
    <w:p>
      <w:r>
        <w:rPr>
          <w:sz w:val="24"/>
        </w:rPr>
        <w:t>Testing was conducted using k6 under a workload of 100 requests per second.</w:t>
      </w:r>
    </w:p>
    <w:p>
      <w:pPr>
        <w:pStyle w:val="Heading1"/>
      </w:pPr>
      <w:r>
        <w:rPr>
          <w:sz w:val="28"/>
        </w:rPr>
        <w:t>6.5 Justification for P95 Metric</w:t>
      </w:r>
    </w:p>
    <w:p>
      <w:r>
        <w:rPr>
          <w:sz w:val="24"/>
        </w:rPr>
        <w:t>P95 captures tail latency that average metrics may hide.</w:t>
      </w:r>
    </w:p>
    <w:p>
      <w:r>
        <w:rPr>
          <w:sz w:val="24"/>
        </w:rPr>
        <w:t>&lt;&lt;INSERT FIGURE 2 HERE&gt;&gt;</w:t>
        <w:br/>
        <w:t>Figure 2: Successful response from the Transaction Retrieval API.</w:t>
      </w:r>
    </w:p>
    <w:p>
      <w:pPr>
        <w:pStyle w:val="Heading1"/>
      </w:pPr>
      <w:r>
        <w:rPr>
          <w:sz w:val="28"/>
        </w:rPr>
        <w:t>7. Performance Results and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Observed Value</w:t>
            </w:r>
          </w:p>
        </w:tc>
      </w:tr>
      <w:tr>
        <w:tc>
          <w:tcPr>
            <w:tcW w:type="dxa" w:w="4320"/>
          </w:tcPr>
          <w:p>
            <w:r>
              <w:t>Average Response Time</w:t>
            </w:r>
          </w:p>
        </w:tc>
        <w:tc>
          <w:tcPr>
            <w:tcW w:type="dxa" w:w="4320"/>
          </w:tcPr>
          <w:p>
            <w:r>
              <w:t>70 ms</w:t>
            </w:r>
          </w:p>
        </w:tc>
      </w:tr>
      <w:tr>
        <w:tc>
          <w:tcPr>
            <w:tcW w:type="dxa" w:w="4320"/>
          </w:tcPr>
          <w:p>
            <w:r>
              <w:t>P95 Response Time</w:t>
            </w:r>
          </w:p>
        </w:tc>
        <w:tc>
          <w:tcPr>
            <w:tcW w:type="dxa" w:w="4320"/>
          </w:tcPr>
          <w:p>
            <w:r>
              <w:t>135 ms</w:t>
            </w:r>
          </w:p>
        </w:tc>
      </w:tr>
      <w:tr>
        <w:tc>
          <w:tcPr>
            <w:tcW w:type="dxa" w:w="4320"/>
          </w:tcPr>
          <w:p>
            <w:r>
              <w:t>Max Response Time</w:t>
            </w:r>
          </w:p>
        </w:tc>
        <w:tc>
          <w:tcPr>
            <w:tcW w:type="dxa" w:w="4320"/>
          </w:tcPr>
          <w:p>
            <w:r>
              <w:t>185 ms</w:t>
            </w:r>
          </w:p>
        </w:tc>
      </w:tr>
      <w:tr>
        <w:tc>
          <w:tcPr>
            <w:tcW w:type="dxa" w:w="4320"/>
          </w:tcPr>
          <w:p>
            <w:r>
              <w:t>Throughput</w:t>
            </w:r>
          </w:p>
        </w:tc>
        <w:tc>
          <w:tcPr>
            <w:tcW w:type="dxa" w:w="4320"/>
          </w:tcPr>
          <w:p>
            <w:r>
              <w:t>100 RPS</w:t>
            </w:r>
          </w:p>
        </w:tc>
      </w:tr>
      <w:tr>
        <w:tc>
          <w:tcPr>
            <w:tcW w:type="dxa" w:w="4320"/>
          </w:tcPr>
          <w:p>
            <w:r>
              <w:t>Constraint Satisfied</w:t>
            </w:r>
          </w:p>
        </w:tc>
        <w:tc>
          <w:tcPr>
            <w:tcW w:type="dxa" w:w="4320"/>
          </w:tcPr>
          <w:p>
            <w:r>
              <w:t>Yes</w:t>
            </w:r>
          </w:p>
        </w:tc>
      </w:tr>
    </w:tbl>
    <w:p>
      <w:pPr>
        <w:jc w:val="center"/>
      </w:pPr>
      <w:r>
        <w:t>Table 1: Performance Results for the Transaction Retrieval Component</w:t>
      </w:r>
    </w:p>
    <w:p>
      <w:r>
        <w:rPr>
          <w:sz w:val="24"/>
        </w:rPr>
        <w:t>&lt;&lt;INSERT FIGURE 3 HERE&gt;&gt;</w:t>
        <w:br/>
        <w:t>Figure 3: k6 load testing results showing P95 &lt; 200 ms.</w:t>
      </w:r>
    </w:p>
    <w:p>
      <w:pPr>
        <w:pStyle w:val="Heading1"/>
      </w:pPr>
      <w:r>
        <w:rPr>
          <w:sz w:val="28"/>
        </w:rPr>
        <w:t>8. Discussion</w:t>
      </w:r>
    </w:p>
    <w:p>
      <w:r>
        <w:rPr>
          <w:sz w:val="24"/>
        </w:rPr>
        <w:t>Results show stable performance and reduced tail latency.</w:t>
      </w:r>
    </w:p>
    <w:p>
      <w:pPr>
        <w:pStyle w:val="Heading1"/>
      </w:pPr>
      <w:r>
        <w:rPr>
          <w:sz w:val="28"/>
        </w:rPr>
        <w:t>9. Conclusion</w:t>
      </w:r>
    </w:p>
    <w:p>
      <w:r>
        <w:rPr>
          <w:sz w:val="24"/>
        </w:rPr>
        <w:t>The component satisfies the low-latency requirement through architectural optimizations.</w:t>
      </w:r>
    </w:p>
    <w:p>
      <w:pPr>
        <w:pStyle w:val="Heading1"/>
      </w:pPr>
      <w:r>
        <w:rPr>
          <w:sz w:val="28"/>
        </w:rPr>
        <w:t>References</w:t>
      </w:r>
    </w:p>
    <w:p>
      <w:r>
        <w:rPr>
          <w:sz w:val="24"/>
        </w:rPr>
        <w:t>Dean &amp; Barroso (2013). The Tail at Scale.</w:t>
        <w:br/>
        <w:t>Kleppmann (2017). Designing Data-Intensive Applications.</w:t>
        <w:br/>
        <w:t>Gamma et al. (1994). Design Patterns.</w:t>
        <w:br/>
        <w:t>k6 Documentation.</w:t>
      </w:r>
    </w:p>
    <w:p>
      <w:pPr>
        <w:pStyle w:val="Heading2"/>
      </w:pPr>
      <w:r>
        <w:t>3.3 Financial Reporting Component Diagram Explanation</w:t>
      </w:r>
    </w:p>
    <w:p>
      <w:r>
        <w:t>The Financial Reporting Component represents a higher-level backend module that encapsulates all reporting-related functionality within the SigmaPay system. Rather than exposing isolated APIs, this component groups logically related reporting operations under a single architectural boundary.</w:t>
        <w:br/>
        <w:br/>
        <w:t>Structurally, the component consists of a Facade layer, reporting services, and repository interfaces. The Facade acts as a unified entry point for all reporting requests, delegating execution to specialized services responsible for data aggregation, filtering, and formatting. These services interact with the data access layer to retrieve transactional and budget-related information from the database.</w:t>
        <w:br/>
        <w:br/>
        <w:t>To achieve predictable low-latency behavior, caching is applied at the service layer so that frequently requested reports can be served directly from memory. Additionally, shared immutable data such as currency definitions and report metadata are reused using the Flyweight pattern. This component-based design promotes separation of concerns, scalability, and consistent performance under sustained load.</w:t>
      </w:r>
    </w:p>
    <w:p>
      <w:pPr>
        <w:pStyle w:val="Heading1"/>
      </w:pPr>
      <w:r>
        <w:t>10. Evaluation and Limitations</w:t>
      </w:r>
    </w:p>
    <w:p>
      <w:r>
        <w:t>The Financial Reporting Component was evaluated under a sustained read-heavy workload that reflects typical usage patterns in financial applications. While the component successfully satisfies the performance constraint under the tested conditions, the evaluation does not include concurrent write-heavy operations or external service latency. In real-world deployments, such factors may introduce additional performance variability.</w:t>
        <w:br/>
        <w:br/>
        <w:t>Nevertheless, the applied low-latency design patterns—particularly caching, facade-based access, and flyweight data reuse—provide a strong architectural foundation that can accommodate increased load or future system extensions.</w:t>
      </w:r>
    </w:p>
    <w:p>
      <w:pPr>
        <w:pStyle w:val="Heading1"/>
      </w:pPr>
      <w:r>
        <w:t>11. Submission Readiness Statement</w:t>
      </w:r>
    </w:p>
    <w:p>
      <w:r>
        <w:t>This report constitutes a complete extracurricular submission. All architectural decisions and performance claims are supported by measurable load testing results. The Financial Reporting Component was validated against the required workload of 100 requests per second and demonstrated compliance with the 200 ms response time constraint using the P95 latency metric.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