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0F172A"/>
          <w:sz w:val="56"/>
        </w:rPr>
        <w:t>Aether Studios: Platform Engineering &amp; Delivery Master Report</w:t>
      </w:r>
    </w:p>
    <w:p>
      <w:pPr>
        <w:spacing w:before="0" w:after="360"/>
      </w:pPr>
      <w:r>
        <w:rPr>
          <w:rFonts w:ascii="Calibri" w:hAnsi="Calibri"/>
          <w:i/>
          <w:color w:val="0284C7"/>
          <w:sz w:val="26"/>
        </w:rPr>
        <w:t>A Comprehensive Technical Specification of All Developed Systems, User Experiences, 3D Assets, and Architectural Upgrades</w:t>
      </w:r>
    </w:p>
    <w:tbl>
      <w:tblPr>
        <w:tblW w:type="auto" w:w="0"/>
        <w:jc w:val="center"/>
        <w:tblLook w:firstColumn="1" w:firstRow="1" w:lastColumn="0" w:lastRow="0" w:noHBand="0" w:noVBand="1" w:val="04A0"/>
      </w:tblPr>
      <w:tblGrid>
        <w:gridCol w:w="4680"/>
        <w:gridCol w:w="4680"/>
      </w:tblGrid>
      <w:tr>
        <w:tc>
          <w:tcPr>
            <w:tcW w:type="dxa" w:w="3168"/>
            <w:shd w:fill="F8FAFC"/>
            <w:tcMar>
              <w:top w:w="80" w:type="dxa"/>
              <w:bottom w:w="80" w:type="dxa"/>
              <w:left w:w="100" w:type="dxa"/>
              <w:right w:w="100" w:type="dxa"/>
            </w:tcMar>
          </w:tcPr>
          <w:p>
            <w:pPr>
              <w:spacing w:after="0"/>
            </w:pPr>
            <w:r>
              <w:rPr>
                <w:b/>
                <w:color w:val="0F172A"/>
                <w:sz w:val="19"/>
              </w:rPr>
              <w:t>Project Name</w:t>
            </w:r>
          </w:p>
        </w:tc>
        <w:tc>
          <w:tcPr>
            <w:tcW w:type="dxa" w:w="6192"/>
            <w:shd w:fill="FFFFFF"/>
            <w:tcMar>
              <w:top w:w="80" w:type="dxa"/>
              <w:bottom w:w="80" w:type="dxa"/>
              <w:left w:w="100" w:type="dxa"/>
              <w:right w:w="100" w:type="dxa"/>
            </w:tcMar>
          </w:tcPr>
          <w:p>
            <w:pPr>
              <w:spacing w:after="0"/>
            </w:pPr>
            <w:r>
              <w:rPr>
                <w:color w:val="334155"/>
                <w:sz w:val="19"/>
              </w:rPr>
              <w:t>Aether Studios Digital Agency &amp; Interactive SaaS Experience</w:t>
            </w:r>
          </w:p>
        </w:tc>
      </w:tr>
      <w:tr>
        <w:tc>
          <w:tcPr>
            <w:tcW w:type="dxa" w:w="3168"/>
            <w:shd w:fill="F8FAFC"/>
            <w:tcMar>
              <w:top w:w="80" w:type="dxa"/>
              <w:bottom w:w="80" w:type="dxa"/>
              <w:left w:w="100" w:type="dxa"/>
              <w:right w:w="100" w:type="dxa"/>
            </w:tcMar>
          </w:tcPr>
          <w:p>
            <w:pPr>
              <w:spacing w:after="0"/>
            </w:pPr>
            <w:r>
              <w:rPr>
                <w:b/>
                <w:color w:val="0F172A"/>
                <w:sz w:val="19"/>
              </w:rPr>
              <w:t>Repository &amp; Branch</w:t>
            </w:r>
          </w:p>
        </w:tc>
        <w:tc>
          <w:tcPr>
            <w:tcW w:type="dxa" w:w="6192"/>
            <w:shd w:fill="FFFFFF"/>
            <w:tcMar>
              <w:top w:w="80" w:type="dxa"/>
              <w:bottom w:w="80" w:type="dxa"/>
              <w:left w:w="100" w:type="dxa"/>
              <w:right w:w="100" w:type="dxa"/>
            </w:tcMar>
          </w:tcPr>
          <w:p>
            <w:pPr>
              <w:spacing w:after="0"/>
            </w:pPr>
            <w:r>
              <w:rPr>
                <w:color w:val="334155"/>
                <w:sz w:val="19"/>
              </w:rPr>
              <w:t>https://github.com/omar4523/aether-studios (main)</w:t>
            </w:r>
          </w:p>
        </w:tc>
      </w:tr>
      <w:tr>
        <w:tc>
          <w:tcPr>
            <w:tcW w:type="dxa" w:w="3168"/>
            <w:shd w:fill="F8FAFC"/>
            <w:tcMar>
              <w:top w:w="80" w:type="dxa"/>
              <w:bottom w:w="80" w:type="dxa"/>
              <w:left w:w="100" w:type="dxa"/>
              <w:right w:w="100" w:type="dxa"/>
            </w:tcMar>
          </w:tcPr>
          <w:p>
            <w:pPr>
              <w:spacing w:after="0"/>
            </w:pPr>
            <w:r>
              <w:rPr>
                <w:b/>
                <w:color w:val="0F172A"/>
                <w:sz w:val="19"/>
              </w:rPr>
              <w:t>Release Version</w:t>
            </w:r>
          </w:p>
        </w:tc>
        <w:tc>
          <w:tcPr>
            <w:tcW w:type="dxa" w:w="6192"/>
            <w:shd w:fill="FFFFFF"/>
            <w:tcMar>
              <w:top w:w="80" w:type="dxa"/>
              <w:bottom w:w="80" w:type="dxa"/>
              <w:left w:w="100" w:type="dxa"/>
              <w:right w:w="100" w:type="dxa"/>
            </w:tcMar>
          </w:tcPr>
          <w:p>
            <w:pPr>
              <w:spacing w:after="0"/>
            </w:pPr>
            <w:r>
              <w:rPr>
                <w:color w:val="334155"/>
                <w:sz w:val="19"/>
              </w:rPr>
              <w:t>Version 2.4.0 (Production Stable Build)</w:t>
            </w:r>
          </w:p>
        </w:tc>
      </w:tr>
      <w:tr>
        <w:tc>
          <w:tcPr>
            <w:tcW w:type="dxa" w:w="3168"/>
            <w:shd w:fill="F8FAFC"/>
            <w:tcMar>
              <w:top w:w="80" w:type="dxa"/>
              <w:bottom w:w="80" w:type="dxa"/>
              <w:left w:w="100" w:type="dxa"/>
              <w:right w:w="100" w:type="dxa"/>
            </w:tcMar>
          </w:tcPr>
          <w:p>
            <w:pPr>
              <w:spacing w:after="0"/>
            </w:pPr>
            <w:r>
              <w:rPr>
                <w:b/>
                <w:color w:val="0F172A"/>
                <w:sz w:val="19"/>
              </w:rPr>
              <w:t>Date of Publication</w:t>
            </w:r>
          </w:p>
        </w:tc>
        <w:tc>
          <w:tcPr>
            <w:tcW w:type="dxa" w:w="6192"/>
            <w:shd w:fill="FFFFFF"/>
            <w:tcMar>
              <w:top w:w="80" w:type="dxa"/>
              <w:bottom w:w="80" w:type="dxa"/>
              <w:left w:w="100" w:type="dxa"/>
              <w:right w:w="100" w:type="dxa"/>
            </w:tcMar>
          </w:tcPr>
          <w:p>
            <w:pPr>
              <w:spacing w:after="0"/>
            </w:pPr>
            <w:r>
              <w:rPr>
                <w:color w:val="334155"/>
                <w:sz w:val="19"/>
              </w:rPr>
              <w:t>September 22, 2026</w:t>
            </w:r>
          </w:p>
        </w:tc>
      </w:tr>
    </w:tbl>
    <w:p>
      <w:pPr>
        <w:spacing w:after="160"/>
      </w:pPr>
    </w:p>
    <w:p>
      <w:pPr>
        <w:keepNext/>
        <w:spacing w:before="400" w:after="120"/>
      </w:pPr>
      <w:r>
        <w:rPr>
          <w:rFonts w:ascii="Calibri" w:hAnsi="Calibri"/>
          <w:b/>
          <w:color w:val="0F172A"/>
          <w:sz w:val="36"/>
        </w:rPr>
        <w:t>1. Executive Summary</w:t>
      </w:r>
    </w:p>
    <w:p>
      <w:pPr>
        <w:spacing w:before="0" w:after="120" w:line="276" w:lineRule="auto"/>
      </w:pPr>
      <w:r>
        <w:rPr>
          <w:rFonts w:ascii="Calibri" w:hAnsi="Calibri"/>
          <w:color w:val="334155"/>
          <w:sz w:val="21"/>
        </w:rPr>
        <w:t>This document delivers a thorough, end-to-end breakdown of the engineering, visual design, and software architecture implemented across the Aether Studios web platform. Built to serve high-ambition software clients, startups, and academic capstone engineering students, Aether Studios represents a modern synthesis of high-performance frontend technology, immersive Three.js 3D WebGL visuals, real-time client management tools, and productized software delivery pipelines.</w:t>
      </w:r>
    </w:p>
    <w:p>
      <w:pPr>
        <w:spacing w:before="0" w:after="120" w:line="276" w:lineRule="auto"/>
      </w:pPr>
      <w:r>
        <w:rPr>
          <w:rFonts w:ascii="Calibri" w:hAnsi="Calibri"/>
          <w:color w:val="334155"/>
          <w:sz w:val="21"/>
        </w:rPr>
        <w:t>All visual components and interactive workflows were engineered in accordance with user requirements and strict fidelity to provided reference design mockups, culminating in standalone full-page authentication, an interactive milestone client portal, an unstarted 0% guest sandbox workspace, and an airplane-flight showcase experience.</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Calibri" w:hAnsi="Calibri"/>
                <w:b/>
                <w:color w:val="0284C7"/>
                <w:sz w:val="20"/>
              </w:rPr>
              <w:t>★ EXECUTIVE OBJECTIVE ACHIEVED</w:t>
              <w:br/>
            </w:r>
            <w:r>
              <w:rPr>
                <w:rFonts w:ascii="Calibri" w:hAnsi="Calibri"/>
                <w:color w:val="334155"/>
                <w:sz w:val="20"/>
              </w:rPr>
              <w:t>Key Milestone Completed: The entire digital experience was restructured from modal popup overlays into genuine full-page standalone routes (#auth, #dashboard, #showcase, #home). The authentication systems were redesigned with 1:1 fidelity to reference designs, featuring radial-masked 3D artwork, eliminated rendering glitches, and a completely fresh 0% empty Guest Workspace.</w:t>
            </w:r>
          </w:p>
        </w:tc>
      </w:tr>
    </w:tbl>
    <w:p>
      <w:pPr>
        <w:spacing w:after="80"/>
      </w:pPr>
    </w:p>
    <w:p>
      <w:pPr>
        <w:keepNext/>
        <w:spacing w:before="400" w:after="120"/>
      </w:pPr>
      <w:r>
        <w:rPr>
          <w:rFonts w:ascii="Calibri" w:hAnsi="Calibri"/>
          <w:b/>
          <w:color w:val="0F172A"/>
          <w:sz w:val="36"/>
        </w:rPr>
        <w:t>2. Technical Stack &amp; Architectural Foundation</w:t>
      </w:r>
    </w:p>
    <w:p>
      <w:pPr>
        <w:spacing w:before="0" w:after="120" w:line="276" w:lineRule="auto"/>
      </w:pPr>
      <w:r>
        <w:rPr>
          <w:rFonts w:ascii="Calibri" w:hAnsi="Calibri"/>
          <w:color w:val="334155"/>
          <w:sz w:val="21"/>
        </w:rPr>
        <w:t>The application architecture leverages a modern, reactive component hierarchy built upon modern browser standards and optimized for 60 frames-per-second hardware-accelerated performance:</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00" w:type="dxa"/>
              <w:bottom w:w="100" w:type="dxa"/>
              <w:left w:w="120" w:type="dxa"/>
              <w:right w:w="120" w:type="dxa"/>
            </w:tcMar>
          </w:tcPr>
          <w:p>
            <w:pPr>
              <w:spacing w:after="0"/>
            </w:pPr>
            <w:r>
              <w:rPr>
                <w:b/>
                <w:color w:val="FFFFFF"/>
                <w:sz w:val="19"/>
              </w:rPr>
              <w:t>Layer / Domain</w:t>
            </w:r>
          </w:p>
        </w:tc>
        <w:tc>
          <w:tcPr>
            <w:tcW w:type="dxa" w:w="3120"/>
            <w:shd w:fill="0F172A"/>
            <w:tcMar>
              <w:top w:w="100" w:type="dxa"/>
              <w:bottom w:w="100" w:type="dxa"/>
              <w:left w:w="120" w:type="dxa"/>
              <w:right w:w="120" w:type="dxa"/>
            </w:tcMar>
          </w:tcPr>
          <w:p>
            <w:pPr>
              <w:spacing w:after="0"/>
            </w:pPr>
            <w:r>
              <w:rPr>
                <w:b/>
                <w:color w:val="FFFFFF"/>
                <w:sz w:val="19"/>
              </w:rPr>
              <w:t>Technology &amp; Libraries</w:t>
            </w:r>
          </w:p>
        </w:tc>
        <w:tc>
          <w:tcPr>
            <w:tcW w:type="dxa" w:w="3120"/>
            <w:shd w:fill="0F172A"/>
            <w:tcMar>
              <w:top w:w="100" w:type="dxa"/>
              <w:bottom w:w="100" w:type="dxa"/>
              <w:left w:w="120" w:type="dxa"/>
              <w:right w:w="120" w:type="dxa"/>
            </w:tcMar>
          </w:tcPr>
          <w:p>
            <w:pPr>
              <w:spacing w:after="0"/>
            </w:pPr>
            <w:r>
              <w:rPr>
                <w:b/>
                <w:color w:val="FFFFFF"/>
                <w:sz w:val="19"/>
              </w:rPr>
              <w:t>Purpose &amp; Architectural Role</w:t>
            </w:r>
          </w:p>
        </w:tc>
      </w:tr>
      <w:tr>
        <w:tc>
          <w:tcPr>
            <w:tcW w:type="dxa" w:w="3120"/>
            <w:shd w:fill="F8FAFC"/>
            <w:tcMar>
              <w:top w:w="80" w:type="dxa"/>
              <w:bottom w:w="80" w:type="dxa"/>
              <w:left w:w="100" w:type="dxa"/>
              <w:right w:w="100" w:type="dxa"/>
            </w:tcMar>
          </w:tcPr>
          <w:p>
            <w:pPr>
              <w:spacing w:after="0"/>
            </w:pPr>
            <w:r>
              <w:rPr>
                <w:b/>
                <w:color w:val="0F172A"/>
                <w:sz w:val="18"/>
              </w:rPr>
              <w:t>Core Frontend Framework</w:t>
            </w:r>
          </w:p>
        </w:tc>
        <w:tc>
          <w:tcPr>
            <w:tcW w:type="dxa" w:w="3120"/>
            <w:shd w:fill="F8FAFC"/>
            <w:tcMar>
              <w:top w:w="80" w:type="dxa"/>
              <w:bottom w:w="80" w:type="dxa"/>
              <w:left w:w="100" w:type="dxa"/>
              <w:right w:w="100" w:type="dxa"/>
            </w:tcMar>
          </w:tcPr>
          <w:p>
            <w:pPr>
              <w:spacing w:after="0"/>
            </w:pPr>
            <w:r>
              <w:rPr>
                <w:color w:val="334155"/>
                <w:sz w:val="18"/>
              </w:rPr>
              <w:t>React 19 &amp; Vite 6</w:t>
            </w:r>
          </w:p>
        </w:tc>
        <w:tc>
          <w:tcPr>
            <w:tcW w:type="dxa" w:w="3120"/>
            <w:shd w:fill="F8FAFC"/>
            <w:tcMar>
              <w:top w:w="80" w:type="dxa"/>
              <w:bottom w:w="80" w:type="dxa"/>
              <w:left w:w="100" w:type="dxa"/>
              <w:right w:w="100" w:type="dxa"/>
            </w:tcMar>
          </w:tcPr>
          <w:p>
            <w:pPr>
              <w:spacing w:after="0"/>
            </w:pPr>
            <w:r>
              <w:rPr>
                <w:color w:val="334155"/>
                <w:sz w:val="18"/>
              </w:rPr>
              <w:t>Single Page Application (SPA) architecture with fast HMR, reactive state management, and optimized asset bundling.</w:t>
            </w:r>
          </w:p>
        </w:tc>
      </w:tr>
      <w:tr>
        <w:tc>
          <w:tcPr>
            <w:tcW w:type="dxa" w:w="3120"/>
            <w:shd w:fill="FFFFFF"/>
            <w:tcMar>
              <w:top w:w="80" w:type="dxa"/>
              <w:bottom w:w="80" w:type="dxa"/>
              <w:left w:w="100" w:type="dxa"/>
              <w:right w:w="100" w:type="dxa"/>
            </w:tcMar>
          </w:tcPr>
          <w:p>
            <w:pPr>
              <w:spacing w:after="0"/>
            </w:pPr>
            <w:r>
              <w:rPr>
                <w:b/>
                <w:color w:val="0F172A"/>
                <w:sz w:val="18"/>
              </w:rPr>
              <w:t>Styling &amp; Design System</w:t>
            </w:r>
          </w:p>
        </w:tc>
        <w:tc>
          <w:tcPr>
            <w:tcW w:type="dxa" w:w="3120"/>
            <w:shd w:fill="FFFFFF"/>
            <w:tcMar>
              <w:top w:w="80" w:type="dxa"/>
              <w:bottom w:w="80" w:type="dxa"/>
              <w:left w:w="100" w:type="dxa"/>
              <w:right w:w="100" w:type="dxa"/>
            </w:tcMar>
          </w:tcPr>
          <w:p>
            <w:pPr>
              <w:spacing w:after="0"/>
            </w:pPr>
            <w:r>
              <w:rPr>
                <w:color w:val="334155"/>
                <w:sz w:val="18"/>
              </w:rPr>
              <w:t>Tailwind CSS v3.4 + Custom CSS</w:t>
            </w:r>
          </w:p>
        </w:tc>
        <w:tc>
          <w:tcPr>
            <w:tcW w:type="dxa" w:w="3120"/>
            <w:shd w:fill="FFFFFF"/>
            <w:tcMar>
              <w:top w:w="80" w:type="dxa"/>
              <w:bottom w:w="80" w:type="dxa"/>
              <w:left w:w="100" w:type="dxa"/>
              <w:right w:w="100" w:type="dxa"/>
            </w:tcMar>
          </w:tcPr>
          <w:p>
            <w:pPr>
              <w:spacing w:after="0"/>
            </w:pPr>
            <w:r>
              <w:rPr>
                <w:color w:val="334155"/>
                <w:sz w:val="18"/>
              </w:rPr>
              <w:t>Utility-first dark aesthetic, CSS variables for multi-theme switching (Cyan, Indigo, Emerald, Rose), glassmorphic backdrops.</w:t>
            </w:r>
          </w:p>
        </w:tc>
      </w:tr>
      <w:tr>
        <w:tc>
          <w:tcPr>
            <w:tcW w:type="dxa" w:w="3120"/>
            <w:shd w:fill="F8FAFC"/>
            <w:tcMar>
              <w:top w:w="80" w:type="dxa"/>
              <w:bottom w:w="80" w:type="dxa"/>
              <w:left w:w="100" w:type="dxa"/>
              <w:right w:w="100" w:type="dxa"/>
            </w:tcMar>
          </w:tcPr>
          <w:p>
            <w:pPr>
              <w:spacing w:after="0"/>
            </w:pPr>
            <w:r>
              <w:rPr>
                <w:b/>
                <w:color w:val="0F172A"/>
                <w:sz w:val="18"/>
              </w:rPr>
              <w:t>3D Graphics &amp; WebGL</w:t>
            </w:r>
          </w:p>
        </w:tc>
        <w:tc>
          <w:tcPr>
            <w:tcW w:type="dxa" w:w="3120"/>
            <w:shd w:fill="F8FAFC"/>
            <w:tcMar>
              <w:top w:w="80" w:type="dxa"/>
              <w:bottom w:w="80" w:type="dxa"/>
              <w:left w:w="100" w:type="dxa"/>
              <w:right w:w="100" w:type="dxa"/>
            </w:tcMar>
          </w:tcPr>
          <w:p>
            <w:pPr>
              <w:spacing w:after="0"/>
            </w:pPr>
            <w:r>
              <w:rPr>
                <w:color w:val="334155"/>
                <w:sz w:val="18"/>
              </w:rPr>
              <w:t>Three.js (0.160+)</w:t>
            </w:r>
          </w:p>
        </w:tc>
        <w:tc>
          <w:tcPr>
            <w:tcW w:type="dxa" w:w="3120"/>
            <w:shd w:fill="F8FAFC"/>
            <w:tcMar>
              <w:top w:w="80" w:type="dxa"/>
              <w:bottom w:w="80" w:type="dxa"/>
              <w:left w:w="100" w:type="dxa"/>
              <w:right w:w="100" w:type="dxa"/>
            </w:tcMar>
          </w:tcPr>
          <w:p>
            <w:pPr>
              <w:spacing w:after="0"/>
            </w:pPr>
            <w:r>
              <w:rPr>
                <w:color w:val="334155"/>
                <w:sz w:val="18"/>
              </w:rPr>
              <w:t>Hardware-accelerated 3D viewports, procedural particle starfields, dynamic lighting, orbital geometries, and camera mouse parallax.</w:t>
            </w:r>
          </w:p>
        </w:tc>
      </w:tr>
      <w:tr>
        <w:tc>
          <w:tcPr>
            <w:tcW w:type="dxa" w:w="3120"/>
            <w:shd w:fill="FFFFFF"/>
            <w:tcMar>
              <w:top w:w="80" w:type="dxa"/>
              <w:bottom w:w="80" w:type="dxa"/>
              <w:left w:w="100" w:type="dxa"/>
              <w:right w:w="100" w:type="dxa"/>
            </w:tcMar>
          </w:tcPr>
          <w:p>
            <w:pPr>
              <w:spacing w:after="0"/>
            </w:pPr>
            <w:r>
              <w:rPr>
                <w:b/>
                <w:color w:val="0F172A"/>
                <w:sz w:val="18"/>
              </w:rPr>
              <w:t>State &amp; Audio Synthesis</w:t>
            </w:r>
          </w:p>
        </w:tc>
        <w:tc>
          <w:tcPr>
            <w:tcW w:type="dxa" w:w="3120"/>
            <w:shd w:fill="FFFFFF"/>
            <w:tcMar>
              <w:top w:w="80" w:type="dxa"/>
              <w:bottom w:w="80" w:type="dxa"/>
              <w:left w:w="100" w:type="dxa"/>
              <w:right w:w="100" w:type="dxa"/>
            </w:tcMar>
          </w:tcPr>
          <w:p>
            <w:pPr>
              <w:spacing w:after="0"/>
            </w:pPr>
            <w:r>
              <w:rPr>
                <w:color w:val="334155"/>
                <w:sz w:val="18"/>
              </w:rPr>
              <w:t>Web Audio API (Synthesized SFX)</w:t>
            </w:r>
          </w:p>
        </w:tc>
        <w:tc>
          <w:tcPr>
            <w:tcW w:type="dxa" w:w="3120"/>
            <w:shd w:fill="FFFFFF"/>
            <w:tcMar>
              <w:top w:w="80" w:type="dxa"/>
              <w:bottom w:w="80" w:type="dxa"/>
              <w:left w:w="100" w:type="dxa"/>
              <w:right w:w="100" w:type="dxa"/>
            </w:tcMar>
          </w:tcPr>
          <w:p>
            <w:pPr>
              <w:spacing w:after="0"/>
            </w:pPr>
            <w:r>
              <w:rPr>
                <w:color w:val="334155"/>
                <w:sz w:val="18"/>
              </w:rPr>
              <w:t>Ultra-low latency procedural sound generator (clicks, hovers, success chimes, hums) with zero external MP3 network delay.</w:t>
            </w:r>
          </w:p>
        </w:tc>
      </w:tr>
      <w:tr>
        <w:tc>
          <w:tcPr>
            <w:tcW w:type="dxa" w:w="3120"/>
            <w:shd w:fill="F8FAFC"/>
            <w:tcMar>
              <w:top w:w="80" w:type="dxa"/>
              <w:bottom w:w="80" w:type="dxa"/>
              <w:left w:w="100" w:type="dxa"/>
              <w:right w:w="100" w:type="dxa"/>
            </w:tcMar>
          </w:tcPr>
          <w:p>
            <w:pPr>
              <w:spacing w:after="0"/>
            </w:pPr>
            <w:r>
              <w:rPr>
                <w:b/>
                <w:color w:val="0F172A"/>
                <w:sz w:val="18"/>
              </w:rPr>
              <w:t>Iconography &amp; Animation</w:t>
            </w:r>
          </w:p>
        </w:tc>
        <w:tc>
          <w:tcPr>
            <w:tcW w:type="dxa" w:w="3120"/>
            <w:shd w:fill="F8FAFC"/>
            <w:tcMar>
              <w:top w:w="80" w:type="dxa"/>
              <w:bottom w:w="80" w:type="dxa"/>
              <w:left w:w="100" w:type="dxa"/>
              <w:right w:w="100" w:type="dxa"/>
            </w:tcMar>
          </w:tcPr>
          <w:p>
            <w:pPr>
              <w:spacing w:after="0"/>
            </w:pPr>
            <w:r>
              <w:rPr>
                <w:color w:val="334155"/>
                <w:sz w:val="18"/>
              </w:rPr>
              <w:t>Lucide React &amp; Canvas-Confetti</w:t>
            </w:r>
          </w:p>
        </w:tc>
        <w:tc>
          <w:tcPr>
            <w:tcW w:type="dxa" w:w="3120"/>
            <w:shd w:fill="F8FAFC"/>
            <w:tcMar>
              <w:top w:w="80" w:type="dxa"/>
              <w:bottom w:w="80" w:type="dxa"/>
              <w:left w:w="100" w:type="dxa"/>
              <w:right w:w="100" w:type="dxa"/>
            </w:tcMar>
          </w:tcPr>
          <w:p>
            <w:pPr>
              <w:spacing w:after="0"/>
            </w:pPr>
            <w:r>
              <w:rPr>
                <w:color w:val="334155"/>
                <w:sz w:val="18"/>
              </w:rPr>
              <w:t>Crisp SVG vector iconography across all system interfaces and celebratory micro-interactions upon logins and milestone completions.</w:t>
            </w:r>
          </w:p>
        </w:tc>
      </w:tr>
    </w:tbl>
    <w:p>
      <w:pPr>
        <w:spacing w:after="160"/>
      </w:pPr>
    </w:p>
    <w:p>
      <w:pPr>
        <w:keepNext/>
        <w:spacing w:before="400" w:after="120"/>
      </w:pPr>
      <w:r>
        <w:rPr>
          <w:rFonts w:ascii="Calibri" w:hAnsi="Calibri"/>
          <w:b/>
          <w:color w:val="0F172A"/>
          <w:sz w:val="36"/>
        </w:rPr>
        <w:t>3. Detailed Breakdown of Delivered Pages &amp; Workspaces</w:t>
      </w:r>
    </w:p>
    <w:p>
      <w:pPr>
        <w:keepNext/>
        <w:spacing w:before="280" w:after="80"/>
      </w:pPr>
      <w:r>
        <w:rPr>
          <w:rFonts w:ascii="Calibri" w:hAnsi="Calibri"/>
          <w:b/>
          <w:color w:val="7E22CE"/>
          <w:sz w:val="28"/>
        </w:rPr>
        <w:t>3.1 Main Agency Landing Page (#home)</w:t>
      </w:r>
    </w:p>
    <w:p>
      <w:pPr>
        <w:spacing w:before="0" w:after="120" w:line="276" w:lineRule="auto"/>
      </w:pPr>
      <w:r>
        <w:rPr>
          <w:rFonts w:ascii="Calibri" w:hAnsi="Calibri"/>
          <w:color w:val="334155"/>
          <w:sz w:val="21"/>
        </w:rPr>
        <w:t>The primary studio frontpage presents Aether Studios as a high-end digital agency. It is comprised of 9 unified sections:</w:t>
      </w:r>
    </w:p>
    <w:p>
      <w:pPr>
        <w:pStyle w:val="ListBullet"/>
        <w:spacing w:before="0" w:after="60" w:line="276" w:lineRule="auto"/>
      </w:pPr>
      <w:r>
        <w:rPr>
          <w:rFonts w:ascii="Calibri" w:hAnsi="Calibri"/>
          <w:b/>
          <w:color w:val="0F172A"/>
          <w:sz w:val="21"/>
        </w:rPr>
        <w:t xml:space="preserve">1. Hero Section: </w:t>
      </w:r>
      <w:r>
        <w:rPr>
          <w:rFonts w:ascii="Calibri" w:hAnsi="Calibri"/>
          <w:color w:val="334155"/>
          <w:sz w:val="21"/>
        </w:rPr>
        <w:t>Features the glowing 3D Aether Monolith enclosed within kinetic orbital rings and 300 interactive celestial particles responding to mouse gestures. Includes instant CTA buttons for 'Start Your Project' and 'Explore Featured Work'.</w:t>
      </w:r>
    </w:p>
    <w:p>
      <w:pPr>
        <w:pStyle w:val="ListBullet"/>
        <w:spacing w:before="0" w:after="60" w:line="276" w:lineRule="auto"/>
      </w:pPr>
      <w:r>
        <w:rPr>
          <w:rFonts w:ascii="Calibri" w:hAnsi="Calibri"/>
          <w:b/>
          <w:color w:val="0F172A"/>
          <w:sz w:val="21"/>
        </w:rPr>
        <w:t xml:space="preserve">2. Who We Serve: </w:t>
      </w:r>
      <w:r>
        <w:rPr>
          <w:rFonts w:ascii="Calibri" w:hAnsi="Calibri"/>
          <w:color w:val="334155"/>
          <w:sz w:val="21"/>
        </w:rPr>
        <w:t>Interactive segmented selector addressing (01) University &amp; Capstone Students, (02) Growing Businesses, and (03) Tech Startups with custom delivery timelines, feature sets, and price anchors.</w:t>
      </w:r>
    </w:p>
    <w:p>
      <w:pPr>
        <w:pStyle w:val="ListBullet"/>
        <w:spacing w:before="0" w:after="60" w:line="276" w:lineRule="auto"/>
      </w:pPr>
      <w:r>
        <w:rPr>
          <w:rFonts w:ascii="Calibri" w:hAnsi="Calibri"/>
          <w:b/>
          <w:color w:val="0F172A"/>
          <w:sz w:val="21"/>
        </w:rPr>
        <w:t xml:space="preserve">3. Productized Services: </w:t>
      </w:r>
      <w:r>
        <w:rPr>
          <w:rFonts w:ascii="Calibri" w:hAnsi="Calibri"/>
          <w:color w:val="334155"/>
          <w:sz w:val="21"/>
        </w:rPr>
        <w:t>Presents 6 core productized solutions: Full-Stack Web Development, Mobile Apps (iOS/Android), UI/UX Design Systems, AI &amp; Machine Learning Integration, Capstone &amp; Final Year Projects, and Cloud &amp; DevOps Infrastructure.</w:t>
      </w:r>
    </w:p>
    <w:p>
      <w:pPr>
        <w:pStyle w:val="ListBullet"/>
        <w:spacing w:before="0" w:after="60" w:line="276" w:lineRule="auto"/>
      </w:pPr>
      <w:r>
        <w:rPr>
          <w:rFonts w:ascii="Calibri" w:hAnsi="Calibri"/>
          <w:b/>
          <w:color w:val="0F172A"/>
          <w:sz w:val="21"/>
        </w:rPr>
        <w:t xml:space="preserve">4. Portfolio &amp; Case Studies: </w:t>
      </w:r>
      <w:r>
        <w:rPr>
          <w:rFonts w:ascii="Calibri" w:hAnsi="Calibri"/>
          <w:color w:val="334155"/>
          <w:sz w:val="21"/>
        </w:rPr>
        <w:t>Filterable showcase featuring real-world software applications: Medivision AI (medical diagnostics), Travel Platform (flight &amp; hotel booking), E-Commerce Storefront (luxury streetwear), AI Prompt Studio, and TaskFlow Productivity Suite.</w:t>
      </w:r>
    </w:p>
    <w:p>
      <w:pPr>
        <w:pStyle w:val="ListBullet"/>
        <w:spacing w:before="0" w:after="60" w:line="276" w:lineRule="auto"/>
      </w:pPr>
      <w:r>
        <w:rPr>
          <w:rFonts w:ascii="Calibri" w:hAnsi="Calibri"/>
          <w:b/>
          <w:color w:val="0F172A"/>
          <w:sz w:val="21"/>
        </w:rPr>
        <w:t xml:space="preserve">5. About The Studio: </w:t>
      </w:r>
      <w:r>
        <w:rPr>
          <w:rFonts w:ascii="Calibri" w:hAnsi="Calibri"/>
          <w:color w:val="334155"/>
          <w:sz w:val="21"/>
        </w:rPr>
        <w:t>Articulates agency philosophy, engineering rigor, 100% IP ownership guarantees, direct senior developer communications, and an interactive 'About Us' modal.</w:t>
      </w:r>
    </w:p>
    <w:p>
      <w:pPr>
        <w:pStyle w:val="ListBullet"/>
        <w:spacing w:before="0" w:after="60" w:line="276" w:lineRule="auto"/>
      </w:pPr>
      <w:r>
        <w:rPr>
          <w:rFonts w:ascii="Calibri" w:hAnsi="Calibri"/>
          <w:b/>
          <w:color w:val="0F172A"/>
          <w:sz w:val="21"/>
        </w:rPr>
        <w:t xml:space="preserve">6. Pricing Matrix &amp; Calculator: </w:t>
      </w:r>
      <w:r>
        <w:rPr>
          <w:rFonts w:ascii="Calibri" w:hAnsi="Calibri"/>
          <w:color w:val="334155"/>
          <w:sz w:val="21"/>
        </w:rPr>
        <w:t>Transparent flat-rate pricing tiers (Starter @ $149, Professional @ $299, Enterprise @ $599) coupled with an Instant Budget Estimator that calculates real-time timeline and cost estimates based on project scope parameters.</w:t>
      </w:r>
    </w:p>
    <w:p>
      <w:pPr>
        <w:pStyle w:val="ListBullet"/>
        <w:spacing w:before="0" w:after="60" w:line="276" w:lineRule="auto"/>
      </w:pPr>
      <w:r>
        <w:rPr>
          <w:rFonts w:ascii="Calibri" w:hAnsi="Calibri"/>
          <w:b/>
          <w:color w:val="0F172A"/>
          <w:sz w:val="21"/>
        </w:rPr>
        <w:t xml:space="preserve">7. Insights &amp; Articles (Blog): </w:t>
      </w:r>
      <w:r>
        <w:rPr>
          <w:rFonts w:ascii="Calibri" w:hAnsi="Calibri"/>
          <w:color w:val="334155"/>
          <w:sz w:val="21"/>
        </w:rPr>
        <w:t>Dedicated engineering publication featuring tech articles and the newly integrated viral research article 'The Calorie Paradox: Why Continuous Movement Outweighs The Gym'. Includes an in-app interactive Article Reader Modal.</w:t>
      </w:r>
    </w:p>
    <w:p>
      <w:pPr>
        <w:pStyle w:val="ListBullet"/>
        <w:spacing w:before="0" w:after="60" w:line="276" w:lineRule="auto"/>
      </w:pPr>
      <w:r>
        <w:rPr>
          <w:rFonts w:ascii="Calibri" w:hAnsi="Calibri"/>
          <w:b/>
          <w:color w:val="0F172A"/>
          <w:sz w:val="21"/>
        </w:rPr>
        <w:t xml:space="preserve">8. Contact &amp; Project Inquiry: </w:t>
      </w:r>
      <w:r>
        <w:rPr>
          <w:rFonts w:ascii="Calibri" w:hAnsi="Calibri"/>
          <w:color w:val="334155"/>
          <w:sz w:val="21"/>
        </w:rPr>
        <w:t>Direct engineering intake contact form with budget pickers, tech requirements, urgency toggles, and direct scheduling.</w:t>
      </w:r>
    </w:p>
    <w:p>
      <w:pPr>
        <w:pStyle w:val="ListBullet"/>
        <w:spacing w:before="0" w:after="60" w:line="276" w:lineRule="auto"/>
      </w:pPr>
      <w:r>
        <w:rPr>
          <w:rFonts w:ascii="Calibri" w:hAnsi="Calibri"/>
          <w:b/>
          <w:color w:val="0F172A"/>
          <w:sz w:val="21"/>
        </w:rPr>
        <w:t xml:space="preserve">9. Comprehensive Studio Footer: </w:t>
      </w:r>
      <w:r>
        <w:rPr>
          <w:rFonts w:ascii="Calibri" w:hAnsi="Calibri"/>
          <w:color w:val="334155"/>
          <w:sz w:val="21"/>
        </w:rPr>
        <w:t>Dark glassmorphic studio footer containing active navigation links, direct access to the client portal, legal framework modals (Privacy, Terms, Security), and documentation guides.</w:t>
      </w:r>
    </w:p>
    <w:p>
      <w:pPr>
        <w:keepNext/>
        <w:spacing w:before="280" w:after="80"/>
      </w:pPr>
      <w:r>
        <w:rPr>
          <w:rFonts w:ascii="Calibri" w:hAnsi="Calibri"/>
          <w:b/>
          <w:color w:val="7E22CE"/>
          <w:sz w:val="28"/>
        </w:rPr>
        <w:t>3.2 Authentication: Standalone Log In Page (#auth / #signin)</w:t>
      </w:r>
    </w:p>
    <w:p>
      <w:pPr>
        <w:spacing w:before="0" w:after="120" w:line="276" w:lineRule="auto"/>
      </w:pPr>
      <w:r>
        <w:rPr>
          <w:rFonts w:ascii="Calibri" w:hAnsi="Calibri"/>
          <w:color w:val="334155"/>
          <w:sz w:val="21"/>
        </w:rPr>
        <w:t>Constructed with 1:1 precision according to the Top-Left quadrant of the reference design mockup:</w:t>
      </w:r>
    </w:p>
    <w:p>
      <w:pPr>
        <w:pStyle w:val="ListBullet"/>
        <w:spacing w:before="0" w:after="60" w:line="276" w:lineRule="auto"/>
      </w:pPr>
      <w:r>
        <w:rPr>
          <w:rFonts w:ascii="Calibri" w:hAnsi="Calibri"/>
          <w:b/>
          <w:color w:val="0F172A"/>
          <w:sz w:val="21"/>
        </w:rPr>
        <w:t xml:space="preserve">Visual Presentation: </w:t>
      </w:r>
      <w:r>
        <w:rPr>
          <w:rFonts w:ascii="Calibri" w:hAnsi="Calibri"/>
          <w:color w:val="334155"/>
          <w:sz w:val="21"/>
        </w:rPr>
        <w:t>Framed inside an elegant dark glassmorphic window (max-w-1340px) with subtle border styling, floating within a dynamic Three.js stardust canvas.</w:t>
      </w:r>
    </w:p>
    <w:p>
      <w:pPr>
        <w:pStyle w:val="ListBullet"/>
        <w:spacing w:before="0" w:after="60" w:line="276" w:lineRule="auto"/>
      </w:pPr>
      <w:r>
        <w:rPr>
          <w:rFonts w:ascii="Calibri" w:hAnsi="Calibri"/>
          <w:b/>
          <w:color w:val="0F172A"/>
          <w:sz w:val="21"/>
        </w:rPr>
        <w:t xml:space="preserve">Typography &amp; Accents: </w:t>
      </w:r>
      <w:r>
        <w:rPr>
          <w:rFonts w:ascii="Calibri" w:hAnsi="Calibri"/>
          <w:color w:val="334155"/>
          <w:sz w:val="21"/>
        </w:rPr>
        <w:t>Cyan direction tag '→ WELCOME BACK' paired with the bold headline 'Great to see you again', with 'again' illuminated in bright radiant purple (#A855F7).</w:t>
      </w:r>
    </w:p>
    <w:p>
      <w:pPr>
        <w:pStyle w:val="ListBullet"/>
        <w:spacing w:before="0" w:after="60" w:line="276" w:lineRule="auto"/>
      </w:pPr>
      <w:r>
        <w:rPr>
          <w:rFonts w:ascii="Calibri" w:hAnsi="Calibri"/>
          <w:b/>
          <w:color w:val="0F172A"/>
          <w:sz w:val="21"/>
        </w:rPr>
        <w:t xml:space="preserve">Feature Bullets: </w:t>
      </w:r>
      <w:r>
        <w:rPr>
          <w:rFonts w:ascii="Calibri" w:hAnsi="Calibri"/>
          <w:color w:val="334155"/>
          <w:sz w:val="21"/>
        </w:rPr>
        <w:t>Features 3 custom dark pill feature cards: 'Track your projects' (Real-time updates), 'Direct communication' (Talk to your developer), and 'Secure &amp; private' (Your ideas are safe with us).</w:t>
      </w:r>
    </w:p>
    <w:p>
      <w:pPr>
        <w:pStyle w:val="ListBullet"/>
        <w:spacing w:before="0" w:after="60" w:line="276" w:lineRule="auto"/>
      </w:pPr>
      <w:r>
        <w:rPr>
          <w:rFonts w:ascii="Calibri" w:hAnsi="Calibri"/>
          <w:b/>
          <w:color w:val="0F172A"/>
          <w:sz w:val="21"/>
        </w:rPr>
        <w:t xml:space="preserve">3D Holographic Monolith: </w:t>
      </w:r>
      <w:r>
        <w:rPr>
          <w:rFonts w:ascii="Calibri" w:hAnsi="Calibri"/>
          <w:color w:val="334155"/>
          <w:sz w:val="21"/>
        </w:rPr>
        <w:t>A high-resolution 3D glass A-Monolith enveloped in polished chrome orbital rings and floating liquid glass spheres, blended seamlessly using CSS radial alpha masking and screen blending (zero square edges or clipping boxes).</w:t>
      </w:r>
    </w:p>
    <w:p>
      <w:pPr>
        <w:pStyle w:val="ListBullet"/>
        <w:spacing w:before="0" w:after="60" w:line="276" w:lineRule="auto"/>
      </w:pPr>
      <w:r>
        <w:rPr>
          <w:rFonts w:ascii="Calibri" w:hAnsi="Calibri"/>
          <w:b/>
          <w:color w:val="0F172A"/>
          <w:sz w:val="21"/>
        </w:rPr>
        <w:t xml:space="preserve">Glassmorphic Form Card: </w:t>
      </w:r>
      <w:r>
        <w:rPr>
          <w:rFonts w:ascii="Calibri" w:hAnsi="Calibri"/>
          <w:color w:val="334155"/>
          <w:sz w:val="21"/>
        </w:rPr>
        <w:t>Input fields for 'Email address :' and 'Password :' with custom Mail/Lock icons and eye visibility toggle, 'Forgot password?' recovery trigger, full-width gradient CTA 'Log In →', and divider-separated 'Continue with Google' and 'Continue with GitHub' buttons.</w:t>
      </w:r>
    </w:p>
    <w:p>
      <w:pPr>
        <w:pStyle w:val="ListBullet"/>
        <w:spacing w:before="0" w:after="60" w:line="276" w:lineRule="auto"/>
      </w:pPr>
      <w:r>
        <w:rPr>
          <w:rFonts w:ascii="Calibri" w:hAnsi="Calibri"/>
          <w:b/>
          <w:color w:val="0F172A"/>
          <w:sz w:val="21"/>
        </w:rPr>
        <w:t xml:space="preserve">One-Click Guest Access: </w:t>
      </w:r>
      <w:r>
        <w:rPr>
          <w:rFonts w:ascii="Calibri" w:hAnsi="Calibri"/>
          <w:color w:val="334155"/>
          <w:sz w:val="21"/>
        </w:rPr>
        <w:t>Discreet instant-access link enabling users to enter the platform without typing credentials, transitioning directly to the clean empty guest workspace.</w:t>
      </w:r>
    </w:p>
    <w:p>
      <w:pPr>
        <w:keepNext/>
        <w:spacing w:before="280" w:after="80"/>
      </w:pPr>
      <w:r>
        <w:rPr>
          <w:rFonts w:ascii="Calibri" w:hAnsi="Calibri"/>
          <w:b/>
          <w:color w:val="7E22CE"/>
          <w:sz w:val="28"/>
        </w:rPr>
        <w:t>3.3 Authentication: Standalone Sign Up Page (#signup)</w:t>
      </w:r>
    </w:p>
    <w:p>
      <w:pPr>
        <w:spacing w:before="0" w:after="120" w:line="276" w:lineRule="auto"/>
      </w:pPr>
      <w:r>
        <w:rPr>
          <w:rFonts w:ascii="Calibri" w:hAnsi="Calibri"/>
          <w:color w:val="334155"/>
          <w:sz w:val="21"/>
        </w:rPr>
        <w:t>Constructed with 1:1 precision according to the Top-Right quadrant of the reference design mockup:</w:t>
      </w:r>
    </w:p>
    <w:p>
      <w:pPr>
        <w:pStyle w:val="ListBullet"/>
        <w:spacing w:before="0" w:after="60" w:line="276" w:lineRule="auto"/>
      </w:pPr>
      <w:r>
        <w:rPr>
          <w:rFonts w:ascii="Calibri" w:hAnsi="Calibri"/>
          <w:b/>
          <w:color w:val="0F172A"/>
          <w:sz w:val="21"/>
        </w:rPr>
        <w:t xml:space="preserve">Typography &amp; Accents: </w:t>
      </w:r>
      <w:r>
        <w:rPr>
          <w:rFonts w:ascii="Calibri" w:hAnsi="Calibri"/>
          <w:color w:val="334155"/>
          <w:sz w:val="21"/>
        </w:rPr>
        <w:t>Cyan direction tag '→ GET STARTED' followed by the headline 'Create Your Account', where 'Your' and 'Account' are stylized in purple (#A855F7).</w:t>
      </w:r>
    </w:p>
    <w:p>
      <w:pPr>
        <w:pStyle w:val="ListBullet"/>
        <w:spacing w:before="0" w:after="60" w:line="276" w:lineRule="auto"/>
      </w:pPr>
      <w:r>
        <w:rPr>
          <w:rFonts w:ascii="Calibri" w:hAnsi="Calibri"/>
          <w:b/>
          <w:color w:val="0F172A"/>
          <w:sz w:val="21"/>
        </w:rPr>
        <w:t xml:space="preserve">Feature Bullets: </w:t>
      </w:r>
      <w:r>
        <w:rPr>
          <w:rFonts w:ascii="Calibri" w:hAnsi="Calibri"/>
          <w:color w:val="334155"/>
          <w:sz w:val="21"/>
        </w:rPr>
        <w:t>Features 3 custom purple pill feature cards: 'Build your dream projects' (From websites to mobile apps), 'Get real-time updates' (Track progress anytime), and 'Work with expert developers' (Skilled, reliable, and dedicated).</w:t>
      </w:r>
    </w:p>
    <w:p>
      <w:pPr>
        <w:pStyle w:val="ListBullet"/>
        <w:spacing w:before="0" w:after="60" w:line="276" w:lineRule="auto"/>
      </w:pPr>
      <w:r>
        <w:rPr>
          <w:rFonts w:ascii="Calibri" w:hAnsi="Calibri"/>
          <w:b/>
          <w:color w:val="0F172A"/>
          <w:sz w:val="21"/>
        </w:rPr>
        <w:t xml:space="preserve">3D Celestial Icosahedron: </w:t>
      </w:r>
      <w:r>
        <w:rPr>
          <w:rFonts w:ascii="Calibri" w:hAnsi="Calibri"/>
          <w:color w:val="334155"/>
          <w:sz w:val="21"/>
        </w:rPr>
        <w:t>A brilliant multifaceted 3D icosahedron crystal radiating blue and ultraviolet internal light, surrounded by floating asteroid debris in deep cosmic space, rendered seamlessly without rectangular boundaries.</w:t>
      </w:r>
    </w:p>
    <w:p>
      <w:pPr>
        <w:pStyle w:val="ListBullet"/>
        <w:spacing w:before="0" w:after="60" w:line="276" w:lineRule="auto"/>
      </w:pPr>
      <w:r>
        <w:rPr>
          <w:rFonts w:ascii="Calibri" w:hAnsi="Calibri"/>
          <w:b/>
          <w:color w:val="0F172A"/>
          <w:sz w:val="21"/>
        </w:rPr>
        <w:t xml:space="preserve">Registration Form Card: </w:t>
      </w:r>
      <w:r>
        <w:rPr>
          <w:rFonts w:ascii="Calibri" w:hAnsi="Calibri"/>
          <w:color w:val="334155"/>
          <w:sz w:val="21"/>
        </w:rPr>
        <w:t>Accommodates 4 structured inputs: 'Full Name :', 'Email address :', 'Password :', and 'Confirm Password :', complete with vector icons, field validation, and password match verification.</w:t>
      </w:r>
    </w:p>
    <w:p>
      <w:pPr>
        <w:pStyle w:val="ListBullet"/>
        <w:spacing w:before="0" w:after="60" w:line="276" w:lineRule="auto"/>
      </w:pPr>
      <w:r>
        <w:rPr>
          <w:rFonts w:ascii="Calibri" w:hAnsi="Calibri"/>
          <w:b/>
          <w:color w:val="0F172A"/>
          <w:sz w:val="21"/>
        </w:rPr>
        <w:t xml:space="preserve">CTA &amp; Legal Compliance: </w:t>
      </w:r>
      <w:r>
        <w:rPr>
          <w:rFonts w:ascii="Calibri" w:hAnsi="Calibri"/>
          <w:color w:val="334155"/>
          <w:sz w:val="21"/>
        </w:rPr>
        <w:t>High-impact gradient button 'Create Account →', social authentication options, and an explicit legal agreement note linking to the Terms of Service and Privacy Policy modals.</w:t>
      </w:r>
    </w:p>
    <w:p>
      <w:pPr>
        <w:keepNext/>
        <w:spacing w:before="280" w:after="80"/>
      </w:pPr>
      <w:r>
        <w:rPr>
          <w:rFonts w:ascii="Calibri" w:hAnsi="Calibri"/>
          <w:b/>
          <w:color w:val="7E22CE"/>
          <w:sz w:val="28"/>
        </w:rPr>
        <w:t>3.4 Client Project Dashboard (#dashboard)</w:t>
      </w:r>
    </w:p>
    <w:p>
      <w:pPr>
        <w:spacing w:before="0" w:after="120" w:line="276" w:lineRule="auto"/>
      </w:pPr>
      <w:r>
        <w:rPr>
          <w:rFonts w:ascii="Calibri" w:hAnsi="Calibri"/>
          <w:color w:val="334155"/>
          <w:sz w:val="21"/>
        </w:rPr>
        <w:t>Replacing previous modal dialog popups, the logged-in client dashboard is now a dedicated, full-screen desktop workspace matching the Bottom-Left quadrant of the reference mockup:</w:t>
      </w:r>
    </w:p>
    <w:p>
      <w:pPr>
        <w:pStyle w:val="ListBullet"/>
        <w:spacing w:before="0" w:after="60" w:line="276" w:lineRule="auto"/>
      </w:pPr>
      <w:r>
        <w:rPr>
          <w:rFonts w:ascii="Calibri" w:hAnsi="Calibri"/>
          <w:b/>
          <w:color w:val="0F172A"/>
          <w:sz w:val="21"/>
        </w:rPr>
        <w:t xml:space="preserve">Full-Height Dark Sidebar: </w:t>
      </w:r>
      <w:r>
        <w:rPr>
          <w:rFonts w:ascii="Calibri" w:hAnsi="Calibri"/>
          <w:color w:val="334155"/>
          <w:sz w:val="21"/>
        </w:rPr>
        <w:t>Includes Home, My Projects (active state with cyan glow), Messages, Invoices, Profile, Settings, and a persistent 24/7 'Need Help?' support card with 3D crystal gem and live inquiry dispatcher.</w:t>
      </w:r>
    </w:p>
    <w:p>
      <w:pPr>
        <w:pStyle w:val="ListBullet"/>
        <w:spacing w:before="0" w:after="60" w:line="276" w:lineRule="auto"/>
      </w:pPr>
      <w:r>
        <w:rPr>
          <w:rFonts w:ascii="Calibri" w:hAnsi="Calibri"/>
          <w:b/>
          <w:color w:val="0F172A"/>
          <w:sz w:val="21"/>
        </w:rPr>
        <w:t xml:space="preserve">Top Navigation &amp; Context Bar: </w:t>
      </w:r>
      <w:r>
        <w:rPr>
          <w:rFonts w:ascii="Calibri" w:hAnsi="Calibri"/>
          <w:color w:val="334155"/>
          <w:sz w:val="21"/>
        </w:rPr>
        <w:t>Interactive breadcrumb path (‹ Home › Project #ID), project mode switcher ('Guest Workspace (0% Empty)' vs 'E-Commerce (#A-2847)' vs 'Travel Platform (#A-7721)'), notification bell with active unread indicator, client avatar, and logout control.</w:t>
      </w:r>
    </w:p>
    <w:p>
      <w:pPr>
        <w:pStyle w:val="ListBullet"/>
        <w:spacing w:before="0" w:after="60" w:line="276" w:lineRule="auto"/>
      </w:pPr>
      <w:r>
        <w:rPr>
          <w:rFonts w:ascii="Calibri" w:hAnsi="Calibri"/>
          <w:b/>
          <w:color w:val="0F172A"/>
          <w:sz w:val="21"/>
        </w:rPr>
        <w:t xml:space="preserve">Horizontal Milestone Pipeline Tracker: </w:t>
      </w:r>
      <w:r>
        <w:rPr>
          <w:rFonts w:ascii="Calibri" w:hAnsi="Calibri"/>
          <w:color w:val="334155"/>
          <w:sz w:val="21"/>
        </w:rPr>
        <w:t>A 5-phase visual roadmap displaying Planning, Design, Development, Testing, and Delivery with color-coded milestone nodes (Completed in emerald, Active in pulsing cyan, Pending in dark slate).</w:t>
      </w:r>
    </w:p>
    <w:p>
      <w:pPr>
        <w:pStyle w:val="ListBullet"/>
        <w:spacing w:before="0" w:after="60" w:line="276" w:lineRule="auto"/>
      </w:pPr>
      <w:r>
        <w:rPr>
          <w:rFonts w:ascii="Calibri" w:hAnsi="Calibri"/>
          <w:b/>
          <w:color w:val="0F172A"/>
          <w:sz w:val="21"/>
        </w:rPr>
        <w:t xml:space="preserve">Card 1 - Project Details: </w:t>
      </w:r>
      <w:r>
        <w:rPr>
          <w:rFonts w:ascii="Calibri" w:hAnsi="Calibri"/>
          <w:color w:val="334155"/>
          <w:sz w:val="21"/>
        </w:rPr>
        <w:t>Project ID, project type, contract kickoff date, estimated delivery target, verified budget deposit, and an instant client service agreement contract generator.</w:t>
      </w:r>
    </w:p>
    <w:p>
      <w:pPr>
        <w:pStyle w:val="ListBullet"/>
        <w:spacing w:before="0" w:after="60" w:line="276" w:lineRule="auto"/>
      </w:pPr>
      <w:r>
        <w:rPr>
          <w:rFonts w:ascii="Calibri" w:hAnsi="Calibri"/>
          <w:b/>
          <w:color w:val="0F172A"/>
          <w:sz w:val="21"/>
        </w:rPr>
        <w:t xml:space="preserve">Card 2 - Current Progress: </w:t>
      </w:r>
      <w:r>
        <w:rPr>
          <w:rFonts w:ascii="Calibri" w:hAnsi="Calibri"/>
          <w:color w:val="334155"/>
          <w:sz w:val="21"/>
        </w:rPr>
        <w:t>Overall progress percentage bar accompanied by a task-by-task checklist with completion timestamps and pending deliverable statuses.</w:t>
      </w:r>
    </w:p>
    <w:p>
      <w:pPr>
        <w:pStyle w:val="ListBullet"/>
        <w:spacing w:before="0" w:after="60" w:line="276" w:lineRule="auto"/>
      </w:pPr>
      <w:r>
        <w:rPr>
          <w:rFonts w:ascii="Calibri" w:hAnsi="Calibri"/>
          <w:b/>
          <w:color w:val="0F172A"/>
          <w:sz w:val="21"/>
        </w:rPr>
        <w:t xml:space="preserve">Card 3 - Live Updates Timeline: </w:t>
      </w:r>
      <w:r>
        <w:rPr>
          <w:rFonts w:ascii="Calibri" w:hAnsi="Calibri"/>
          <w:color w:val="334155"/>
          <w:sz w:val="21"/>
        </w:rPr>
        <w:t>Chronological activity log detailing architectural check-ins, design approvals, and code deploy notifications, paired with a functional real-time inquiry submission box.</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Calibri" w:hAnsi="Calibri"/>
                <w:b/>
                <w:color w:val="0284C7"/>
                <w:sz w:val="20"/>
              </w:rPr>
              <w:t>★ DEDICATED EMPTY GUEST WORKSPACE</w:t>
              <w:br/>
            </w:r>
            <w:r>
              <w:rPr>
                <w:rFonts w:ascii="Calibri" w:hAnsi="Calibri"/>
                <w:color w:val="334155"/>
                <w:sz w:val="20"/>
              </w:rPr>
              <w:t>Guest Client Experience (#AE-GUEST-001): Designed strictly to fulfill the requirement 'empty like nothing started yet'. Upon entering guest preview mode, the client sees 0% overall progress, all 5 roadmap stages marked as 'Not Started', a verified budget of $0.00 USD, 0 of 14 tasks started, an empty state inbox illustration, and a primary CTA 'Start a New Project Now' to define project requirements.</w:t>
            </w:r>
          </w:p>
        </w:tc>
      </w:tr>
    </w:tbl>
    <w:p>
      <w:pPr>
        <w:spacing w:after="80"/>
      </w:pPr>
    </w:p>
    <w:p>
      <w:pPr>
        <w:keepNext/>
        <w:spacing w:before="280" w:after="80"/>
      </w:pPr>
      <w:r>
        <w:rPr>
          <w:rFonts w:ascii="Calibri" w:hAnsi="Calibri"/>
          <w:b/>
          <w:color w:val="7E22CE"/>
          <w:sz w:val="28"/>
        </w:rPr>
        <w:t>3.5 Project Showcase Page: Travel Platform (#showcase)</w:t>
      </w:r>
    </w:p>
    <w:p>
      <w:pPr>
        <w:spacing w:before="0" w:after="120" w:line="276" w:lineRule="auto"/>
      </w:pPr>
      <w:r>
        <w:rPr>
          <w:rFonts w:ascii="Calibri" w:hAnsi="Calibri"/>
          <w:color w:val="334155"/>
          <w:sz w:val="21"/>
        </w:rPr>
        <w:t>Fulfilling the Bottom-Right quadrant of the reference mockup, this standalone route showcases an in-depth case study of a production application:</w:t>
      </w:r>
    </w:p>
    <w:p>
      <w:pPr>
        <w:pStyle w:val="ListBullet"/>
        <w:spacing w:before="0" w:after="60" w:line="276" w:lineRule="auto"/>
      </w:pPr>
      <w:r>
        <w:rPr>
          <w:rFonts w:ascii="Calibri" w:hAnsi="Calibri"/>
          <w:b/>
          <w:color w:val="0F172A"/>
          <w:sz w:val="21"/>
        </w:rPr>
        <w:t xml:space="preserve">Hero Flight Header Banner: </w:t>
      </w:r>
      <w:r>
        <w:rPr>
          <w:rFonts w:ascii="Calibri" w:hAnsi="Calibri"/>
          <w:color w:val="334155"/>
          <w:sz w:val="21"/>
        </w:rPr>
        <w:t>3D airplane in flight over coastal mountain landscapes, accompanied by project status badge, project summary, and a 'Preview Live Version' button.</w:t>
      </w:r>
    </w:p>
    <w:p>
      <w:pPr>
        <w:pStyle w:val="ListBullet"/>
        <w:spacing w:before="0" w:after="60" w:line="276" w:lineRule="auto"/>
      </w:pPr>
      <w:r>
        <w:rPr>
          <w:rFonts w:ascii="Calibri" w:hAnsi="Calibri"/>
          <w:b/>
          <w:color w:val="0F172A"/>
          <w:sz w:val="21"/>
        </w:rPr>
        <w:t xml:space="preserve">Central Content Card: </w:t>
      </w:r>
      <w:r>
        <w:rPr>
          <w:rFonts w:ascii="Calibri" w:hAnsi="Calibri"/>
          <w:color w:val="334155"/>
          <w:sz w:val="21"/>
        </w:rPr>
        <w:t>Multi-device mockup showcasing desktop, tablet, and mobile views of the travel booking engine, followed by a photo thumbnail gallery, project rationale, and technical stack badges (Next.js 15, TypeScript, Tailwind CSS, Supabase).</w:t>
      </w:r>
    </w:p>
    <w:p>
      <w:pPr>
        <w:pStyle w:val="ListBullet"/>
        <w:spacing w:before="0" w:after="60" w:line="276" w:lineRule="auto"/>
      </w:pPr>
      <w:r>
        <w:rPr>
          <w:rFonts w:ascii="Calibri" w:hAnsi="Calibri"/>
          <w:b/>
          <w:color w:val="0F172A"/>
          <w:sz w:val="21"/>
        </w:rPr>
        <w:t xml:space="preserve">Right Column Metrics &amp; Deliverables: </w:t>
      </w:r>
      <w:r>
        <w:rPr>
          <w:rFonts w:ascii="Calibri" w:hAnsi="Calibri"/>
          <w:color w:val="334155"/>
          <w:sz w:val="21"/>
        </w:rPr>
        <w:t>Features a 45% circular donut completion chart, milestone checklist (Project Setup, UI/UX Design, Frontend, Backend, Testing), quick metadata (Type, Delivery Target, Budget), and a 'View All Files →' action that downloads a verified deliverable source manifest.</w:t>
      </w:r>
    </w:p>
    <w:p>
      <w:pPr>
        <w:keepNext/>
        <w:spacing w:before="400" w:after="120"/>
      </w:pPr>
      <w:r>
        <w:rPr>
          <w:rFonts w:ascii="Calibri" w:hAnsi="Calibri"/>
          <w:b/>
          <w:color w:val="0F172A"/>
          <w:sz w:val="36"/>
        </w:rPr>
        <w:t>4. Performance Optimizations &amp; Bug Remediation</w:t>
      </w:r>
    </w:p>
    <w:p>
      <w:pPr>
        <w:spacing w:before="0" w:after="120" w:line="276" w:lineRule="auto"/>
      </w:pPr>
      <w:r>
        <w:rPr>
          <w:rFonts w:ascii="Calibri" w:hAnsi="Calibri"/>
          <w:color w:val="334155"/>
          <w:sz w:val="21"/>
        </w:rPr>
        <w:t>A critical phase of this engagement focused on eliminating UI lag, mouse input friction, and rendering defects reported during testing:</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00" w:type="dxa"/>
              <w:bottom w:w="100" w:type="dxa"/>
              <w:left w:w="120" w:type="dxa"/>
              <w:right w:w="120" w:type="dxa"/>
            </w:tcMar>
          </w:tcPr>
          <w:p>
            <w:pPr>
              <w:spacing w:after="0"/>
            </w:pPr>
            <w:r>
              <w:rPr>
                <w:b/>
                <w:color w:val="FFFFFF"/>
                <w:sz w:val="19"/>
              </w:rPr>
              <w:t>Identified Issue</w:t>
            </w:r>
          </w:p>
        </w:tc>
        <w:tc>
          <w:tcPr>
            <w:tcW w:type="dxa" w:w="3120"/>
            <w:shd w:fill="0F172A"/>
            <w:tcMar>
              <w:top w:w="100" w:type="dxa"/>
              <w:bottom w:w="100" w:type="dxa"/>
              <w:left w:w="120" w:type="dxa"/>
              <w:right w:w="120" w:type="dxa"/>
            </w:tcMar>
          </w:tcPr>
          <w:p>
            <w:pPr>
              <w:spacing w:after="0"/>
            </w:pPr>
            <w:r>
              <w:rPr>
                <w:b/>
                <w:color w:val="FFFFFF"/>
                <w:sz w:val="19"/>
              </w:rPr>
              <w:t>Root Cause Analysis</w:t>
            </w:r>
          </w:p>
        </w:tc>
        <w:tc>
          <w:tcPr>
            <w:tcW w:type="dxa" w:w="3120"/>
            <w:shd w:fill="0F172A"/>
            <w:tcMar>
              <w:top w:w="100" w:type="dxa"/>
              <w:bottom w:w="100" w:type="dxa"/>
              <w:left w:w="120" w:type="dxa"/>
              <w:right w:w="120" w:type="dxa"/>
            </w:tcMar>
          </w:tcPr>
          <w:p>
            <w:pPr>
              <w:spacing w:after="0"/>
            </w:pPr>
            <w:r>
              <w:rPr>
                <w:b/>
                <w:color w:val="FFFFFF"/>
                <w:sz w:val="19"/>
              </w:rPr>
              <w:t>Applied Engineering Resolution</w:t>
            </w:r>
          </w:p>
        </w:tc>
      </w:tr>
      <w:tr>
        <w:tc>
          <w:tcPr>
            <w:tcW w:type="dxa" w:w="3120"/>
            <w:shd w:fill="F8FAFC"/>
            <w:tcMar>
              <w:top w:w="80" w:type="dxa"/>
              <w:bottom w:w="80" w:type="dxa"/>
              <w:left w:w="100" w:type="dxa"/>
              <w:right w:w="100" w:type="dxa"/>
            </w:tcMar>
          </w:tcPr>
          <w:p>
            <w:pPr>
              <w:spacing w:after="0"/>
            </w:pPr>
            <w:r>
              <w:rPr>
                <w:b/>
                <w:color w:val="0F172A"/>
                <w:sz w:val="18"/>
              </w:rPr>
              <w:t>Mouse Movement Friction &amp; Heavy UI Feel</w:t>
            </w:r>
          </w:p>
        </w:tc>
        <w:tc>
          <w:tcPr>
            <w:tcW w:type="dxa" w:w="3120"/>
            <w:shd w:fill="F8FAFC"/>
            <w:tcMar>
              <w:top w:w="80" w:type="dxa"/>
              <w:bottom w:w="80" w:type="dxa"/>
              <w:left w:w="100" w:type="dxa"/>
              <w:right w:w="100" w:type="dxa"/>
            </w:tcMar>
          </w:tcPr>
          <w:p>
            <w:pPr>
              <w:spacing w:after="0"/>
            </w:pPr>
            <w:r>
              <w:rPr>
                <w:color w:val="334155"/>
                <w:sz w:val="18"/>
              </w:rPr>
              <w:t>Uncapped mousemove event listeners triggering continuous React re-renders and unbounded Three.js canvas draw calls.</w:t>
            </w:r>
          </w:p>
        </w:tc>
        <w:tc>
          <w:tcPr>
            <w:tcW w:type="dxa" w:w="3120"/>
            <w:shd w:fill="F8FAFC"/>
            <w:tcMar>
              <w:top w:w="80" w:type="dxa"/>
              <w:bottom w:w="80" w:type="dxa"/>
              <w:left w:w="100" w:type="dxa"/>
              <w:right w:w="100" w:type="dxa"/>
            </w:tcMar>
          </w:tcPr>
          <w:p>
            <w:pPr>
              <w:spacing w:after="0"/>
            </w:pPr>
            <w:r>
              <w:rPr>
                <w:color w:val="334155"/>
                <w:sz w:val="18"/>
              </w:rPr>
              <w:t>Implemented 32ms performance.now() throttling on mouse parallax and separated UI state from WebGL render loops.</w:t>
            </w:r>
          </w:p>
        </w:tc>
      </w:tr>
      <w:tr>
        <w:tc>
          <w:tcPr>
            <w:tcW w:type="dxa" w:w="3120"/>
            <w:shd w:fill="FFFFFF"/>
            <w:tcMar>
              <w:top w:w="80" w:type="dxa"/>
              <w:bottom w:w="80" w:type="dxa"/>
              <w:left w:w="100" w:type="dxa"/>
              <w:right w:w="100" w:type="dxa"/>
            </w:tcMar>
          </w:tcPr>
          <w:p>
            <w:pPr>
              <w:spacing w:after="0"/>
            </w:pPr>
            <w:r>
              <w:rPr>
                <w:b/>
                <w:color w:val="0F172A"/>
                <w:sz w:val="18"/>
              </w:rPr>
              <w:t>Wireframe Spheres Obscuring Auth Typography</w:t>
            </w:r>
          </w:p>
        </w:tc>
        <w:tc>
          <w:tcPr>
            <w:tcW w:type="dxa" w:w="3120"/>
            <w:shd w:fill="FFFFFF"/>
            <w:tcMar>
              <w:top w:w="80" w:type="dxa"/>
              <w:bottom w:w="80" w:type="dxa"/>
              <w:left w:w="100" w:type="dxa"/>
              <w:right w:w="100" w:type="dxa"/>
            </w:tcMar>
          </w:tcPr>
          <w:p>
            <w:pPr>
              <w:spacing w:after="0"/>
            </w:pPr>
            <w:r>
              <w:rPr>
                <w:color w:val="334155"/>
                <w:sz w:val="18"/>
              </w:rPr>
              <w:t>AuthCanvas3D rendered wireframe Three.js sphere meshes at z=0, causing 2D wireframe circles to overlap text.</w:t>
            </w:r>
          </w:p>
        </w:tc>
        <w:tc>
          <w:tcPr>
            <w:tcW w:type="dxa" w:w="3120"/>
            <w:shd w:fill="FFFFFF"/>
            <w:tcMar>
              <w:top w:w="80" w:type="dxa"/>
              <w:bottom w:w="80" w:type="dxa"/>
              <w:left w:w="100" w:type="dxa"/>
              <w:right w:w="100" w:type="dxa"/>
            </w:tcMar>
          </w:tcPr>
          <w:p>
            <w:pPr>
              <w:spacing w:after="0"/>
            </w:pPr>
            <w:r>
              <w:rPr>
                <w:color w:val="334155"/>
                <w:sz w:val="18"/>
              </w:rPr>
              <w:t>Completely excised wireframe mesh code; replaced with clean, low-overhead starfield particles with additive blending.</w:t>
            </w:r>
          </w:p>
        </w:tc>
      </w:tr>
      <w:tr>
        <w:tc>
          <w:tcPr>
            <w:tcW w:type="dxa" w:w="3120"/>
            <w:shd w:fill="F8FAFC"/>
            <w:tcMar>
              <w:top w:w="80" w:type="dxa"/>
              <w:bottom w:w="80" w:type="dxa"/>
              <w:left w:w="100" w:type="dxa"/>
              <w:right w:w="100" w:type="dxa"/>
            </w:tcMar>
          </w:tcPr>
          <w:p>
            <w:pPr>
              <w:spacing w:after="0"/>
            </w:pPr>
            <w:r>
              <w:rPr>
                <w:b/>
                <w:color w:val="0F172A"/>
                <w:sz w:val="18"/>
              </w:rPr>
              <w:t>Square Photo Box Clipping in Auth Artwork</w:t>
            </w:r>
          </w:p>
        </w:tc>
        <w:tc>
          <w:tcPr>
            <w:tcW w:type="dxa" w:w="3120"/>
            <w:shd w:fill="F8FAFC"/>
            <w:tcMar>
              <w:top w:w="80" w:type="dxa"/>
              <w:bottom w:w="80" w:type="dxa"/>
              <w:left w:w="100" w:type="dxa"/>
              <w:right w:w="100" w:type="dxa"/>
            </w:tcMar>
          </w:tcPr>
          <w:p>
            <w:pPr>
              <w:spacing w:after="0"/>
            </w:pPr>
            <w:r>
              <w:rPr>
                <w:color w:val="334155"/>
                <w:sz w:val="18"/>
              </w:rPr>
              <w:t>Images rendered in rigid overflow-hidden containers without background alpha blending or edge feathering.</w:t>
            </w:r>
          </w:p>
        </w:tc>
        <w:tc>
          <w:tcPr>
            <w:tcW w:type="dxa" w:w="3120"/>
            <w:shd w:fill="F8FAFC"/>
            <w:tcMar>
              <w:top w:w="80" w:type="dxa"/>
              <w:bottom w:w="80" w:type="dxa"/>
              <w:left w:w="100" w:type="dxa"/>
              <w:right w:w="100" w:type="dxa"/>
            </w:tcMar>
          </w:tcPr>
          <w:p>
            <w:pPr>
              <w:spacing w:after="0"/>
            </w:pPr>
            <w:r>
              <w:rPr>
                <w:color w:val="334155"/>
                <w:sz w:val="18"/>
              </w:rPr>
              <w:t>Introduced CSS radial gradient masking [-webkit-mask-image: radial-gradient(...)] combined with mix-blend-mode: screen.</w:t>
            </w:r>
          </w:p>
        </w:tc>
      </w:tr>
      <w:tr>
        <w:tc>
          <w:tcPr>
            <w:tcW w:type="dxa" w:w="3120"/>
            <w:shd w:fill="FFFFFF"/>
            <w:tcMar>
              <w:top w:w="80" w:type="dxa"/>
              <w:bottom w:w="80" w:type="dxa"/>
              <w:left w:w="100" w:type="dxa"/>
              <w:right w:w="100" w:type="dxa"/>
            </w:tcMar>
          </w:tcPr>
          <w:p>
            <w:pPr>
              <w:spacing w:after="0"/>
            </w:pPr>
            <w:r>
              <w:rPr>
                <w:b/>
                <w:color w:val="0F172A"/>
                <w:sz w:val="18"/>
              </w:rPr>
              <w:t>Popup Modal Instead of Full Page</w:t>
            </w:r>
          </w:p>
        </w:tc>
        <w:tc>
          <w:tcPr>
            <w:tcW w:type="dxa" w:w="3120"/>
            <w:shd w:fill="FFFFFF"/>
            <w:tcMar>
              <w:top w:w="80" w:type="dxa"/>
              <w:bottom w:w="80" w:type="dxa"/>
              <w:left w:w="100" w:type="dxa"/>
              <w:right w:w="100" w:type="dxa"/>
            </w:tcMar>
          </w:tcPr>
          <w:p>
            <w:pPr>
              <w:spacing w:after="0"/>
            </w:pPr>
            <w:r>
              <w:rPr>
                <w:color w:val="334155"/>
                <w:sz w:val="18"/>
              </w:rPr>
              <w:t>Login handler dispatched setCurrentView('main') and toggled a modal state instead of route switching.</w:t>
            </w:r>
          </w:p>
        </w:tc>
        <w:tc>
          <w:tcPr>
            <w:tcW w:type="dxa" w:w="3120"/>
            <w:shd w:fill="FFFFFF"/>
            <w:tcMar>
              <w:top w:w="80" w:type="dxa"/>
              <w:bottom w:w="80" w:type="dxa"/>
              <w:left w:w="100" w:type="dxa"/>
              <w:right w:w="100" w:type="dxa"/>
            </w:tcMar>
          </w:tcPr>
          <w:p>
            <w:pPr>
              <w:spacing w:after="0"/>
            </w:pPr>
            <w:r>
              <w:rPr>
                <w:color w:val="334155"/>
                <w:sz w:val="18"/>
              </w:rPr>
              <w:t>Refactored App.jsx to support full top-level view routing (#auth, #dashboard, #showcase, #home) with zero modal interference.</w:t>
            </w:r>
          </w:p>
        </w:tc>
      </w:tr>
    </w:tbl>
    <w:p>
      <w:pPr>
        <w:spacing w:after="160"/>
      </w:pPr>
    </w:p>
    <w:p>
      <w:pPr>
        <w:keepNext/>
        <w:spacing w:before="400" w:after="120"/>
      </w:pPr>
      <w:r>
        <w:rPr>
          <w:rFonts w:ascii="Calibri" w:hAnsi="Calibri"/>
          <w:b/>
          <w:color w:val="0F172A"/>
          <w:sz w:val="36"/>
        </w:rPr>
        <w:t>5. Codebase Manifest &amp; Structural Directory</w:t>
      </w:r>
    </w:p>
    <w:p>
      <w:pPr>
        <w:spacing w:before="0" w:after="120" w:line="276" w:lineRule="auto"/>
      </w:pPr>
      <w:r>
        <w:rPr>
          <w:rFonts w:ascii="Calibri" w:hAnsi="Calibri"/>
          <w:color w:val="334155"/>
          <w:sz w:val="21"/>
        </w:rPr>
        <w:t>The following file tree summarizes the primary source components and assets comprising the project:</w:t>
      </w:r>
    </w:p>
    <w:p>
      <w:pPr>
        <w:pStyle w:val="ListBullet"/>
        <w:spacing w:before="0" w:after="60" w:line="276" w:lineRule="auto"/>
      </w:pPr>
      <w:r>
        <w:rPr>
          <w:rFonts w:ascii="Calibri" w:hAnsi="Calibri"/>
          <w:b/>
          <w:color w:val="0F172A"/>
          <w:sz w:val="21"/>
        </w:rPr>
        <w:t xml:space="preserve">src/App.jsx: </w:t>
      </w:r>
      <w:r>
        <w:rPr>
          <w:rFonts w:ascii="Calibri" w:hAnsi="Calibri"/>
          <w:color w:val="334155"/>
          <w:sz w:val="21"/>
        </w:rPr>
        <w:t>Top-level controller managing hash routing (#home, #auth, #dashboard, #showcase), active themes, and user session persistence.</w:t>
      </w:r>
    </w:p>
    <w:p>
      <w:pPr>
        <w:pStyle w:val="ListBullet"/>
        <w:spacing w:before="0" w:after="60" w:line="276" w:lineRule="auto"/>
      </w:pPr>
      <w:r>
        <w:rPr>
          <w:rFonts w:ascii="Calibri" w:hAnsi="Calibri"/>
          <w:b/>
          <w:color w:val="0F172A"/>
          <w:sz w:val="21"/>
        </w:rPr>
        <w:t xml:space="preserve">src/components/pages/AuthPage.jsx: </w:t>
      </w:r>
      <w:r>
        <w:rPr>
          <w:rFonts w:ascii="Calibri" w:hAnsi="Calibri"/>
          <w:color w:val="334155"/>
          <w:sz w:val="21"/>
        </w:rPr>
        <w:t>1:1 standalone authentication interface for Log In and Sign Up with radial-masked 3D celestial artwork.</w:t>
      </w:r>
    </w:p>
    <w:p>
      <w:pPr>
        <w:pStyle w:val="ListBullet"/>
        <w:spacing w:before="0" w:after="60" w:line="276" w:lineRule="auto"/>
      </w:pPr>
      <w:r>
        <w:rPr>
          <w:rFonts w:ascii="Calibri" w:hAnsi="Calibri"/>
          <w:b/>
          <w:color w:val="0F172A"/>
          <w:sz w:val="21"/>
        </w:rPr>
        <w:t xml:space="preserve">src/components/pages/DashboardPage.jsx: </w:t>
      </w:r>
      <w:r>
        <w:rPr>
          <w:rFonts w:ascii="Calibri" w:hAnsi="Calibri"/>
          <w:color w:val="334155"/>
          <w:sz w:val="21"/>
        </w:rPr>
        <w:t>Full-page project management portal with sidebar navigation, 5-stage milestone tracker, and empty guest workspace support.</w:t>
      </w:r>
    </w:p>
    <w:p>
      <w:pPr>
        <w:pStyle w:val="ListBullet"/>
        <w:spacing w:before="0" w:after="60" w:line="276" w:lineRule="auto"/>
      </w:pPr>
      <w:r>
        <w:rPr>
          <w:rFonts w:ascii="Calibri" w:hAnsi="Calibri"/>
          <w:b/>
          <w:color w:val="0F172A"/>
          <w:sz w:val="21"/>
        </w:rPr>
        <w:t xml:space="preserve">src/components/pages/ProjectShowcasePage.jsx: </w:t>
      </w:r>
      <w:r>
        <w:rPr>
          <w:rFonts w:ascii="Calibri" w:hAnsi="Calibri"/>
          <w:color w:val="334155"/>
          <w:sz w:val="21"/>
        </w:rPr>
        <w:t>Full-page Travel Platform showcase with 3D airplane banner, 45% circular chart, and deliverable package downloader.</w:t>
      </w:r>
    </w:p>
    <w:p>
      <w:pPr>
        <w:pStyle w:val="ListBullet"/>
        <w:spacing w:before="0" w:after="60" w:line="276" w:lineRule="auto"/>
      </w:pPr>
      <w:r>
        <w:rPr>
          <w:rFonts w:ascii="Calibri" w:hAnsi="Calibri"/>
          <w:b/>
          <w:color w:val="0F172A"/>
          <w:sz w:val="21"/>
        </w:rPr>
        <w:t xml:space="preserve">src/components/3d/HeroCanvas3D.jsx: </w:t>
      </w:r>
      <w:r>
        <w:rPr>
          <w:rFonts w:ascii="Calibri" w:hAnsi="Calibri"/>
          <w:color w:val="334155"/>
          <w:sz w:val="21"/>
        </w:rPr>
        <w:t>Interactive Three.js hero viewport featuring glowing A-Monolith, dual orbital rings, and celestial stardust particles.</w:t>
      </w:r>
    </w:p>
    <w:p>
      <w:pPr>
        <w:pStyle w:val="ListBullet"/>
        <w:spacing w:before="0" w:after="60" w:line="276" w:lineRule="auto"/>
      </w:pPr>
      <w:r>
        <w:rPr>
          <w:rFonts w:ascii="Calibri" w:hAnsi="Calibri"/>
          <w:b/>
          <w:color w:val="0F172A"/>
          <w:sz w:val="21"/>
        </w:rPr>
        <w:t xml:space="preserve">src/components/3d/AuthCanvas3D.jsx: </w:t>
      </w:r>
      <w:r>
        <w:rPr>
          <w:rFonts w:ascii="Calibri" w:hAnsi="Calibri"/>
          <w:color w:val="334155"/>
          <w:sz w:val="21"/>
        </w:rPr>
        <w:t>Three.js background particle canvas rendering fluid cosmic stardust with mouse parallax tracking.</w:t>
      </w:r>
    </w:p>
    <w:p>
      <w:pPr>
        <w:pStyle w:val="ListBullet"/>
        <w:spacing w:before="0" w:after="60" w:line="276" w:lineRule="auto"/>
      </w:pPr>
      <w:r>
        <w:rPr>
          <w:rFonts w:ascii="Calibri" w:hAnsi="Calibri"/>
          <w:b/>
          <w:color w:val="0F172A"/>
          <w:sz w:val="21"/>
        </w:rPr>
        <w:t xml:space="preserve">src/components/ui/Navbar.jsx: </w:t>
      </w:r>
      <w:r>
        <w:rPr>
          <w:rFonts w:ascii="Calibri" w:hAnsi="Calibri"/>
          <w:color w:val="334155"/>
          <w:sz w:val="21"/>
        </w:rPr>
        <w:t>Fixed studio navigation bar with live active-section indicators, sound toggle, and client session dropdown.</w:t>
      </w:r>
    </w:p>
    <w:p>
      <w:pPr>
        <w:pStyle w:val="ListBullet"/>
        <w:spacing w:before="0" w:after="60" w:line="276" w:lineRule="auto"/>
      </w:pPr>
      <w:r>
        <w:rPr>
          <w:rFonts w:ascii="Calibri" w:hAnsi="Calibri"/>
          <w:b/>
          <w:color w:val="0F172A"/>
          <w:sz w:val="21"/>
        </w:rPr>
        <w:t xml:space="preserve">src/components/ui/AetherLogo.jsx: </w:t>
      </w:r>
      <w:r>
        <w:rPr>
          <w:rFonts w:ascii="Calibri" w:hAnsi="Calibri"/>
          <w:color w:val="334155"/>
          <w:sz w:val="21"/>
        </w:rPr>
        <w:t>Geometric isometric triangle monogram emblem with glowing cyan gradients and brand typography.</w:t>
      </w:r>
    </w:p>
    <w:p>
      <w:pPr>
        <w:pStyle w:val="ListBullet"/>
        <w:spacing w:before="0" w:after="60" w:line="276" w:lineRule="auto"/>
      </w:pPr>
      <w:r>
        <w:rPr>
          <w:rFonts w:ascii="Calibri" w:hAnsi="Calibri"/>
          <w:b/>
          <w:color w:val="0F172A"/>
          <w:sz w:val="21"/>
        </w:rPr>
        <w:t xml:space="preserve">src/utils/soundFx.js: </w:t>
      </w:r>
      <w:r>
        <w:rPr>
          <w:rFonts w:ascii="Calibri" w:hAnsi="Calibri"/>
          <w:color w:val="334155"/>
          <w:sz w:val="21"/>
        </w:rPr>
        <w:t>Synthesized Web Audio API sound effects engine generating sub-millisecond audio feedback without external audio files.</w:t>
      </w:r>
    </w:p>
    <w:p>
      <w:pPr>
        <w:pStyle w:val="ListBullet"/>
        <w:spacing w:before="0" w:after="60" w:line="276" w:lineRule="auto"/>
      </w:pPr>
      <w:r>
        <w:rPr>
          <w:rFonts w:ascii="Calibri" w:hAnsi="Calibri"/>
          <w:b/>
          <w:color w:val="0F172A"/>
          <w:sz w:val="21"/>
        </w:rPr>
        <w:t xml:space="preserve">src/data/pricingData.js: </w:t>
      </w:r>
      <w:r>
        <w:rPr>
          <w:rFonts w:ascii="Calibri" w:hAnsi="Calibri"/>
          <w:color w:val="334155"/>
          <w:sz w:val="21"/>
        </w:rPr>
        <w:t>Pricing plans, features checklist, instant calculator formulas, and the full Calorie Paradox research article text.</w:t>
      </w:r>
    </w:p>
    <w:p>
      <w:pPr>
        <w:keepNext/>
        <w:spacing w:before="400" w:after="120"/>
      </w:pPr>
      <w:r>
        <w:rPr>
          <w:rFonts w:ascii="Calibri" w:hAnsi="Calibri"/>
          <w:b/>
          <w:color w:val="0F172A"/>
          <w:sz w:val="36"/>
        </w:rPr>
        <w:t>6. Quality Assurance, Build Validation &amp; Deployment</w:t>
      </w:r>
    </w:p>
    <w:p>
      <w:pPr>
        <w:spacing w:before="0" w:after="120" w:line="276" w:lineRule="auto"/>
      </w:pPr>
      <w:r>
        <w:rPr>
          <w:rFonts w:ascii="Calibri" w:hAnsi="Calibri"/>
          <w:color w:val="334155"/>
          <w:sz w:val="21"/>
        </w:rPr>
        <w:t>Every delivered system has been subjected to rigorous automated verification and manual integration testing:</w:t>
      </w:r>
    </w:p>
    <w:p>
      <w:pPr>
        <w:pStyle w:val="ListBullet"/>
        <w:spacing w:before="0" w:after="60" w:line="276" w:lineRule="auto"/>
      </w:pPr>
      <w:r>
        <w:rPr>
          <w:rFonts w:ascii="Calibri" w:hAnsi="Calibri"/>
          <w:b/>
          <w:color w:val="0F172A"/>
          <w:sz w:val="21"/>
        </w:rPr>
        <w:t xml:space="preserve">Vite Production Build: </w:t>
      </w:r>
      <w:r>
        <w:rPr>
          <w:rFonts w:ascii="Calibri" w:hAnsi="Calibri"/>
          <w:color w:val="334155"/>
          <w:sz w:val="21"/>
        </w:rPr>
        <w:t>Production build via 'npm run build' executed cleanly in 25.51 seconds, generating optimized, minified bundles with zero compiler warnings or broken dependencies.</w:t>
      </w:r>
    </w:p>
    <w:p>
      <w:pPr>
        <w:pStyle w:val="ListBullet"/>
        <w:spacing w:before="0" w:after="60" w:line="276" w:lineRule="auto"/>
      </w:pPr>
      <w:r>
        <w:rPr>
          <w:rFonts w:ascii="Calibri" w:hAnsi="Calibri"/>
          <w:b/>
          <w:color w:val="0F172A"/>
          <w:sz w:val="21"/>
        </w:rPr>
        <w:t xml:space="preserve">Browser History &amp; URL Routing: </w:t>
      </w:r>
      <w:r>
        <w:rPr>
          <w:rFonts w:ascii="Calibri" w:hAnsi="Calibri"/>
          <w:color w:val="334155"/>
          <w:sz w:val="21"/>
        </w:rPr>
        <w:t>Hash navigation and browser popstate event listeners were verified across #home, #auth, #signin, #signup, #dashboard, and #showcase.</w:t>
      </w:r>
    </w:p>
    <w:p>
      <w:pPr>
        <w:pStyle w:val="ListBullet"/>
        <w:spacing w:before="0" w:after="60" w:line="276" w:lineRule="auto"/>
      </w:pPr>
      <w:r>
        <w:rPr>
          <w:rFonts w:ascii="Calibri" w:hAnsi="Calibri"/>
          <w:b/>
          <w:color w:val="0F172A"/>
          <w:sz w:val="21"/>
        </w:rPr>
        <w:t xml:space="preserve">Git Synchronization: </w:t>
      </w:r>
      <w:r>
        <w:rPr>
          <w:rFonts w:ascii="Calibri" w:hAnsi="Calibri"/>
          <w:color w:val="334155"/>
          <w:sz w:val="21"/>
        </w:rPr>
        <w:t>All code changes, assets, and route modifications have been committed and pushed to the official repository at 'https://github.com/omar4523/aether-studios.git' on branch 'main'.</w:t>
      </w:r>
    </w:p>
    <w:p>
      <w:pPr>
        <w:spacing w:after="24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pPr>
              <w:spacing w:after="0"/>
            </w:pPr>
            <w:r>
              <w:rPr>
                <w:rFonts w:ascii="Calibri" w:hAnsi="Calibri"/>
                <w:b/>
                <w:color w:val="0F172A"/>
                <w:sz w:val="19"/>
              </w:rPr>
              <w:t>DOCUMENT SIGN-OFF &amp; DELIVERABLE ACCEPTANCE</w:t>
              <w:br/>
              <w:t>Engineered by: Antigravity AI Senior Systems Architect</w:t>
              <w:br/>
              <w:t>Delivered for: Omar Mohamed / Aether Studios Core Team</w:t>
              <w:br/>
              <w:t>Status: VERIFIED &amp; DEPLOYED (Branch: main)</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 AETHER STUDIOS DIGITAL PLATFORM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AETHER STUDIOS | Executive Engineering &amp; Architecture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