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Organizational Behavior in the Age of Artificial Intelligence</w:t>
      </w:r>
    </w:p>
    <w:p>
      <w:r>
        <w:rPr>
          <w:b/>
          <w:color w:val="000000"/>
          <w:sz w:val="24"/>
        </w:rPr>
        <w:t>MGMT-205-01  •  Fall 2026  •  School of Management, Kettering University</w:t>
      </w:r>
    </w:p>
    <w:p>
      <w:pPr>
        <w:pStyle w:val="Heading1"/>
      </w:pPr>
      <w:r>
        <w:t>Course Information</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3024"/>
            <w:shd w:val="clear" w:color="auto" w:fill="F2F2F2"/>
          </w:tcPr>
          <w:p>
            <w:pPr>
              <w:spacing w:after="0" w:line="240" w:lineRule="auto"/>
            </w:pPr>
            <w:r/>
            <w:r>
              <w:rPr>
                <w:b/>
                <w:sz w:val="21"/>
              </w:rPr>
              <w:t>Course Number</w:t>
            </w:r>
          </w:p>
        </w:tc>
        <w:tc>
          <w:tcPr>
            <w:tcW w:type="dxa" w:w="6336"/>
          </w:tcPr>
          <w:p>
            <w:pPr>
              <w:spacing w:after="0" w:line="240" w:lineRule="auto"/>
            </w:pPr>
            <w:r/>
            <w:r>
              <w:rPr>
                <w:b w:val="0"/>
                <w:sz w:val="21"/>
              </w:rPr>
              <w:t>MGMT-205-01</w:t>
            </w:r>
          </w:p>
        </w:tc>
      </w:tr>
      <w:tr>
        <w:trPr>
          <w:cantSplit/>
        </w:trPr>
        <w:tc>
          <w:tcPr>
            <w:tcW w:type="dxa" w:w="3024"/>
            <w:shd w:val="clear" w:color="auto" w:fill="F2F2F2"/>
          </w:tcPr>
          <w:p>
            <w:pPr>
              <w:spacing w:after="0" w:line="240" w:lineRule="auto"/>
            </w:pPr>
            <w:r/>
            <w:r>
              <w:rPr>
                <w:b/>
                <w:sz w:val="21"/>
              </w:rPr>
              <w:t>Course Title</w:t>
            </w:r>
          </w:p>
        </w:tc>
        <w:tc>
          <w:tcPr>
            <w:tcW w:type="dxa" w:w="6336"/>
          </w:tcPr>
          <w:p>
            <w:pPr>
              <w:spacing w:after="0" w:line="240" w:lineRule="auto"/>
            </w:pPr>
            <w:r/>
            <w:r>
              <w:rPr>
                <w:b w:val="0"/>
                <w:sz w:val="21"/>
              </w:rPr>
              <w:t>Organizational Behavior</w:t>
            </w:r>
          </w:p>
        </w:tc>
      </w:tr>
      <w:tr>
        <w:trPr>
          <w:cantSplit/>
        </w:trPr>
        <w:tc>
          <w:tcPr>
            <w:tcW w:type="dxa" w:w="3024"/>
            <w:shd w:val="clear" w:color="auto" w:fill="F2F2F2"/>
          </w:tcPr>
          <w:p>
            <w:pPr>
              <w:spacing w:after="0" w:line="240" w:lineRule="auto"/>
            </w:pPr>
            <w:r/>
            <w:r>
              <w:rPr>
                <w:b/>
                <w:sz w:val="21"/>
              </w:rPr>
              <w:t>Course Theme</w:t>
            </w:r>
          </w:p>
        </w:tc>
        <w:tc>
          <w:tcPr>
            <w:tcW w:type="dxa" w:w="6336"/>
          </w:tcPr>
          <w:p>
            <w:pPr>
              <w:spacing w:after="0" w:line="240" w:lineRule="auto"/>
            </w:pPr>
            <w:r/>
            <w:r>
              <w:rPr>
                <w:b w:val="0"/>
                <w:sz w:val="21"/>
              </w:rPr>
              <w:t>Organizational Behavior in the Age of Artificial Intelligence</w:t>
            </w:r>
          </w:p>
        </w:tc>
      </w:tr>
      <w:tr>
        <w:trPr>
          <w:cantSplit/>
        </w:trPr>
        <w:tc>
          <w:tcPr>
            <w:tcW w:type="dxa" w:w="3024"/>
            <w:shd w:val="clear" w:color="auto" w:fill="F2F2F2"/>
          </w:tcPr>
          <w:p>
            <w:pPr>
              <w:spacing w:after="0" w:line="240" w:lineRule="auto"/>
            </w:pPr>
            <w:r/>
            <w:r>
              <w:rPr>
                <w:b/>
                <w:sz w:val="21"/>
              </w:rPr>
              <w:t>Credit Hours</w:t>
            </w:r>
          </w:p>
        </w:tc>
        <w:tc>
          <w:tcPr>
            <w:tcW w:type="dxa" w:w="6336"/>
          </w:tcPr>
          <w:p>
            <w:pPr>
              <w:spacing w:after="0" w:line="240" w:lineRule="auto"/>
            </w:pPr>
            <w:r/>
            <w:r>
              <w:rPr>
                <w:b w:val="0"/>
                <w:sz w:val="21"/>
              </w:rPr>
              <w:t>4</w:t>
            </w:r>
          </w:p>
        </w:tc>
      </w:tr>
      <w:tr>
        <w:trPr>
          <w:cantSplit/>
        </w:trPr>
        <w:tc>
          <w:tcPr>
            <w:tcW w:type="dxa" w:w="3024"/>
            <w:shd w:val="clear" w:color="auto" w:fill="F2F2F2"/>
          </w:tcPr>
          <w:p>
            <w:pPr>
              <w:spacing w:after="0" w:line="240" w:lineRule="auto"/>
            </w:pPr>
            <w:r/>
            <w:r>
              <w:rPr>
                <w:b/>
                <w:sz w:val="21"/>
              </w:rPr>
              <w:t>Term</w:t>
            </w:r>
          </w:p>
        </w:tc>
        <w:tc>
          <w:tcPr>
            <w:tcW w:type="dxa" w:w="6336"/>
          </w:tcPr>
          <w:p>
            <w:pPr>
              <w:spacing w:after="0" w:line="240" w:lineRule="auto"/>
            </w:pPr>
            <w:r/>
            <w:r>
              <w:rPr>
                <w:b w:val="0"/>
                <w:sz w:val="21"/>
              </w:rPr>
              <w:t>Fall 2026</w:t>
            </w:r>
          </w:p>
        </w:tc>
      </w:tr>
      <w:tr>
        <w:trPr>
          <w:cantSplit/>
        </w:trPr>
        <w:tc>
          <w:tcPr>
            <w:tcW w:type="dxa" w:w="3024"/>
            <w:shd w:val="clear" w:color="auto" w:fill="F2F2F2"/>
          </w:tcPr>
          <w:p>
            <w:pPr>
              <w:spacing w:after="0" w:line="240" w:lineRule="auto"/>
            </w:pPr>
            <w:r/>
            <w:r>
              <w:rPr>
                <w:b/>
                <w:sz w:val="21"/>
              </w:rPr>
              <w:t>Meeting Days/Times</w:t>
            </w:r>
          </w:p>
        </w:tc>
        <w:tc>
          <w:tcPr>
            <w:tcW w:type="dxa" w:w="6336"/>
          </w:tcPr>
          <w:p>
            <w:pPr>
              <w:spacing w:after="0" w:line="240" w:lineRule="auto"/>
            </w:pPr>
            <w:r/>
            <w:r>
              <w:rPr>
                <w:b w:val="0"/>
                <w:sz w:val="21"/>
              </w:rPr>
              <w:t>Monday and Thursday, 10:15 A.M.–12:20 P.M.</w:t>
            </w:r>
          </w:p>
        </w:tc>
      </w:tr>
      <w:tr>
        <w:trPr>
          <w:cantSplit/>
        </w:trPr>
        <w:tc>
          <w:tcPr>
            <w:tcW w:type="dxa" w:w="3024"/>
            <w:shd w:val="clear" w:color="auto" w:fill="F2F2F2"/>
          </w:tcPr>
          <w:p>
            <w:pPr>
              <w:spacing w:after="0" w:line="240" w:lineRule="auto"/>
            </w:pPr>
            <w:r/>
            <w:r>
              <w:rPr>
                <w:b/>
                <w:sz w:val="21"/>
              </w:rPr>
              <w:t>Location</w:t>
            </w:r>
          </w:p>
        </w:tc>
        <w:tc>
          <w:tcPr>
            <w:tcW w:type="dxa" w:w="6336"/>
          </w:tcPr>
          <w:p>
            <w:pPr>
              <w:spacing w:after="0" w:line="240" w:lineRule="auto"/>
            </w:pPr>
            <w:r/>
            <w:r>
              <w:rPr>
                <w:b w:val="0"/>
                <w:sz w:val="21"/>
              </w:rPr>
              <w:t>AB 3336</w:t>
            </w:r>
          </w:p>
        </w:tc>
      </w:tr>
      <w:tr>
        <w:trPr>
          <w:cantSplit/>
        </w:trPr>
        <w:tc>
          <w:tcPr>
            <w:tcW w:type="dxa" w:w="3024"/>
            <w:shd w:val="clear" w:color="auto" w:fill="F2F2F2"/>
          </w:tcPr>
          <w:p>
            <w:pPr>
              <w:spacing w:after="0" w:line="240" w:lineRule="auto"/>
            </w:pPr>
            <w:r/>
            <w:r>
              <w:rPr>
                <w:b/>
                <w:sz w:val="21"/>
              </w:rPr>
              <w:t>Delivery Format</w:t>
            </w:r>
          </w:p>
        </w:tc>
        <w:tc>
          <w:tcPr>
            <w:tcW w:type="dxa" w:w="6336"/>
          </w:tcPr>
          <w:p>
            <w:pPr>
              <w:spacing w:after="0" w:line="240" w:lineRule="auto"/>
            </w:pPr>
            <w:r/>
            <w:r>
              <w:rPr>
                <w:b w:val="0"/>
                <w:sz w:val="21"/>
              </w:rPr>
              <w:t>In-Person</w:t>
            </w:r>
          </w:p>
        </w:tc>
      </w:tr>
      <w:tr>
        <w:trPr>
          <w:cantSplit/>
        </w:trPr>
        <w:tc>
          <w:tcPr>
            <w:tcW w:type="dxa" w:w="3024"/>
            <w:shd w:val="clear" w:color="auto" w:fill="F2F2F2"/>
          </w:tcPr>
          <w:p>
            <w:pPr>
              <w:spacing w:after="0" w:line="240" w:lineRule="auto"/>
            </w:pPr>
            <w:r/>
            <w:r>
              <w:rPr>
                <w:b/>
                <w:sz w:val="21"/>
              </w:rPr>
              <w:t>Prerequisite</w:t>
            </w:r>
          </w:p>
        </w:tc>
        <w:tc>
          <w:tcPr>
            <w:tcW w:type="dxa" w:w="6336"/>
          </w:tcPr>
          <w:p>
            <w:pPr>
              <w:spacing w:after="0" w:line="240" w:lineRule="auto"/>
            </w:pPr>
            <w:r/>
            <w:r>
              <w:rPr>
                <w:b w:val="0"/>
                <w:sz w:val="21"/>
              </w:rPr>
              <w:t>MGMT-104</w:t>
            </w:r>
          </w:p>
        </w:tc>
      </w:tr>
    </w:tbl>
    <w:p>
      <w:pPr>
        <w:spacing w:after="40"/>
      </w:pPr>
    </w:p>
    <w:p>
      <w:pPr>
        <w:pStyle w:val="Heading1"/>
      </w:pPr>
      <w:r>
        <w:t>Instructor Information</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3024"/>
            <w:shd w:val="clear" w:color="auto" w:fill="F2F2F2"/>
          </w:tcPr>
          <w:p>
            <w:pPr>
              <w:spacing w:after="0" w:line="240" w:lineRule="auto"/>
            </w:pPr>
            <w:r/>
            <w:r>
              <w:rPr>
                <w:b/>
                <w:sz w:val="21"/>
              </w:rPr>
              <w:t>Instructor</w:t>
            </w:r>
          </w:p>
        </w:tc>
        <w:tc>
          <w:tcPr>
            <w:tcW w:type="dxa" w:w="6336"/>
          </w:tcPr>
          <w:p>
            <w:pPr>
              <w:spacing w:after="0" w:line="240" w:lineRule="auto"/>
            </w:pPr>
            <w:r/>
            <w:r>
              <w:rPr>
                <w:b w:val="0"/>
                <w:sz w:val="21"/>
              </w:rPr>
              <w:t>Omar R. Malik, Ph.D.</w:t>
            </w:r>
          </w:p>
        </w:tc>
      </w:tr>
      <w:tr>
        <w:trPr>
          <w:cantSplit/>
        </w:trPr>
        <w:tc>
          <w:tcPr>
            <w:tcW w:type="dxa" w:w="3024"/>
            <w:shd w:val="clear" w:color="auto" w:fill="F2F2F2"/>
          </w:tcPr>
          <w:p>
            <w:pPr>
              <w:spacing w:after="0" w:line="240" w:lineRule="auto"/>
            </w:pPr>
            <w:r/>
            <w:r>
              <w:rPr>
                <w:b/>
                <w:sz w:val="21"/>
              </w:rPr>
              <w:t>Office</w:t>
            </w:r>
          </w:p>
        </w:tc>
        <w:tc>
          <w:tcPr>
            <w:tcW w:type="dxa" w:w="6336"/>
          </w:tcPr>
          <w:p>
            <w:pPr>
              <w:spacing w:after="0" w:line="240" w:lineRule="auto"/>
            </w:pPr>
            <w:r/>
            <w:r>
              <w:rPr>
                <w:b w:val="0"/>
                <w:sz w:val="21"/>
              </w:rPr>
              <w:t>AB 4103</w:t>
            </w:r>
          </w:p>
        </w:tc>
      </w:tr>
      <w:tr>
        <w:trPr>
          <w:cantSplit/>
        </w:trPr>
        <w:tc>
          <w:tcPr>
            <w:tcW w:type="dxa" w:w="3024"/>
            <w:shd w:val="clear" w:color="auto" w:fill="F2F2F2"/>
          </w:tcPr>
          <w:p>
            <w:pPr>
              <w:spacing w:after="0" w:line="240" w:lineRule="auto"/>
            </w:pPr>
            <w:r/>
            <w:r>
              <w:rPr>
                <w:b/>
                <w:sz w:val="21"/>
              </w:rPr>
              <w:t>Email</w:t>
            </w:r>
          </w:p>
        </w:tc>
        <w:tc>
          <w:tcPr>
            <w:tcW w:type="dxa" w:w="6336"/>
          </w:tcPr>
          <w:p>
            <w:pPr>
              <w:spacing w:after="0" w:line="240" w:lineRule="auto"/>
            </w:pPr>
            <w:r/>
            <w:r>
              <w:rPr>
                <w:b w:val="0"/>
                <w:sz w:val="21"/>
              </w:rPr>
              <w:t>omalik@kettering.edu</w:t>
            </w:r>
          </w:p>
        </w:tc>
      </w:tr>
      <w:tr>
        <w:trPr>
          <w:cantSplit/>
        </w:trPr>
        <w:tc>
          <w:tcPr>
            <w:tcW w:type="dxa" w:w="3024"/>
            <w:shd w:val="clear" w:color="auto" w:fill="F2F2F2"/>
          </w:tcPr>
          <w:p>
            <w:pPr>
              <w:spacing w:after="0" w:line="240" w:lineRule="auto"/>
            </w:pPr>
            <w:r/>
            <w:r>
              <w:rPr>
                <w:b/>
                <w:sz w:val="21"/>
              </w:rPr>
              <w:t>Phone</w:t>
            </w:r>
          </w:p>
        </w:tc>
        <w:tc>
          <w:tcPr>
            <w:tcW w:type="dxa" w:w="6336"/>
          </w:tcPr>
          <w:p>
            <w:pPr>
              <w:spacing w:after="0" w:line="240" w:lineRule="auto"/>
            </w:pPr>
            <w:r/>
            <w:r>
              <w:rPr>
                <w:b w:val="0"/>
                <w:sz w:val="21"/>
              </w:rPr>
              <w:t>(616) 808-9866</w:t>
            </w:r>
          </w:p>
        </w:tc>
      </w:tr>
      <w:tr>
        <w:trPr>
          <w:cantSplit/>
        </w:trPr>
        <w:tc>
          <w:tcPr>
            <w:tcW w:type="dxa" w:w="3024"/>
            <w:shd w:val="clear" w:color="auto" w:fill="F2F2F2"/>
          </w:tcPr>
          <w:p>
            <w:pPr>
              <w:spacing w:after="0" w:line="240" w:lineRule="auto"/>
            </w:pPr>
            <w:r/>
            <w:r>
              <w:rPr>
                <w:b/>
                <w:sz w:val="21"/>
              </w:rPr>
              <w:t>Office Hours</w:t>
            </w:r>
          </w:p>
        </w:tc>
        <w:tc>
          <w:tcPr>
            <w:tcW w:type="dxa" w:w="6336"/>
          </w:tcPr>
          <w:p>
            <w:pPr>
              <w:spacing w:after="0" w:line="240" w:lineRule="auto"/>
            </w:pPr>
            <w:r/>
            <w:r>
              <w:rPr>
                <w:b w:val="0"/>
                <w:sz w:val="21"/>
              </w:rPr>
              <w:t>Monday and Thursday, 12:20–1:20 P.M.</w:t>
            </w:r>
          </w:p>
        </w:tc>
      </w:tr>
      <w:tr>
        <w:trPr>
          <w:cantSplit/>
        </w:trPr>
        <w:tc>
          <w:tcPr>
            <w:tcW w:type="dxa" w:w="3024"/>
            <w:shd w:val="clear" w:color="auto" w:fill="F2F2F2"/>
          </w:tcPr>
          <w:p>
            <w:pPr>
              <w:spacing w:after="0" w:line="240" w:lineRule="auto"/>
            </w:pPr>
            <w:r/>
            <w:r>
              <w:rPr>
                <w:b/>
                <w:sz w:val="21"/>
              </w:rPr>
              <w:t>Preferred Communication Method</w:t>
            </w:r>
          </w:p>
        </w:tc>
        <w:tc>
          <w:tcPr>
            <w:tcW w:type="dxa" w:w="6336"/>
          </w:tcPr>
          <w:p>
            <w:pPr>
              <w:spacing w:after="0" w:line="240" w:lineRule="auto"/>
            </w:pPr>
            <w:r/>
            <w:r>
              <w:rPr>
                <w:b w:val="0"/>
                <w:sz w:val="21"/>
              </w:rPr>
              <w:t>Email</w:t>
            </w:r>
          </w:p>
        </w:tc>
      </w:tr>
    </w:tbl>
    <w:p>
      <w:pPr>
        <w:spacing w:after="40"/>
      </w:pPr>
    </w:p>
    <w:p>
      <w:pPr>
        <w:pStyle w:val="Heading1"/>
      </w:pPr>
      <w:r>
        <w:t>Course Description</w:t>
      </w:r>
    </w:p>
    <w:p>
      <w:r>
        <w:rPr>
          <w:i w:val="0"/>
        </w:rPr>
        <w:t>The central task in organizations is working with people. Increasingly, people work alongside artificial intelligence that searches, summarizes, predicts, recommends, evaluates, and decides. The organizational behavior discipline examines the behavior of individuals, groups, and organizations as it relates to desirable organizational outcomes such as motivation, productivity, ethical behavior, and social responsibility.</w:t>
      </w:r>
    </w:p>
    <w:p>
      <w:r>
        <w:rPr>
          <w:i w:val="0"/>
        </w:rPr>
        <w:t>In this course we survey research-based findings in organizational behavior—personality and attitudes, learning and perception, motivation, leadership, group decision making, teams, diversity, and culture—and examine how each changes when humans and AI jointly develop knowledge and make decisions. Students pair the textbook with classic and contemporary research, analyze Harvard Business School cases,  and study a real organization's human–AI work practices in a team project.</w:t>
      </w:r>
    </w:p>
    <w:p>
      <w:pPr>
        <w:pStyle w:val="Heading2"/>
      </w:pPr>
      <w:r>
        <w:t>The Central Question</w:t>
      </w:r>
    </w:p>
    <w:p>
      <w:pPr>
        <w:ind w:left="576"/>
      </w:pPr>
      <w:r>
        <w:rPr>
          <w:b/>
        </w:rPr>
        <w:t>How does organizational behavior change when humans and AI jointly develop knowledge and make decisions?</w:t>
      </w:r>
    </w:p>
    <w:p>
      <w:pPr>
        <w:pStyle w:val="Heading2"/>
      </w:pPr>
      <w:r>
        <w:t>The Joint Knowing and Deciding (JKD) Framework</w:t>
      </w:r>
    </w:p>
    <w:p>
      <w:r>
        <w:rPr>
          <w:i w:val="0"/>
        </w:rPr>
        <w:t>Every topic in the course is examined through seven questions, asked at the individual, group, and organizational levels: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D9D9D9"/>
          </w:tcPr>
          <w:p>
            <w:pPr>
              <w:spacing w:after="0" w:line="240" w:lineRule="auto"/>
            </w:pPr>
            <w:r/>
            <w:r>
              <w:rPr>
                <w:b/>
                <w:sz w:val="20"/>
              </w:rPr>
              <w:t>Cluster</w:t>
            </w:r>
          </w:p>
        </w:tc>
        <w:tc>
          <w:tcPr>
            <w:tcW w:type="dxa" w:w="3744"/>
            <w:shd w:val="clear" w:color="auto" w:fill="D9D9D9"/>
          </w:tcPr>
          <w:p>
            <w:pPr>
              <w:spacing w:after="0" w:line="240" w:lineRule="auto"/>
            </w:pPr>
            <w:r/>
            <w:r>
              <w:rPr>
                <w:b/>
                <w:sz w:val="20"/>
              </w:rPr>
              <w:t>Question</w:t>
            </w:r>
          </w:p>
        </w:tc>
        <w:tc>
          <w:tcPr>
            <w:tcW w:type="dxa" w:w="3456"/>
            <w:shd w:val="clear" w:color="auto" w:fill="D9D9D9"/>
          </w:tcPr>
          <w:p>
            <w:pPr>
              <w:spacing w:after="0" w:line="240" w:lineRule="auto"/>
            </w:pPr>
            <w:r/>
            <w:r>
              <w:rPr>
                <w:b/>
                <w:sz w:val="20"/>
              </w:rPr>
              <w:t>Focus</w:t>
            </w:r>
          </w:p>
        </w:tc>
      </w:tr>
      <w:tr>
        <w:trPr>
          <w:cantSplit/>
        </w:trPr>
        <w:tc>
          <w:tcPr>
            <w:tcW w:type="dxa" w:w="2160"/>
          </w:tcPr>
          <w:p>
            <w:pPr>
              <w:spacing w:after="0" w:line="240" w:lineRule="auto"/>
            </w:pPr>
            <w:r/>
            <w:r>
              <w:rPr>
                <w:b w:val="0"/>
                <w:sz w:val="20"/>
              </w:rPr>
              <w:t>Knowing</w:t>
            </w:r>
          </w:p>
        </w:tc>
        <w:tc>
          <w:tcPr>
            <w:tcW w:type="dxa" w:w="3744"/>
          </w:tcPr>
          <w:p>
            <w:pPr>
              <w:spacing w:after="0" w:line="240" w:lineRule="auto"/>
            </w:pPr>
            <w:r/>
            <w:r>
              <w:rPr>
                <w:b w:val="0"/>
                <w:sz w:val="20"/>
              </w:rPr>
              <w:t>1. Who knows?</w:t>
            </w:r>
          </w:p>
        </w:tc>
        <w:tc>
          <w:tcPr>
            <w:tcW w:type="dxa" w:w="3456"/>
          </w:tcPr>
          <w:p>
            <w:pPr>
              <w:spacing w:after="0" w:line="240" w:lineRule="auto"/>
            </w:pPr>
            <w:r/>
            <w:r>
              <w:rPr>
                <w:b w:val="0"/>
                <w:sz w:val="20"/>
              </w:rPr>
              <w:t>Sources of knowledge</w:t>
            </w:r>
          </w:p>
        </w:tc>
      </w:tr>
      <w:tr>
        <w:trPr>
          <w:cantSplit/>
        </w:trPr>
        <w:tc>
          <w:tcPr>
            <w:tcW w:type="dxa" w:w="2160"/>
            <w:shd w:val="clear" w:color="auto" w:fill="F2F2F2"/>
          </w:tcPr>
          <w:p>
            <w:pPr>
              <w:spacing w:after="0" w:line="240" w:lineRule="auto"/>
            </w:pPr>
            <w:r/>
            <w:r>
              <w:rPr>
                <w:b w:val="0"/>
                <w:sz w:val="20"/>
              </w:rPr>
              <w:t>Knowing</w:t>
            </w:r>
          </w:p>
        </w:tc>
        <w:tc>
          <w:tcPr>
            <w:tcW w:type="dxa" w:w="3744"/>
            <w:shd w:val="clear" w:color="auto" w:fill="F2F2F2"/>
          </w:tcPr>
          <w:p>
            <w:pPr>
              <w:spacing w:after="0" w:line="240" w:lineRule="auto"/>
            </w:pPr>
            <w:r/>
            <w:r>
              <w:rPr>
                <w:b w:val="0"/>
                <w:sz w:val="20"/>
              </w:rPr>
              <w:t>2. How is knowledge built?</w:t>
            </w:r>
          </w:p>
        </w:tc>
        <w:tc>
          <w:tcPr>
            <w:tcW w:type="dxa" w:w="3456"/>
            <w:shd w:val="clear" w:color="auto" w:fill="F2F2F2"/>
          </w:tcPr>
          <w:p>
            <w:pPr>
              <w:spacing w:after="0" w:line="240" w:lineRule="auto"/>
            </w:pPr>
            <w:r/>
            <w:r>
              <w:rPr>
                <w:b w:val="0"/>
                <w:sz w:val="20"/>
              </w:rPr>
              <w:t>Co-creation and validation</w:t>
            </w:r>
          </w:p>
        </w:tc>
      </w:tr>
      <w:tr>
        <w:trPr>
          <w:cantSplit/>
        </w:trPr>
        <w:tc>
          <w:tcPr>
            <w:tcW w:type="dxa" w:w="2160"/>
          </w:tcPr>
          <w:p>
            <w:pPr>
              <w:spacing w:after="0" w:line="240" w:lineRule="auto"/>
            </w:pPr>
            <w:r/>
            <w:r>
              <w:rPr>
                <w:b w:val="0"/>
                <w:sz w:val="20"/>
              </w:rPr>
              <w:t>Deciding</w:t>
            </w:r>
          </w:p>
        </w:tc>
        <w:tc>
          <w:tcPr>
            <w:tcW w:type="dxa" w:w="3744"/>
          </w:tcPr>
          <w:p>
            <w:pPr>
              <w:spacing w:after="0" w:line="240" w:lineRule="auto"/>
            </w:pPr>
            <w:r/>
            <w:r>
              <w:rPr>
                <w:b w:val="0"/>
                <w:sz w:val="20"/>
              </w:rPr>
              <w:t>3. Who decides?</w:t>
            </w:r>
          </w:p>
        </w:tc>
        <w:tc>
          <w:tcPr>
            <w:tcW w:type="dxa" w:w="3456"/>
          </w:tcPr>
          <w:p>
            <w:pPr>
              <w:spacing w:after="0" w:line="240" w:lineRule="auto"/>
            </w:pPr>
            <w:r/>
            <w:r>
              <w:rPr>
                <w:b w:val="0"/>
                <w:sz w:val="20"/>
              </w:rPr>
              <w:t>Decision rights</w:t>
            </w:r>
          </w:p>
        </w:tc>
      </w:tr>
      <w:tr>
        <w:trPr>
          <w:cantSplit/>
        </w:trPr>
        <w:tc>
          <w:tcPr>
            <w:tcW w:type="dxa" w:w="2160"/>
            <w:shd w:val="clear" w:color="auto" w:fill="F2F2F2"/>
          </w:tcPr>
          <w:p>
            <w:pPr>
              <w:spacing w:after="0" w:line="240" w:lineRule="auto"/>
            </w:pPr>
            <w:r/>
            <w:r>
              <w:rPr>
                <w:b w:val="0"/>
                <w:sz w:val="20"/>
              </w:rPr>
              <w:t>Deciding</w:t>
            </w:r>
          </w:p>
        </w:tc>
        <w:tc>
          <w:tcPr>
            <w:tcW w:type="dxa" w:w="3744"/>
            <w:shd w:val="clear" w:color="auto" w:fill="F2F2F2"/>
          </w:tcPr>
          <w:p>
            <w:pPr>
              <w:spacing w:after="0" w:line="240" w:lineRule="auto"/>
            </w:pPr>
            <w:r/>
            <w:r>
              <w:rPr>
                <w:b w:val="0"/>
                <w:sz w:val="20"/>
              </w:rPr>
              <w:t>4. Who is accountable?</w:t>
            </w:r>
          </w:p>
        </w:tc>
        <w:tc>
          <w:tcPr>
            <w:tcW w:type="dxa" w:w="3456"/>
            <w:shd w:val="clear" w:color="auto" w:fill="F2F2F2"/>
          </w:tcPr>
          <w:p>
            <w:pPr>
              <w:spacing w:after="0" w:line="240" w:lineRule="auto"/>
            </w:pPr>
            <w:r/>
            <w:r>
              <w:rPr>
                <w:b w:val="0"/>
                <w:sz w:val="20"/>
              </w:rPr>
              <w:t>Authority and responsibility</w:t>
            </w:r>
          </w:p>
        </w:tc>
      </w:tr>
      <w:tr>
        <w:trPr>
          <w:cantSplit/>
        </w:trPr>
        <w:tc>
          <w:tcPr>
            <w:tcW w:type="dxa" w:w="2160"/>
          </w:tcPr>
          <w:p>
            <w:pPr>
              <w:spacing w:after="0" w:line="240" w:lineRule="auto"/>
            </w:pPr>
            <w:r/>
            <w:r>
              <w:rPr>
                <w:b w:val="0"/>
                <w:sz w:val="20"/>
              </w:rPr>
              <w:t>Consequences</w:t>
            </w:r>
          </w:p>
        </w:tc>
        <w:tc>
          <w:tcPr>
            <w:tcW w:type="dxa" w:w="3744"/>
          </w:tcPr>
          <w:p>
            <w:pPr>
              <w:spacing w:after="0" w:line="240" w:lineRule="auto"/>
            </w:pPr>
            <w:r/>
            <w:r>
              <w:rPr>
                <w:b w:val="0"/>
                <w:sz w:val="20"/>
              </w:rPr>
              <w:t>5. How do people experience it?</w:t>
            </w:r>
          </w:p>
        </w:tc>
        <w:tc>
          <w:tcPr>
            <w:tcW w:type="dxa" w:w="3456"/>
          </w:tcPr>
          <w:p>
            <w:pPr>
              <w:spacing w:after="0" w:line="240" w:lineRule="auto"/>
            </w:pPr>
            <w:r/>
            <w:r>
              <w:rPr>
                <w:b w:val="0"/>
                <w:sz w:val="20"/>
              </w:rPr>
              <w:t>Trust, motivation, stress, identity</w:t>
            </w:r>
          </w:p>
        </w:tc>
      </w:tr>
      <w:tr>
        <w:trPr>
          <w:cantSplit/>
        </w:trPr>
        <w:tc>
          <w:tcPr>
            <w:tcW w:type="dxa" w:w="2160"/>
            <w:shd w:val="clear" w:color="auto" w:fill="F2F2F2"/>
          </w:tcPr>
          <w:p>
            <w:pPr>
              <w:spacing w:after="0" w:line="240" w:lineRule="auto"/>
            </w:pPr>
            <w:r/>
            <w:r>
              <w:rPr>
                <w:b w:val="0"/>
                <w:sz w:val="20"/>
              </w:rPr>
              <w:t>Consequences</w:t>
            </w:r>
          </w:p>
        </w:tc>
        <w:tc>
          <w:tcPr>
            <w:tcW w:type="dxa" w:w="3744"/>
            <w:shd w:val="clear" w:color="auto" w:fill="F2F2F2"/>
          </w:tcPr>
          <w:p>
            <w:pPr>
              <w:spacing w:after="0" w:line="240" w:lineRule="auto"/>
            </w:pPr>
            <w:r/>
            <w:r>
              <w:rPr>
                <w:b w:val="0"/>
                <w:sz w:val="20"/>
              </w:rPr>
              <w:t>6. Is it fair?</w:t>
            </w:r>
          </w:p>
        </w:tc>
        <w:tc>
          <w:tcPr>
            <w:tcW w:type="dxa" w:w="3456"/>
            <w:shd w:val="clear" w:color="auto" w:fill="F2F2F2"/>
          </w:tcPr>
          <w:p>
            <w:pPr>
              <w:spacing w:after="0" w:line="240" w:lineRule="auto"/>
            </w:pPr>
            <w:r/>
            <w:r>
              <w:rPr>
                <w:b w:val="0"/>
                <w:sz w:val="20"/>
              </w:rPr>
              <w:t>Fairness, diversity, inclusion</w:t>
            </w:r>
          </w:p>
        </w:tc>
      </w:tr>
      <w:tr>
        <w:trPr>
          <w:cantSplit/>
        </w:trPr>
        <w:tc>
          <w:tcPr>
            <w:tcW w:type="dxa" w:w="2160"/>
          </w:tcPr>
          <w:p>
            <w:pPr>
              <w:spacing w:after="0" w:line="240" w:lineRule="auto"/>
            </w:pPr>
            <w:r/>
            <w:r>
              <w:rPr>
                <w:b w:val="0"/>
                <w:sz w:val="20"/>
              </w:rPr>
              <w:t>Consequences</w:t>
            </w:r>
          </w:p>
        </w:tc>
        <w:tc>
          <w:tcPr>
            <w:tcW w:type="dxa" w:w="3744"/>
          </w:tcPr>
          <w:p>
            <w:pPr>
              <w:spacing w:after="0" w:line="240" w:lineRule="auto"/>
            </w:pPr>
            <w:r/>
            <w:r>
              <w:rPr>
                <w:b w:val="0"/>
                <w:sz w:val="20"/>
              </w:rPr>
              <w:t>7. Does the organization learn?</w:t>
            </w:r>
          </w:p>
        </w:tc>
        <w:tc>
          <w:tcPr>
            <w:tcW w:type="dxa" w:w="3456"/>
          </w:tcPr>
          <w:p>
            <w:pPr>
              <w:spacing w:after="0" w:line="240" w:lineRule="auto"/>
            </w:pPr>
            <w:r/>
            <w:r>
              <w:rPr>
                <w:b w:val="0"/>
                <w:sz w:val="20"/>
              </w:rPr>
              <w:t>Culture, expertise, adaptation</w:t>
            </w:r>
          </w:p>
        </w:tc>
      </w:tr>
    </w:tbl>
    <w:p>
      <w:pPr>
        <w:spacing w:after="40"/>
      </w:pPr>
    </w:p>
    <w:p>
      <w:pPr>
        <w:pStyle w:val="Heading1"/>
      </w:pPr>
      <w:r>
        <w:t>Course Learning Outcomes (CLOs)</w:t>
      </w:r>
    </w:p>
    <w:p>
      <w:r>
        <w:rPr>
          <w:i w:val="0"/>
        </w:rPr>
        <w:t>The learning outcomes of this course relate to Kettering University's central learning outcomes of Knowledge, Reasoning, and Ethics. We also develop communication and teamwork skills throughout the course. Upon successful completion of this course, students will be able to: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152"/>
            <w:shd w:val="clear" w:color="auto" w:fill="D9D9D9"/>
          </w:tcPr>
          <w:p>
            <w:pPr>
              <w:spacing w:after="0" w:line="240" w:lineRule="auto"/>
              <w:jc w:val="center"/>
            </w:pPr>
            <w:r/>
            <w:r>
              <w:rPr>
                <w:b/>
                <w:sz w:val="20"/>
              </w:rPr>
              <w:t>CLO</w:t>
            </w:r>
          </w:p>
        </w:tc>
        <w:tc>
          <w:tcPr>
            <w:tcW w:type="dxa" w:w="6336"/>
            <w:shd w:val="clear" w:color="auto" w:fill="D9D9D9"/>
          </w:tcPr>
          <w:p>
            <w:pPr>
              <w:spacing w:after="0" w:line="240" w:lineRule="auto"/>
            </w:pPr>
            <w:r/>
            <w:r>
              <w:rPr>
                <w:b/>
                <w:sz w:val="20"/>
              </w:rPr>
              <w:t>Learning Outcome</w:t>
            </w:r>
          </w:p>
        </w:tc>
        <w:tc>
          <w:tcPr>
            <w:tcW w:type="dxa" w:w="1872"/>
            <w:shd w:val="clear" w:color="auto" w:fill="D9D9D9"/>
          </w:tcPr>
          <w:p>
            <w:pPr>
              <w:spacing w:after="0" w:line="240" w:lineRule="auto"/>
              <w:jc w:val="center"/>
            </w:pPr>
            <w:r/>
            <w:r>
              <w:rPr>
                <w:b/>
                <w:sz w:val="20"/>
              </w:rPr>
              <w:t>Bloom's Level</w:t>
            </w:r>
          </w:p>
        </w:tc>
      </w:tr>
      <w:tr>
        <w:trPr>
          <w:cantSplit/>
        </w:trPr>
        <w:tc>
          <w:tcPr>
            <w:tcW w:type="dxa" w:w="1152"/>
          </w:tcPr>
          <w:p>
            <w:pPr>
              <w:spacing w:after="0" w:line="240" w:lineRule="auto"/>
              <w:jc w:val="center"/>
            </w:pPr>
            <w:r/>
            <w:r>
              <w:rPr>
                <w:b/>
                <w:sz w:val="20"/>
              </w:rPr>
              <w:t>CLO 1</w:t>
            </w:r>
          </w:p>
        </w:tc>
        <w:tc>
          <w:tcPr>
            <w:tcW w:type="dxa" w:w="6336"/>
          </w:tcPr>
          <w:p>
            <w:pPr>
              <w:spacing w:after="0" w:line="240" w:lineRule="auto"/>
            </w:pPr>
            <w:r/>
            <w:r>
              <w:rPr>
                <w:b w:val="0"/>
                <w:sz w:val="20"/>
              </w:rPr>
              <w:t>Explain core organizational behavior concepts at the individual, group, and organizational levels.</w:t>
            </w:r>
          </w:p>
        </w:tc>
        <w:tc>
          <w:tcPr>
            <w:tcW w:type="dxa" w:w="1872"/>
          </w:tcPr>
          <w:p>
            <w:pPr>
              <w:spacing w:after="0" w:line="240" w:lineRule="auto"/>
              <w:jc w:val="center"/>
            </w:pPr>
            <w:r/>
            <w:r>
              <w:rPr>
                <w:b w:val="0"/>
                <w:sz w:val="20"/>
              </w:rPr>
              <w:t>Understand</w:t>
            </w:r>
          </w:p>
        </w:tc>
      </w:tr>
      <w:tr>
        <w:trPr>
          <w:cantSplit/>
        </w:trPr>
        <w:tc>
          <w:tcPr>
            <w:tcW w:type="dxa" w:w="1152"/>
            <w:shd w:val="clear" w:color="auto" w:fill="F2F2F2"/>
          </w:tcPr>
          <w:p>
            <w:pPr>
              <w:spacing w:after="0" w:line="240" w:lineRule="auto"/>
              <w:jc w:val="center"/>
            </w:pPr>
            <w:r/>
            <w:r>
              <w:rPr>
                <w:b/>
                <w:sz w:val="20"/>
              </w:rPr>
              <w:t>CLO 2</w:t>
            </w:r>
          </w:p>
        </w:tc>
        <w:tc>
          <w:tcPr>
            <w:tcW w:type="dxa" w:w="6336"/>
            <w:shd w:val="clear" w:color="auto" w:fill="F2F2F2"/>
          </w:tcPr>
          <w:p>
            <w:pPr>
              <w:spacing w:after="0" w:line="240" w:lineRule="auto"/>
            </w:pPr>
            <w:r/>
            <w:r>
              <w:rPr>
                <w:b w:val="0"/>
                <w:sz w:val="20"/>
              </w:rPr>
              <w:t>Apply organizational behavior theories to analyze how people and AI jointly develop knowledge and make decisions in real organizations.</w:t>
            </w:r>
          </w:p>
        </w:tc>
        <w:tc>
          <w:tcPr>
            <w:tcW w:type="dxa" w:w="1872"/>
            <w:shd w:val="clear" w:color="auto" w:fill="F2F2F2"/>
          </w:tcPr>
          <w:p>
            <w:pPr>
              <w:spacing w:after="0" w:line="240" w:lineRule="auto"/>
              <w:jc w:val="center"/>
            </w:pPr>
            <w:r/>
            <w:r>
              <w:rPr>
                <w:b w:val="0"/>
                <w:sz w:val="20"/>
              </w:rPr>
              <w:t>Apply / Analyze</w:t>
            </w:r>
          </w:p>
        </w:tc>
      </w:tr>
      <w:tr>
        <w:trPr>
          <w:cantSplit/>
        </w:trPr>
        <w:tc>
          <w:tcPr>
            <w:tcW w:type="dxa" w:w="1152"/>
          </w:tcPr>
          <w:p>
            <w:pPr>
              <w:spacing w:after="0" w:line="240" w:lineRule="auto"/>
              <w:jc w:val="center"/>
            </w:pPr>
            <w:r/>
            <w:r>
              <w:rPr>
                <w:b/>
                <w:sz w:val="20"/>
              </w:rPr>
              <w:t>CLO 3</w:t>
            </w:r>
          </w:p>
        </w:tc>
        <w:tc>
          <w:tcPr>
            <w:tcW w:type="dxa" w:w="6336"/>
          </w:tcPr>
          <w:p>
            <w:pPr>
              <w:spacing w:after="0" w:line="240" w:lineRule="auto"/>
            </w:pPr>
            <w:r/>
            <w:r>
              <w:rPr>
                <w:b w:val="0"/>
                <w:sz w:val="20"/>
              </w:rPr>
              <w:t>Analyze how human–AI collaboration supports, challenges, or changes the assumptions of classic organizational behavior theories.</w:t>
            </w:r>
          </w:p>
        </w:tc>
        <w:tc>
          <w:tcPr>
            <w:tcW w:type="dxa" w:w="1872"/>
          </w:tcPr>
          <w:p>
            <w:pPr>
              <w:spacing w:after="0" w:line="240" w:lineRule="auto"/>
              <w:jc w:val="center"/>
            </w:pPr>
            <w:r/>
            <w:r>
              <w:rPr>
                <w:b w:val="0"/>
                <w:sz w:val="20"/>
              </w:rPr>
              <w:t>Analyze</w:t>
            </w:r>
          </w:p>
        </w:tc>
      </w:tr>
      <w:tr>
        <w:trPr>
          <w:cantSplit/>
        </w:trPr>
        <w:tc>
          <w:tcPr>
            <w:tcW w:type="dxa" w:w="1152"/>
            <w:shd w:val="clear" w:color="auto" w:fill="F2F2F2"/>
          </w:tcPr>
          <w:p>
            <w:pPr>
              <w:spacing w:after="0" w:line="240" w:lineRule="auto"/>
              <w:jc w:val="center"/>
            </w:pPr>
            <w:r/>
            <w:r>
              <w:rPr>
                <w:b/>
                <w:sz w:val="20"/>
              </w:rPr>
              <w:t>CLO 4</w:t>
            </w:r>
          </w:p>
        </w:tc>
        <w:tc>
          <w:tcPr>
            <w:tcW w:type="dxa" w:w="6336"/>
            <w:shd w:val="clear" w:color="auto" w:fill="F2F2F2"/>
          </w:tcPr>
          <w:p>
            <w:pPr>
              <w:spacing w:after="0" w:line="240" w:lineRule="auto"/>
            </w:pPr>
            <w:r/>
            <w:r>
              <w:rPr>
                <w:b w:val="0"/>
                <w:sz w:val="20"/>
              </w:rPr>
              <w:t>Evaluate the fairness, inclusion, accountability, and well-being implications of AI in workplace decisions.</w:t>
            </w:r>
          </w:p>
        </w:tc>
        <w:tc>
          <w:tcPr>
            <w:tcW w:type="dxa" w:w="1872"/>
            <w:shd w:val="clear" w:color="auto" w:fill="F2F2F2"/>
          </w:tcPr>
          <w:p>
            <w:pPr>
              <w:spacing w:after="0" w:line="240" w:lineRule="auto"/>
              <w:jc w:val="center"/>
            </w:pPr>
            <w:r/>
            <w:r>
              <w:rPr>
                <w:b w:val="0"/>
                <w:sz w:val="20"/>
              </w:rPr>
              <w:t>Evaluate</w:t>
            </w:r>
          </w:p>
        </w:tc>
      </w:tr>
      <w:tr>
        <w:trPr>
          <w:cantSplit/>
        </w:trPr>
        <w:tc>
          <w:tcPr>
            <w:tcW w:type="dxa" w:w="1152"/>
          </w:tcPr>
          <w:p>
            <w:pPr>
              <w:spacing w:after="0" w:line="240" w:lineRule="auto"/>
              <w:jc w:val="center"/>
            </w:pPr>
            <w:r/>
            <w:r>
              <w:rPr>
                <w:b/>
                <w:sz w:val="20"/>
              </w:rPr>
              <w:t>CLO 5</w:t>
            </w:r>
          </w:p>
        </w:tc>
        <w:tc>
          <w:tcPr>
            <w:tcW w:type="dxa" w:w="6336"/>
          </w:tcPr>
          <w:p>
            <w:pPr>
              <w:spacing w:after="0" w:line="240" w:lineRule="auto"/>
            </w:pPr>
            <w:r/>
            <w:r>
              <w:rPr>
                <w:b w:val="0"/>
                <w:sz w:val="20"/>
              </w:rPr>
              <w:t>Use AI tools responsibly as a partner in learning and decision making, and reflect critically on how AI influences one's own judgment.</w:t>
            </w:r>
          </w:p>
        </w:tc>
        <w:tc>
          <w:tcPr>
            <w:tcW w:type="dxa" w:w="1872"/>
          </w:tcPr>
          <w:p>
            <w:pPr>
              <w:spacing w:after="0" w:line="240" w:lineRule="auto"/>
              <w:jc w:val="center"/>
            </w:pPr>
            <w:r/>
            <w:r>
              <w:rPr>
                <w:b w:val="0"/>
                <w:sz w:val="20"/>
              </w:rPr>
              <w:t>Apply / Evaluate</w:t>
            </w:r>
          </w:p>
        </w:tc>
      </w:tr>
      <w:tr>
        <w:trPr>
          <w:cantSplit/>
        </w:trPr>
        <w:tc>
          <w:tcPr>
            <w:tcW w:type="dxa" w:w="1152"/>
            <w:shd w:val="clear" w:color="auto" w:fill="F2F2F2"/>
          </w:tcPr>
          <w:p>
            <w:pPr>
              <w:spacing w:after="0" w:line="240" w:lineRule="auto"/>
              <w:jc w:val="center"/>
            </w:pPr>
            <w:r/>
            <w:r>
              <w:rPr>
                <w:b/>
                <w:sz w:val="20"/>
              </w:rPr>
              <w:t>CLO 6</w:t>
            </w:r>
          </w:p>
        </w:tc>
        <w:tc>
          <w:tcPr>
            <w:tcW w:type="dxa" w:w="6336"/>
            <w:shd w:val="clear" w:color="auto" w:fill="F2F2F2"/>
          </w:tcPr>
          <w:p>
            <w:pPr>
              <w:spacing w:after="0" w:line="240" w:lineRule="auto"/>
            </w:pPr>
            <w:r/>
            <w:r>
              <w:rPr>
                <w:b w:val="0"/>
                <w:sz w:val="20"/>
              </w:rPr>
              <w:t>Communicate evidence-based recommendations for human–AI work design, in writing and orally, as part of a team.</w:t>
            </w:r>
          </w:p>
        </w:tc>
        <w:tc>
          <w:tcPr>
            <w:tcW w:type="dxa" w:w="1872"/>
            <w:shd w:val="clear" w:color="auto" w:fill="F2F2F2"/>
          </w:tcPr>
          <w:p>
            <w:pPr>
              <w:spacing w:after="0" w:line="240" w:lineRule="auto"/>
              <w:jc w:val="center"/>
            </w:pPr>
            <w:r/>
            <w:r>
              <w:rPr>
                <w:b w:val="0"/>
                <w:sz w:val="20"/>
              </w:rPr>
              <w:t>Create</w:t>
            </w:r>
          </w:p>
        </w:tc>
      </w:tr>
    </w:tbl>
    <w:p>
      <w:pPr>
        <w:spacing w:after="40"/>
      </w:pPr>
    </w:p>
    <w:p>
      <w:pPr>
        <w:pStyle w:val="Heading2"/>
      </w:pPr>
      <w:r>
        <w:t>Alignment with University Learning Outcomes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val="clear" w:color="auto" w:fill="D9D9D9"/>
          </w:tcPr>
          <w:p>
            <w:pPr>
              <w:spacing w:after="0" w:line="240" w:lineRule="auto"/>
            </w:pPr>
            <w:r/>
            <w:r>
              <w:rPr>
                <w:b/>
                <w:sz w:val="20"/>
              </w:rPr>
              <w:t>University Outcome</w:t>
            </w:r>
          </w:p>
        </w:tc>
        <w:tc>
          <w:tcPr>
            <w:tcW w:type="dxa" w:w="5040"/>
            <w:shd w:val="clear" w:color="auto" w:fill="D9D9D9"/>
          </w:tcPr>
          <w:p>
            <w:pPr>
              <w:spacing w:after="0" w:line="240" w:lineRule="auto"/>
            </w:pPr>
            <w:r/>
            <w:r>
              <w:rPr>
                <w:b/>
                <w:sz w:val="20"/>
              </w:rPr>
              <w:t>Course Learning Outcome(s)</w:t>
            </w:r>
          </w:p>
        </w:tc>
      </w:tr>
      <w:tr>
        <w:trPr>
          <w:cantSplit/>
        </w:trPr>
        <w:tc>
          <w:tcPr>
            <w:tcW w:type="dxa" w:w="4320"/>
          </w:tcPr>
          <w:p>
            <w:pPr>
              <w:spacing w:after="0" w:line="240" w:lineRule="auto"/>
            </w:pPr>
            <w:r/>
            <w:r>
              <w:rPr>
                <w:b w:val="0"/>
                <w:sz w:val="20"/>
              </w:rPr>
              <w:t>Knowledge</w:t>
            </w:r>
          </w:p>
        </w:tc>
        <w:tc>
          <w:tcPr>
            <w:tcW w:type="dxa" w:w="5040"/>
          </w:tcPr>
          <w:p>
            <w:pPr>
              <w:spacing w:after="0" w:line="240" w:lineRule="auto"/>
            </w:pPr>
            <w:r/>
            <w:r>
              <w:rPr>
                <w:b w:val="0"/>
                <w:sz w:val="20"/>
              </w:rPr>
              <w:t>CLO 1, CLO 3</w:t>
            </w:r>
          </w:p>
        </w:tc>
      </w:tr>
      <w:tr>
        <w:trPr>
          <w:cantSplit/>
        </w:trPr>
        <w:tc>
          <w:tcPr>
            <w:tcW w:type="dxa" w:w="4320"/>
            <w:shd w:val="clear" w:color="auto" w:fill="F2F2F2"/>
          </w:tcPr>
          <w:p>
            <w:pPr>
              <w:spacing w:after="0" w:line="240" w:lineRule="auto"/>
            </w:pPr>
            <w:r/>
            <w:r>
              <w:rPr>
                <w:b w:val="0"/>
                <w:sz w:val="20"/>
              </w:rPr>
              <w:t>Reasoning</w:t>
            </w:r>
          </w:p>
        </w:tc>
        <w:tc>
          <w:tcPr>
            <w:tcW w:type="dxa" w:w="5040"/>
            <w:shd w:val="clear" w:color="auto" w:fill="F2F2F2"/>
          </w:tcPr>
          <w:p>
            <w:pPr>
              <w:spacing w:after="0" w:line="240" w:lineRule="auto"/>
            </w:pPr>
            <w:r/>
            <w:r>
              <w:rPr>
                <w:b w:val="0"/>
                <w:sz w:val="20"/>
              </w:rPr>
              <w:t>CLO 2, CLO 3</w:t>
            </w:r>
          </w:p>
        </w:tc>
      </w:tr>
      <w:tr>
        <w:trPr>
          <w:cantSplit/>
        </w:trPr>
        <w:tc>
          <w:tcPr>
            <w:tcW w:type="dxa" w:w="4320"/>
          </w:tcPr>
          <w:p>
            <w:pPr>
              <w:spacing w:after="0" w:line="240" w:lineRule="auto"/>
            </w:pPr>
            <w:r/>
            <w:r>
              <w:rPr>
                <w:b w:val="0"/>
                <w:sz w:val="20"/>
              </w:rPr>
              <w:t>Ethics</w:t>
            </w:r>
          </w:p>
        </w:tc>
        <w:tc>
          <w:tcPr>
            <w:tcW w:type="dxa" w:w="5040"/>
          </w:tcPr>
          <w:p>
            <w:pPr>
              <w:spacing w:after="0" w:line="240" w:lineRule="auto"/>
            </w:pPr>
            <w:r/>
            <w:r>
              <w:rPr>
                <w:b w:val="0"/>
                <w:sz w:val="20"/>
              </w:rPr>
              <w:t>CLO 4, CLO 5</w:t>
            </w:r>
          </w:p>
        </w:tc>
      </w:tr>
      <w:tr>
        <w:trPr>
          <w:cantSplit/>
        </w:trPr>
        <w:tc>
          <w:tcPr>
            <w:tcW w:type="dxa" w:w="4320"/>
            <w:shd w:val="clear" w:color="auto" w:fill="F2F2F2"/>
          </w:tcPr>
          <w:p>
            <w:pPr>
              <w:spacing w:after="0" w:line="240" w:lineRule="auto"/>
            </w:pPr>
            <w:r/>
            <w:r>
              <w:rPr>
                <w:b w:val="0"/>
                <w:sz w:val="20"/>
              </w:rPr>
              <w:t>Communication and Teamwork</w:t>
            </w:r>
          </w:p>
        </w:tc>
        <w:tc>
          <w:tcPr>
            <w:tcW w:type="dxa" w:w="5040"/>
            <w:shd w:val="clear" w:color="auto" w:fill="F2F2F2"/>
          </w:tcPr>
          <w:p>
            <w:pPr>
              <w:spacing w:after="0" w:line="240" w:lineRule="auto"/>
            </w:pPr>
            <w:r/>
            <w:r>
              <w:rPr>
                <w:b w:val="0"/>
                <w:sz w:val="20"/>
              </w:rPr>
              <w:t>CLO 6</w:t>
            </w:r>
          </w:p>
        </w:tc>
      </w:tr>
    </w:tbl>
    <w:p>
      <w:pPr>
        <w:spacing w:after="40"/>
      </w:pPr>
    </w:p>
    <w:p>
      <w:pPr>
        <w:pStyle w:val="Heading1"/>
      </w:pPr>
      <w:r>
        <w:t>Required Course Materials</w:t>
      </w:r>
    </w:p>
    <w:p>
      <w:pPr>
        <w:pStyle w:val="Heading2"/>
      </w:pPr>
      <w:r>
        <w:t>Textbook</w:t>
      </w:r>
    </w:p>
    <w:p>
      <w:r>
        <w:rPr>
          <w:i w:val="0"/>
        </w:rPr>
        <w:t>Hitt, Miller, Colella, and Triana. Organizational Behavior (5th ed.). Wiley. ISBN 978-1-119-39173-9.</w:t>
      </w:r>
    </w:p>
    <w:p>
      <w:pPr>
        <w:pStyle w:val="Heading2"/>
      </w:pPr>
      <w:r>
        <w:t>Course Packet</w:t>
      </w:r>
    </w:p>
    <w:p>
      <w:r>
        <w:rPr>
          <w:i w:val="0"/>
        </w:rPr>
        <w:t>Harvard Business School Publishing course packet. The Fall 2026 packet link is posted on the LMS.</w:t>
      </w:r>
    </w:p>
    <w:p>
      <w:pPr>
        <w:pStyle w:val="Heading2"/>
      </w:pPr>
      <w:r>
        <w:t>Research Articles</w:t>
      </w:r>
    </w:p>
    <w:p>
      <w:r>
        <w:rPr>
          <w:i w:val="0"/>
        </w:rPr>
        <w:t>Beginning in Week 2, each week pairs a classic organizational behavior article with a contemporary article on AI at work, mainly from the Journal of Organizational Behavior, Academy of Management Journal, Administrative Science Quarterly, Journal of Management Studies, and Personnel Psychology. Reading names in the course schedule are links. Many of the AI articles are open access; the others open through Kettering library access.</w:t>
      </w:r>
    </w:p>
    <w:p>
      <w:pPr>
        <w:pStyle w:val="Heading2"/>
      </w:pPr>
      <w:r>
        <w:t>AI Tools</w:t>
      </w:r>
    </w:p>
    <w:p>
      <w:r>
        <w:rPr>
          <w:i w:val="0"/>
        </w:rPr>
        <w:t>You may use a university-approved AI assistant (e.g., Claude, ChatGPT, Copilot, or Gemini) as a learning partner, following the AI policy below. No programming experience is required.</w:t>
      </w:r>
    </w:p>
    <w:p>
      <w:pPr>
        <w:pStyle w:val="Heading1"/>
      </w:pPr>
      <w:r>
        <w:t>Weekly Class Schedule</w:t>
      </w:r>
    </w:p>
    <w:p>
      <w:r>
        <w:rPr>
          <w:b w:val="0"/>
          <w:i w:val="0"/>
        </w:rPr>
        <w:t xml:space="preserve">For complete weekly module details, see </w:t>
      </w:r>
      <w:r>
        <w:rPr>
          <w:b w:val="0"/>
          <w:i/>
        </w:rPr>
        <w:t>Part V – Course Roadmap and Weekly Learning Modules</w:t>
      </w:r>
      <w:r>
        <w:rPr>
          <w:b w:val="0"/>
          <w:i w:val="0"/>
        </w:rPr>
        <w: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648"/>
            <w:shd w:val="clear" w:color="auto" w:fill="D9D9D9"/>
          </w:tcPr>
          <w:p>
            <w:pPr>
              <w:spacing w:after="0" w:line="240" w:lineRule="auto"/>
              <w:jc w:val="center"/>
            </w:pPr>
            <w:r/>
            <w:r>
              <w:rPr>
                <w:b/>
                <w:sz w:val="18"/>
              </w:rPr>
              <w:t>Week</w:t>
            </w:r>
          </w:p>
        </w:tc>
        <w:tc>
          <w:tcPr>
            <w:tcW w:type="dxa" w:w="1728"/>
            <w:shd w:val="clear" w:color="auto" w:fill="D9D9D9"/>
          </w:tcPr>
          <w:p>
            <w:pPr>
              <w:spacing w:after="0" w:line="240" w:lineRule="auto"/>
            </w:pPr>
            <w:r/>
            <w:r>
              <w:rPr>
                <w:b/>
                <w:sz w:val="18"/>
              </w:rPr>
              <w:t>Topic</w:t>
            </w:r>
          </w:p>
        </w:tc>
        <w:tc>
          <w:tcPr>
            <w:tcW w:type="dxa" w:w="1728"/>
            <w:shd w:val="clear" w:color="auto" w:fill="D9D9D9"/>
          </w:tcPr>
          <w:p>
            <w:pPr>
              <w:spacing w:after="0" w:line="240" w:lineRule="auto"/>
            </w:pPr>
            <w:r/>
            <w:r>
              <w:rPr>
                <w:b/>
                <w:sz w:val="18"/>
              </w:rPr>
              <w:t>Textbook</w:t>
            </w:r>
          </w:p>
        </w:tc>
        <w:tc>
          <w:tcPr>
            <w:tcW w:type="dxa" w:w="2088"/>
            <w:shd w:val="clear" w:color="auto" w:fill="D9D9D9"/>
          </w:tcPr>
          <w:p>
            <w:pPr>
              <w:spacing w:after="0" w:line="240" w:lineRule="auto"/>
            </w:pPr>
            <w:r/>
            <w:r>
              <w:rPr>
                <w:b/>
                <w:sz w:val="18"/>
              </w:rPr>
              <w:t>Readings</w:t>
            </w:r>
          </w:p>
        </w:tc>
        <w:tc>
          <w:tcPr>
            <w:tcW w:type="dxa" w:w="1800"/>
            <w:shd w:val="clear" w:color="auto" w:fill="D9D9D9"/>
          </w:tcPr>
          <w:p>
            <w:pPr>
              <w:spacing w:after="0" w:line="240" w:lineRule="auto"/>
            </w:pPr>
            <w:r/>
            <w:r>
              <w:rPr>
                <w:b/>
                <w:sz w:val="18"/>
              </w:rPr>
              <w:t>HBS Case</w:t>
            </w:r>
          </w:p>
        </w:tc>
        <w:tc>
          <w:tcPr>
            <w:tcW w:type="dxa" w:w="1368"/>
            <w:shd w:val="clear" w:color="auto" w:fill="D9D9D9"/>
          </w:tcPr>
          <w:p>
            <w:pPr>
              <w:spacing w:after="0" w:line="240" w:lineRule="auto"/>
            </w:pPr>
            <w:r/>
            <w:r>
              <w:rPr>
                <w:b/>
                <w:sz w:val="18"/>
              </w:rPr>
              <w:t>Due</w:t>
            </w:r>
          </w:p>
        </w:tc>
      </w:tr>
      <w:tr>
        <w:trPr>
          <w:cantSplit/>
        </w:trPr>
        <w:tc>
          <w:tcPr>
            <w:tcW w:type="dxa" w:w="648"/>
          </w:tcPr>
          <w:p>
            <w:pPr>
              <w:spacing w:after="0" w:line="240" w:lineRule="auto"/>
              <w:jc w:val="center"/>
            </w:pPr>
            <w:r/>
            <w:r>
              <w:rPr>
                <w:b w:val="0"/>
                <w:sz w:val="18"/>
              </w:rPr>
              <w:t>1</w:t>
            </w:r>
          </w:p>
        </w:tc>
        <w:tc>
          <w:tcPr>
            <w:tcW w:type="dxa" w:w="1728"/>
          </w:tcPr>
          <w:p>
            <w:pPr>
              <w:spacing w:after="0" w:line="240" w:lineRule="auto"/>
            </w:pPr>
            <w:r/>
            <w:r>
              <w:rPr>
                <w:b w:val="0"/>
                <w:sz w:val="18"/>
              </w:rPr>
              <w:t>OB when humans and AI think together</w:t>
            </w:r>
          </w:p>
        </w:tc>
        <w:tc>
          <w:tcPr>
            <w:tcW w:type="dxa" w:w="1728"/>
          </w:tcPr>
          <w:p>
            <w:pPr>
              <w:spacing w:after="0" w:line="240" w:lineRule="auto"/>
            </w:pPr>
            <w:r/>
            <w:r>
              <w:rPr>
                <w:b w:val="0"/>
                <w:sz w:val="18"/>
              </w:rPr>
              <w:t>Ch. 1: A strategic approach to OB</w:t>
            </w:r>
          </w:p>
        </w:tc>
        <w:tc>
          <w:tcPr>
            <w:tcW w:type="dxa" w:w="2088"/>
          </w:tcPr>
          <w:p>
            <w:pPr>
              <w:spacing w:after="0" w:line="240" w:lineRule="auto"/>
            </w:pPr>
            <w:r>
              <w:rPr>
                <w:sz w:val="18"/>
              </w:rPr>
              <w:t>—</w:t>
            </w:r>
          </w:p>
        </w:tc>
        <w:tc>
          <w:tcPr>
            <w:tcW w:type="dxa" w:w="1800"/>
          </w:tcPr>
          <w:p>
            <w:pPr>
              <w:spacing w:after="0" w:line="240" w:lineRule="auto"/>
            </w:pPr>
            <w:r/>
            <w:r>
              <w:rPr>
                <w:b w:val="0"/>
                <w:sz w:val="18"/>
              </w:rPr>
              <w:t>—</w:t>
            </w:r>
          </w:p>
        </w:tc>
        <w:tc>
          <w:tcPr>
            <w:tcW w:type="dxa" w:w="1368"/>
          </w:tcPr>
          <w:p>
            <w:pPr>
              <w:spacing w:after="0" w:line="240" w:lineRule="auto"/>
            </w:pPr>
            <w:r/>
            <w:r>
              <w:rPr>
                <w:b w:val="0"/>
                <w:sz w:val="18"/>
              </w:rPr>
              <w:t>Team proposal</w:t>
            </w:r>
          </w:p>
        </w:tc>
      </w:tr>
      <w:tr>
        <w:trPr>
          <w:cantSplit/>
        </w:trPr>
        <w:tc>
          <w:tcPr>
            <w:tcW w:type="dxa" w:w="648"/>
            <w:shd w:val="clear" w:color="auto" w:fill="F2F2F2"/>
          </w:tcPr>
          <w:p>
            <w:pPr>
              <w:spacing w:after="0" w:line="240" w:lineRule="auto"/>
              <w:jc w:val="center"/>
            </w:pPr>
            <w:r/>
            <w:r>
              <w:rPr>
                <w:b w:val="0"/>
                <w:sz w:val="18"/>
              </w:rPr>
              <w:t>2</w:t>
            </w:r>
          </w:p>
        </w:tc>
        <w:tc>
          <w:tcPr>
            <w:tcW w:type="dxa" w:w="1728"/>
            <w:shd w:val="clear" w:color="auto" w:fill="F2F2F2"/>
          </w:tcPr>
          <w:p>
            <w:pPr>
              <w:spacing w:after="0" w:line="240" w:lineRule="auto"/>
            </w:pPr>
            <w:r/>
            <w:r>
              <w:rPr>
                <w:b w:val="0"/>
                <w:sz w:val="18"/>
              </w:rPr>
              <w:t>Personality, attitudes, and trust in AI</w:t>
            </w:r>
          </w:p>
        </w:tc>
        <w:tc>
          <w:tcPr>
            <w:tcW w:type="dxa" w:w="1728"/>
            <w:shd w:val="clear" w:color="auto" w:fill="F2F2F2"/>
          </w:tcPr>
          <w:p>
            <w:pPr>
              <w:spacing w:after="0" w:line="240" w:lineRule="auto"/>
            </w:pPr>
            <w:r/>
            <w:r>
              <w:rPr>
                <w:b w:val="0"/>
                <w:sz w:val="18"/>
              </w:rPr>
              <w:t>Ch. 5: Personality, intelligence, attitudes, and emotions</w:t>
            </w:r>
          </w:p>
        </w:tc>
        <w:tc>
          <w:tcPr>
            <w:tcW w:type="dxa" w:w="2088"/>
            <w:shd w:val="clear" w:color="auto" w:fill="F2F2F2"/>
          </w:tcPr>
          <w:p>
            <w:pPr>
              <w:spacing w:after="0" w:line="240" w:lineRule="auto"/>
            </w:pPr>
            <w:hyperlink r:id="rId11">
              <w:r>
                <w:rPr>
                  <w:rFonts w:ascii="Times New Roman" w:hAnsi="Times New Roman" w:eastAsia="Times New Roman" w:cs="Times New Roman"/>
                  <w:color w:val="000000"/>
                  <w:sz w:val="18"/>
                  <w:u w:val="single"/>
                </w:rPr>
                <w:t xml:space="preserve">Mayer, Davis &amp; Schoorman (1995)</w:t>
              </w:r>
            </w:hyperlink>
            <w:r>
              <w:rPr>
                <w:sz w:val="18"/>
              </w:rPr>
              <w:t xml:space="preserve">; </w:t>
            </w:r>
            <w:hyperlink r:id="rId12">
              <w:r>
                <w:rPr>
                  <w:rFonts w:ascii="Times New Roman" w:hAnsi="Times New Roman" w:eastAsia="Times New Roman" w:cs="Times New Roman"/>
                  <w:color w:val="000000"/>
                  <w:sz w:val="18"/>
                  <w:u w:val="single"/>
                </w:rPr>
                <w:t xml:space="preserve">Vuori et al. (2025)</w:t>
              </w:r>
            </w:hyperlink>
          </w:p>
        </w:tc>
        <w:tc>
          <w:tcPr>
            <w:tcW w:type="dxa" w:w="1800"/>
            <w:shd w:val="clear" w:color="auto" w:fill="F2F2F2"/>
          </w:tcPr>
          <w:p>
            <w:pPr>
              <w:spacing w:after="0" w:line="240" w:lineRule="auto"/>
            </w:pPr>
            <w:r/>
            <w:r>
              <w:rPr>
                <w:b w:val="0"/>
                <w:sz w:val="18"/>
              </w:rPr>
              <w:t>Microsoft Customer and Partner Solutions: The Deployment of Copilot (A)</w:t>
            </w:r>
          </w:p>
        </w:tc>
        <w:tc>
          <w:tcPr>
            <w:tcW w:type="dxa" w:w="1368"/>
            <w:shd w:val="clear" w:color="auto" w:fill="F2F2F2"/>
          </w:tcPr>
          <w:p>
            <w:pPr>
              <w:spacing w:after="0" w:line="240" w:lineRule="auto"/>
            </w:pPr>
            <w:r/>
            <w:r>
              <w:rPr>
                <w:b w:val="0"/>
                <w:sz w:val="18"/>
              </w:rPr>
              <w:t>Organization approved</w:t>
            </w:r>
          </w:p>
        </w:tc>
      </w:tr>
      <w:tr>
        <w:trPr>
          <w:cantSplit/>
        </w:trPr>
        <w:tc>
          <w:tcPr>
            <w:tcW w:type="dxa" w:w="648"/>
          </w:tcPr>
          <w:p>
            <w:pPr>
              <w:spacing w:after="0" w:line="240" w:lineRule="auto"/>
              <w:jc w:val="center"/>
            </w:pPr>
            <w:r/>
            <w:r>
              <w:rPr>
                <w:b w:val="0"/>
                <w:sz w:val="18"/>
              </w:rPr>
              <w:t>3</w:t>
            </w:r>
          </w:p>
        </w:tc>
        <w:tc>
          <w:tcPr>
            <w:tcW w:type="dxa" w:w="1728"/>
          </w:tcPr>
          <w:p>
            <w:pPr>
              <w:spacing w:after="0" w:line="240" w:lineRule="auto"/>
            </w:pPr>
            <w:r/>
            <w:r>
              <w:rPr>
                <w:b w:val="0"/>
                <w:sz w:val="18"/>
              </w:rPr>
              <w:t>Learning and perception with algorithms</w:t>
            </w:r>
          </w:p>
        </w:tc>
        <w:tc>
          <w:tcPr>
            <w:tcW w:type="dxa" w:w="1728"/>
          </w:tcPr>
          <w:p>
            <w:pPr>
              <w:spacing w:after="0" w:line="240" w:lineRule="auto"/>
            </w:pPr>
            <w:r/>
            <w:r>
              <w:rPr>
                <w:b w:val="0"/>
                <w:sz w:val="18"/>
              </w:rPr>
              <w:t>Ch. 4: Learning and perception</w:t>
            </w:r>
          </w:p>
        </w:tc>
        <w:tc>
          <w:tcPr>
            <w:tcW w:type="dxa" w:w="2088"/>
          </w:tcPr>
          <w:p>
            <w:pPr>
              <w:spacing w:after="0" w:line="240" w:lineRule="auto"/>
            </w:pPr>
            <w:hyperlink r:id="rId13">
              <w:r>
                <w:rPr>
                  <w:rFonts w:ascii="Times New Roman" w:hAnsi="Times New Roman" w:eastAsia="Times New Roman" w:cs="Times New Roman"/>
                  <w:color w:val="000000"/>
                  <w:sz w:val="18"/>
                  <w:u w:val="single"/>
                </w:rPr>
                <w:t xml:space="preserve">Nonaka (1994)</w:t>
              </w:r>
            </w:hyperlink>
            <w:r>
              <w:rPr>
                <w:sz w:val="18"/>
              </w:rPr>
              <w:t xml:space="preserve">; </w:t>
            </w:r>
            <w:hyperlink r:id="rId14">
              <w:r>
                <w:rPr>
                  <w:rFonts w:ascii="Times New Roman" w:hAnsi="Times New Roman" w:eastAsia="Times New Roman" w:cs="Times New Roman"/>
                  <w:color w:val="000000"/>
                  <w:sz w:val="18"/>
                  <w:u w:val="single"/>
                </w:rPr>
                <w:t xml:space="preserve">Anthony (2021)</w:t>
              </w:r>
            </w:hyperlink>
          </w:p>
        </w:tc>
        <w:tc>
          <w:tcPr>
            <w:tcW w:type="dxa" w:w="1800"/>
          </w:tcPr>
          <w:p>
            <w:pPr>
              <w:spacing w:after="0" w:line="240" w:lineRule="auto"/>
            </w:pPr>
            <w:r/>
            <w:r>
              <w:rPr>
                <w:b w:val="0"/>
                <w:sz w:val="18"/>
              </w:rPr>
              <w:t>—</w:t>
            </w:r>
          </w:p>
        </w:tc>
        <w:tc>
          <w:tcPr>
            <w:tcW w:type="dxa" w:w="1368"/>
          </w:tcPr>
          <w:p>
            <w:pPr>
              <w:spacing w:after="0" w:line="240" w:lineRule="auto"/>
            </w:pPr>
            <w:r/>
            <w:r>
              <w:rPr>
                <w:b w:val="0"/>
                <w:sz w:val="18"/>
              </w:rPr>
              <w:t>Milestone 1</w:t>
            </w:r>
          </w:p>
        </w:tc>
      </w:tr>
      <w:tr>
        <w:trPr>
          <w:cantSplit/>
        </w:trPr>
        <w:tc>
          <w:tcPr>
            <w:tcW w:type="dxa" w:w="648"/>
            <w:shd w:val="clear" w:color="auto" w:fill="F2F2F2"/>
          </w:tcPr>
          <w:p>
            <w:pPr>
              <w:spacing w:after="0" w:line="240" w:lineRule="auto"/>
              <w:jc w:val="center"/>
            </w:pPr>
            <w:r/>
            <w:r>
              <w:rPr>
                <w:b w:val="0"/>
                <w:sz w:val="18"/>
              </w:rPr>
              <w:t>4</w:t>
            </w:r>
          </w:p>
        </w:tc>
        <w:tc>
          <w:tcPr>
            <w:tcW w:type="dxa" w:w="1728"/>
            <w:shd w:val="clear" w:color="auto" w:fill="F2F2F2"/>
          </w:tcPr>
          <w:p>
            <w:pPr>
              <w:spacing w:after="0" w:line="240" w:lineRule="auto"/>
            </w:pPr>
            <w:r/>
            <w:r>
              <w:rPr>
                <w:b w:val="0"/>
                <w:sz w:val="18"/>
              </w:rPr>
              <w:t>Motivation and work design</w:t>
            </w:r>
          </w:p>
        </w:tc>
        <w:tc>
          <w:tcPr>
            <w:tcW w:type="dxa" w:w="1728"/>
            <w:shd w:val="clear" w:color="auto" w:fill="F2F2F2"/>
          </w:tcPr>
          <w:p>
            <w:pPr>
              <w:spacing w:after="0" w:line="240" w:lineRule="auto"/>
            </w:pPr>
            <w:r/>
            <w:r>
              <w:rPr>
                <w:b w:val="0"/>
                <w:sz w:val="18"/>
              </w:rPr>
              <w:t>Ch. 6: Work motivation</w:t>
            </w:r>
          </w:p>
        </w:tc>
        <w:tc>
          <w:tcPr>
            <w:tcW w:type="dxa" w:w="2088"/>
            <w:shd w:val="clear" w:color="auto" w:fill="F2F2F2"/>
          </w:tcPr>
          <w:p>
            <w:pPr>
              <w:spacing w:after="0" w:line="240" w:lineRule="auto"/>
            </w:pPr>
            <w:hyperlink r:id="rId15">
              <w:r>
                <w:rPr>
                  <w:rFonts w:ascii="Times New Roman" w:hAnsi="Times New Roman" w:eastAsia="Times New Roman" w:cs="Times New Roman"/>
                  <w:color w:val="000000"/>
                  <w:sz w:val="18"/>
                  <w:u w:val="single"/>
                </w:rPr>
                <w:t xml:space="preserve">Hackman &amp; Oldham (1976)</w:t>
              </w:r>
            </w:hyperlink>
            <w:r>
              <w:rPr>
                <w:sz w:val="18"/>
              </w:rPr>
              <w:t xml:space="preserve">; </w:t>
            </w:r>
            <w:hyperlink r:id="rId16">
              <w:r>
                <w:rPr>
                  <w:rFonts w:ascii="Times New Roman" w:hAnsi="Times New Roman" w:eastAsia="Times New Roman" w:cs="Times New Roman"/>
                  <w:color w:val="000000"/>
                  <w:sz w:val="18"/>
                  <w:u w:val="single"/>
                </w:rPr>
                <w:t xml:space="preserve">Schulz et al. (2025)</w:t>
              </w:r>
            </w:hyperlink>
          </w:p>
        </w:tc>
        <w:tc>
          <w:tcPr>
            <w:tcW w:type="dxa" w:w="1800"/>
            <w:shd w:val="clear" w:color="auto" w:fill="F2F2F2"/>
          </w:tcPr>
          <w:p>
            <w:pPr>
              <w:spacing w:after="0" w:line="240" w:lineRule="auto"/>
            </w:pPr>
            <w:r/>
            <w:r>
              <w:rPr>
                <w:b w:val="0"/>
                <w:sz w:val="18"/>
              </w:rPr>
              <w:t>Trouble at Tessei</w:t>
            </w:r>
          </w:p>
        </w:tc>
        <w:tc>
          <w:tcPr>
            <w:tcW w:type="dxa" w:w="1368"/>
            <w:shd w:val="clear" w:color="auto" w:fill="F2F2F2"/>
          </w:tcPr>
          <w:p>
            <w:pPr>
              <w:spacing w:after="0" w:line="240" w:lineRule="auto"/>
            </w:pPr>
            <w:r/>
            <w:r>
              <w:rPr>
                <w:b w:val="0"/>
                <w:sz w:val="18"/>
              </w:rPr>
              <w:t>—</w:t>
            </w:r>
          </w:p>
        </w:tc>
      </w:tr>
      <w:tr>
        <w:trPr>
          <w:cantSplit/>
        </w:trPr>
        <w:tc>
          <w:tcPr>
            <w:tcW w:type="dxa" w:w="648"/>
          </w:tcPr>
          <w:p>
            <w:pPr>
              <w:spacing w:after="0" w:line="240" w:lineRule="auto"/>
              <w:jc w:val="center"/>
            </w:pPr>
            <w:r/>
            <w:r>
              <w:rPr>
                <w:b w:val="0"/>
                <w:sz w:val="18"/>
              </w:rPr>
              <w:t>5</w:t>
            </w:r>
          </w:p>
        </w:tc>
        <w:tc>
          <w:tcPr>
            <w:tcW w:type="dxa" w:w="1728"/>
          </w:tcPr>
          <w:p>
            <w:pPr>
              <w:spacing w:after="0" w:line="240" w:lineRule="auto"/>
            </w:pPr>
            <w:r/>
            <w:r>
              <w:rPr>
                <w:b w:val="0"/>
                <w:sz w:val="18"/>
              </w:rPr>
              <w:t>Leadership with AI</w:t>
            </w:r>
          </w:p>
        </w:tc>
        <w:tc>
          <w:tcPr>
            <w:tcW w:type="dxa" w:w="1728"/>
          </w:tcPr>
          <w:p>
            <w:pPr>
              <w:spacing w:after="0" w:line="240" w:lineRule="auto"/>
            </w:pPr>
            <w:r/>
            <w:r>
              <w:rPr>
                <w:b w:val="0"/>
                <w:sz w:val="18"/>
              </w:rPr>
              <w:t>Leadership chapter</w:t>
            </w:r>
          </w:p>
        </w:tc>
        <w:tc>
          <w:tcPr>
            <w:tcW w:type="dxa" w:w="2088"/>
          </w:tcPr>
          <w:p>
            <w:pPr>
              <w:spacing w:after="0" w:line="240" w:lineRule="auto"/>
            </w:pPr>
            <w:hyperlink r:id="rId17">
              <w:r>
                <w:rPr>
                  <w:rFonts w:ascii="Times New Roman" w:hAnsi="Times New Roman" w:eastAsia="Times New Roman" w:cs="Times New Roman"/>
                  <w:color w:val="000000"/>
                  <w:sz w:val="18"/>
                  <w:u w:val="single"/>
                </w:rPr>
                <w:t xml:space="preserve">Graen &amp; Uhl-Bien (1995)</w:t>
              </w:r>
            </w:hyperlink>
            <w:r>
              <w:rPr>
                <w:sz w:val="18"/>
              </w:rPr>
              <w:t xml:space="preserve">; </w:t>
            </w:r>
            <w:hyperlink r:id="rId18">
              <w:r>
                <w:rPr>
                  <w:rFonts w:ascii="Times New Roman" w:hAnsi="Times New Roman" w:eastAsia="Times New Roman" w:cs="Times New Roman"/>
                  <w:color w:val="000000"/>
                  <w:sz w:val="18"/>
                  <w:u w:val="single"/>
                </w:rPr>
                <w:t xml:space="preserve">Liu et al. (2026)</w:t>
              </w:r>
            </w:hyperlink>
          </w:p>
        </w:tc>
        <w:tc>
          <w:tcPr>
            <w:tcW w:type="dxa" w:w="1800"/>
          </w:tcPr>
          <w:p>
            <w:pPr>
              <w:spacing w:after="0" w:line="240" w:lineRule="auto"/>
            </w:pPr>
            <w:r/>
            <w:r>
              <w:rPr>
                <w:b w:val="0"/>
                <w:sz w:val="18"/>
              </w:rPr>
              <w:t>Google's Project Oxygen</w:t>
            </w:r>
          </w:p>
        </w:tc>
        <w:tc>
          <w:tcPr>
            <w:tcW w:type="dxa" w:w="1368"/>
          </w:tcPr>
          <w:p>
            <w:pPr>
              <w:spacing w:after="0" w:line="240" w:lineRule="auto"/>
            </w:pPr>
            <w:r/>
            <w:r>
              <w:rPr>
                <w:b w:val="0"/>
                <w:sz w:val="18"/>
              </w:rPr>
              <w:t>Midterm exam</w:t>
            </w:r>
          </w:p>
        </w:tc>
      </w:tr>
      <w:tr>
        <w:trPr>
          <w:cantSplit/>
        </w:trPr>
        <w:tc>
          <w:tcPr>
            <w:tcW w:type="dxa" w:w="648"/>
            <w:shd w:val="clear" w:color="auto" w:fill="F2F2F2"/>
          </w:tcPr>
          <w:p>
            <w:pPr>
              <w:spacing w:after="0" w:line="240" w:lineRule="auto"/>
              <w:jc w:val="center"/>
            </w:pPr>
            <w:r/>
            <w:r>
              <w:rPr>
                <w:b w:val="0"/>
                <w:sz w:val="18"/>
              </w:rPr>
              <w:t>6</w:t>
            </w:r>
          </w:p>
        </w:tc>
        <w:tc>
          <w:tcPr>
            <w:tcW w:type="dxa" w:w="1728"/>
            <w:shd w:val="clear" w:color="auto" w:fill="F2F2F2"/>
          </w:tcPr>
          <w:p>
            <w:pPr>
              <w:spacing w:after="0" w:line="240" w:lineRule="auto"/>
            </w:pPr>
            <w:r/>
            <w:r>
              <w:rPr>
                <w:b w:val="0"/>
                <w:sz w:val="18"/>
              </w:rPr>
              <w:t>Group decision making</w:t>
            </w:r>
          </w:p>
        </w:tc>
        <w:tc>
          <w:tcPr>
            <w:tcW w:type="dxa" w:w="1728"/>
            <w:shd w:val="clear" w:color="auto" w:fill="F2F2F2"/>
          </w:tcPr>
          <w:p>
            <w:pPr>
              <w:spacing w:after="0" w:line="240" w:lineRule="auto"/>
            </w:pPr>
            <w:r/>
            <w:r>
              <w:rPr>
                <w:b w:val="0"/>
                <w:sz w:val="18"/>
              </w:rPr>
              <w:t>Ch. 10: Decision making by individuals and groups</w:t>
            </w:r>
          </w:p>
        </w:tc>
        <w:tc>
          <w:tcPr>
            <w:tcW w:type="dxa" w:w="2088"/>
            <w:shd w:val="clear" w:color="auto" w:fill="F2F2F2"/>
          </w:tcPr>
          <w:p>
            <w:pPr>
              <w:spacing w:after="0" w:line="240" w:lineRule="auto"/>
            </w:pPr>
            <w:hyperlink r:id="rId19">
              <w:r>
                <w:rPr>
                  <w:rFonts w:ascii="Times New Roman" w:hAnsi="Times New Roman" w:eastAsia="Times New Roman" w:cs="Times New Roman"/>
                  <w:color w:val="000000"/>
                  <w:sz w:val="18"/>
                  <w:u w:val="single"/>
                </w:rPr>
                <w:t xml:space="preserve">Stasser &amp; Titus (1985)</w:t>
              </w:r>
            </w:hyperlink>
            <w:r>
              <w:rPr>
                <w:sz w:val="18"/>
              </w:rPr>
              <w:t xml:space="preserve">; </w:t>
            </w:r>
            <w:hyperlink r:id="rId20">
              <w:r>
                <w:rPr>
                  <w:rFonts w:ascii="Times New Roman" w:hAnsi="Times New Roman" w:eastAsia="Times New Roman" w:cs="Times New Roman"/>
                  <w:color w:val="000000"/>
                  <w:sz w:val="18"/>
                  <w:u w:val="single"/>
                </w:rPr>
                <w:t xml:space="preserve">Zercher et al. (2025)</w:t>
              </w:r>
            </w:hyperlink>
          </w:p>
        </w:tc>
        <w:tc>
          <w:tcPr>
            <w:tcW w:type="dxa" w:w="1800"/>
            <w:shd w:val="clear" w:color="auto" w:fill="F2F2F2"/>
          </w:tcPr>
          <w:p>
            <w:pPr>
              <w:spacing w:after="0" w:line="240" w:lineRule="auto"/>
            </w:pPr>
            <w:r/>
            <w:r>
              <w:rPr>
                <w:b w:val="0"/>
                <w:sz w:val="18"/>
              </w:rPr>
              <w:t>JPMorganChase: Leadership in the Age of GenAI</w:t>
            </w:r>
          </w:p>
        </w:tc>
        <w:tc>
          <w:tcPr>
            <w:tcW w:type="dxa" w:w="1368"/>
            <w:shd w:val="clear" w:color="auto" w:fill="F2F2F2"/>
          </w:tcPr>
          <w:p>
            <w:pPr>
              <w:spacing w:after="0" w:line="240" w:lineRule="auto"/>
            </w:pPr>
            <w:r/>
            <w:r>
              <w:rPr>
                <w:b w:val="0"/>
                <w:sz w:val="18"/>
              </w:rPr>
              <w:t>Milestone 2</w:t>
            </w:r>
          </w:p>
        </w:tc>
      </w:tr>
      <w:tr>
        <w:trPr>
          <w:cantSplit/>
        </w:trPr>
        <w:tc>
          <w:tcPr>
            <w:tcW w:type="dxa" w:w="648"/>
          </w:tcPr>
          <w:p>
            <w:pPr>
              <w:spacing w:after="0" w:line="240" w:lineRule="auto"/>
              <w:jc w:val="center"/>
            </w:pPr>
            <w:r/>
            <w:r>
              <w:rPr>
                <w:b w:val="0"/>
                <w:sz w:val="18"/>
              </w:rPr>
              <w:t>7</w:t>
            </w:r>
          </w:p>
        </w:tc>
        <w:tc>
          <w:tcPr>
            <w:tcW w:type="dxa" w:w="1728"/>
          </w:tcPr>
          <w:p>
            <w:pPr>
              <w:spacing w:after="0" w:line="240" w:lineRule="auto"/>
            </w:pPr>
            <w:r/>
            <w:r>
              <w:rPr>
                <w:b w:val="0"/>
                <w:sz w:val="18"/>
              </w:rPr>
              <w:t>Teams, trust, and psychological safety</w:t>
            </w:r>
          </w:p>
        </w:tc>
        <w:tc>
          <w:tcPr>
            <w:tcW w:type="dxa" w:w="1728"/>
          </w:tcPr>
          <w:p>
            <w:pPr>
              <w:spacing w:after="0" w:line="240" w:lineRule="auto"/>
            </w:pPr>
            <w:r/>
            <w:r>
              <w:rPr>
                <w:b w:val="0"/>
                <w:sz w:val="18"/>
              </w:rPr>
              <w:t>Groups and teams chapter</w:t>
            </w:r>
          </w:p>
        </w:tc>
        <w:tc>
          <w:tcPr>
            <w:tcW w:type="dxa" w:w="2088"/>
          </w:tcPr>
          <w:p>
            <w:pPr>
              <w:spacing w:after="0" w:line="240" w:lineRule="auto"/>
            </w:pPr>
            <w:hyperlink r:id="rId21">
              <w:r>
                <w:rPr>
                  <w:rFonts w:ascii="Times New Roman" w:hAnsi="Times New Roman" w:eastAsia="Times New Roman" w:cs="Times New Roman"/>
                  <w:color w:val="000000"/>
                  <w:sz w:val="18"/>
                  <w:u w:val="single"/>
                </w:rPr>
                <w:t xml:space="preserve">Edmondson (1999)</w:t>
              </w:r>
            </w:hyperlink>
            <w:r>
              <w:rPr>
                <w:sz w:val="18"/>
              </w:rPr>
              <w:t xml:space="preserve">; </w:t>
            </w:r>
            <w:hyperlink r:id="rId22">
              <w:r>
                <w:rPr>
                  <w:rFonts w:ascii="Times New Roman" w:hAnsi="Times New Roman" w:eastAsia="Times New Roman" w:cs="Times New Roman"/>
                  <w:color w:val="000000"/>
                  <w:sz w:val="18"/>
                  <w:u w:val="single"/>
                </w:rPr>
                <w:t xml:space="preserve">Erengin et al. (2025)</w:t>
              </w:r>
            </w:hyperlink>
          </w:p>
        </w:tc>
        <w:tc>
          <w:tcPr>
            <w:tcW w:type="dxa" w:w="1800"/>
          </w:tcPr>
          <w:p>
            <w:pPr>
              <w:spacing w:after="0" w:line="240" w:lineRule="auto"/>
            </w:pPr>
            <w:r/>
            <w:r>
              <w:rPr>
                <w:b w:val="0"/>
                <w:sz w:val="18"/>
              </w:rPr>
              <w:t>Governing OpenAI</w:t>
            </w:r>
          </w:p>
        </w:tc>
        <w:tc>
          <w:tcPr>
            <w:tcW w:type="dxa" w:w="1368"/>
          </w:tcPr>
          <w:p>
            <w:pPr>
              <w:spacing w:after="0" w:line="240" w:lineRule="auto"/>
            </w:pPr>
            <w:r/>
            <w:r>
              <w:rPr>
                <w:b w:val="0"/>
                <w:sz w:val="18"/>
              </w:rPr>
              <w:t>—</w:t>
            </w:r>
          </w:p>
        </w:tc>
      </w:tr>
      <w:tr>
        <w:trPr>
          <w:cantSplit/>
        </w:trPr>
        <w:tc>
          <w:tcPr>
            <w:tcW w:type="dxa" w:w="648"/>
            <w:shd w:val="clear" w:color="auto" w:fill="F2F2F2"/>
          </w:tcPr>
          <w:p>
            <w:pPr>
              <w:spacing w:after="0" w:line="240" w:lineRule="auto"/>
              <w:jc w:val="center"/>
            </w:pPr>
            <w:r/>
            <w:r>
              <w:rPr>
                <w:b w:val="0"/>
                <w:sz w:val="18"/>
              </w:rPr>
              <w:t>8</w:t>
            </w:r>
          </w:p>
        </w:tc>
        <w:tc>
          <w:tcPr>
            <w:tcW w:type="dxa" w:w="1728"/>
            <w:shd w:val="clear" w:color="auto" w:fill="F2F2F2"/>
          </w:tcPr>
          <w:p>
            <w:pPr>
              <w:spacing w:after="0" w:line="240" w:lineRule="auto"/>
            </w:pPr>
            <w:r/>
            <w:r>
              <w:rPr>
                <w:b w:val="0"/>
                <w:sz w:val="18"/>
              </w:rPr>
              <w:t>Diversity, inclusion, and algorithmic fairness</w:t>
            </w:r>
          </w:p>
        </w:tc>
        <w:tc>
          <w:tcPr>
            <w:tcW w:type="dxa" w:w="1728"/>
            <w:shd w:val="clear" w:color="auto" w:fill="F2F2F2"/>
          </w:tcPr>
          <w:p>
            <w:pPr>
              <w:spacing w:after="0" w:line="240" w:lineRule="auto"/>
            </w:pPr>
            <w:r/>
            <w:r>
              <w:rPr>
                <w:b w:val="0"/>
                <w:sz w:val="18"/>
              </w:rPr>
              <w:t>Ch. 2: Organizational diversity</w:t>
            </w:r>
          </w:p>
        </w:tc>
        <w:tc>
          <w:tcPr>
            <w:tcW w:type="dxa" w:w="2088"/>
            <w:shd w:val="clear" w:color="auto" w:fill="F2F2F2"/>
          </w:tcPr>
          <w:p>
            <w:pPr>
              <w:spacing w:after="0" w:line="240" w:lineRule="auto"/>
            </w:pPr>
            <w:hyperlink r:id="rId23">
              <w:r>
                <w:rPr>
                  <w:rFonts w:ascii="Times New Roman" w:hAnsi="Times New Roman" w:eastAsia="Times New Roman" w:cs="Times New Roman"/>
                  <w:color w:val="000000"/>
                  <w:sz w:val="18"/>
                  <w:u w:val="single"/>
                </w:rPr>
                <w:t xml:space="preserve">Ely &amp; Thomas (2001)</w:t>
              </w:r>
            </w:hyperlink>
            <w:r>
              <w:rPr>
                <w:sz w:val="18"/>
              </w:rPr>
              <w:t xml:space="preserve">; </w:t>
            </w:r>
            <w:hyperlink r:id="rId24">
              <w:r>
                <w:rPr>
                  <w:rFonts w:ascii="Times New Roman" w:hAnsi="Times New Roman" w:eastAsia="Times New Roman" w:cs="Times New Roman"/>
                  <w:color w:val="000000"/>
                  <w:sz w:val="18"/>
                  <w:u w:val="single"/>
                </w:rPr>
                <w:t xml:space="preserve">van den Broek et al. (2025)</w:t>
              </w:r>
            </w:hyperlink>
          </w:p>
        </w:tc>
        <w:tc>
          <w:tcPr>
            <w:tcW w:type="dxa" w:w="1800"/>
            <w:shd w:val="clear" w:color="auto" w:fill="F2F2F2"/>
          </w:tcPr>
          <w:p>
            <w:pPr>
              <w:spacing w:after="0" w:line="240" w:lineRule="auto"/>
            </w:pPr>
            <w:r/>
            <w:r>
              <w:rPr>
                <w:b w:val="0"/>
                <w:sz w:val="18"/>
              </w:rPr>
              <w:t>Dessa: Growing a Diverse and Inclusive AI Company</w:t>
            </w:r>
          </w:p>
        </w:tc>
        <w:tc>
          <w:tcPr>
            <w:tcW w:type="dxa" w:w="1368"/>
            <w:shd w:val="clear" w:color="auto" w:fill="F2F2F2"/>
          </w:tcPr>
          <w:p>
            <w:pPr>
              <w:spacing w:after="0" w:line="240" w:lineRule="auto"/>
            </w:pPr>
            <w:r/>
            <w:r>
              <w:rPr>
                <w:b w:val="0"/>
                <w:sz w:val="18"/>
              </w:rPr>
              <w:t>Milestone 3</w:t>
            </w:r>
          </w:p>
        </w:tc>
      </w:tr>
      <w:tr>
        <w:trPr>
          <w:cantSplit/>
        </w:trPr>
        <w:tc>
          <w:tcPr>
            <w:tcW w:type="dxa" w:w="648"/>
          </w:tcPr>
          <w:p>
            <w:pPr>
              <w:spacing w:after="0" w:line="240" w:lineRule="auto"/>
              <w:jc w:val="center"/>
            </w:pPr>
            <w:r/>
            <w:r>
              <w:rPr>
                <w:b w:val="0"/>
                <w:sz w:val="18"/>
              </w:rPr>
              <w:t>9</w:t>
            </w:r>
          </w:p>
        </w:tc>
        <w:tc>
          <w:tcPr>
            <w:tcW w:type="dxa" w:w="1728"/>
          </w:tcPr>
          <w:p>
            <w:pPr>
              <w:spacing w:after="0" w:line="240" w:lineRule="auto"/>
            </w:pPr>
            <w:r/>
            <w:r>
              <w:rPr>
                <w:b w:val="0"/>
                <w:sz w:val="18"/>
              </w:rPr>
              <w:t>Culture, expertise, and organizational learning</w:t>
            </w:r>
          </w:p>
        </w:tc>
        <w:tc>
          <w:tcPr>
            <w:tcW w:type="dxa" w:w="1728"/>
          </w:tcPr>
          <w:p>
            <w:pPr>
              <w:spacing w:after="0" w:line="240" w:lineRule="auto"/>
            </w:pPr>
            <w:r/>
            <w:r>
              <w:rPr>
                <w:b w:val="0"/>
                <w:sz w:val="18"/>
              </w:rPr>
              <w:t>Organizational culture chapter</w:t>
            </w:r>
          </w:p>
        </w:tc>
        <w:tc>
          <w:tcPr>
            <w:tcW w:type="dxa" w:w="2088"/>
          </w:tcPr>
          <w:p>
            <w:pPr>
              <w:spacing w:after="0" w:line="240" w:lineRule="auto"/>
            </w:pPr>
            <w:hyperlink r:id="rId25">
              <w:r>
                <w:rPr>
                  <w:rFonts w:ascii="Times New Roman" w:hAnsi="Times New Roman" w:eastAsia="Times New Roman" w:cs="Times New Roman"/>
                  <w:color w:val="000000"/>
                  <w:sz w:val="18"/>
                  <w:u w:val="single"/>
                </w:rPr>
                <w:t xml:space="preserve">March (1991)</w:t>
              </w:r>
            </w:hyperlink>
            <w:r>
              <w:rPr>
                <w:sz w:val="18"/>
              </w:rPr>
              <w:t xml:space="preserve">; </w:t>
            </w:r>
            <w:hyperlink r:id="rId26">
              <w:r>
                <w:rPr>
                  <w:rFonts w:ascii="Times New Roman" w:hAnsi="Times New Roman" w:eastAsia="Times New Roman" w:cs="Times New Roman"/>
                  <w:color w:val="000000"/>
                  <w:sz w:val="18"/>
                  <w:u w:val="single"/>
                </w:rPr>
                <w:t xml:space="preserve">Faulconbridge et al. (2023)</w:t>
              </w:r>
            </w:hyperlink>
          </w:p>
        </w:tc>
        <w:tc>
          <w:tcPr>
            <w:tcW w:type="dxa" w:w="1800"/>
          </w:tcPr>
          <w:p>
            <w:pPr>
              <w:spacing w:after="0" w:line="240" w:lineRule="auto"/>
            </w:pPr>
            <w:r/>
            <w:r>
              <w:rPr>
                <w:b w:val="0"/>
                <w:sz w:val="18"/>
              </w:rPr>
              <w:t>Culture Transformation at Microsoft: From "Know It All" to "Learn It All"</w:t>
            </w:r>
          </w:p>
        </w:tc>
        <w:tc>
          <w:tcPr>
            <w:tcW w:type="dxa" w:w="1368"/>
          </w:tcPr>
          <w:p>
            <w:pPr>
              <w:spacing w:after="0" w:line="240" w:lineRule="auto"/>
            </w:pPr>
            <w:r/>
            <w:r>
              <w:rPr>
                <w:b w:val="0"/>
                <w:sz w:val="18"/>
              </w:rPr>
              <w:t>Draft report</w:t>
            </w:r>
          </w:p>
        </w:tc>
      </w:tr>
      <w:tr>
        <w:trPr>
          <w:cantSplit/>
        </w:trPr>
        <w:tc>
          <w:tcPr>
            <w:tcW w:type="dxa" w:w="648"/>
            <w:shd w:val="clear" w:color="auto" w:fill="F2F2F2"/>
          </w:tcPr>
          <w:p>
            <w:pPr>
              <w:spacing w:after="0" w:line="240" w:lineRule="auto"/>
              <w:jc w:val="center"/>
            </w:pPr>
            <w:r/>
            <w:r>
              <w:rPr>
                <w:b w:val="0"/>
                <w:sz w:val="18"/>
              </w:rPr>
              <w:t>10</w:t>
            </w:r>
          </w:p>
        </w:tc>
        <w:tc>
          <w:tcPr>
            <w:tcW w:type="dxa" w:w="1728"/>
            <w:shd w:val="clear" w:color="auto" w:fill="F2F2F2"/>
          </w:tcPr>
          <w:p>
            <w:pPr>
              <w:spacing w:after="0" w:line="240" w:lineRule="auto"/>
            </w:pPr>
            <w:r/>
            <w:r>
              <w:rPr>
                <w:b w:val="0"/>
                <w:sz w:val="18"/>
              </w:rPr>
              <w:t>Toward an OB of human–AI joint agency</w:t>
            </w:r>
          </w:p>
        </w:tc>
        <w:tc>
          <w:tcPr>
            <w:tcW w:type="dxa" w:w="1728"/>
            <w:shd w:val="clear" w:color="auto" w:fill="F2F2F2"/>
          </w:tcPr>
          <w:p>
            <w:pPr>
              <w:spacing w:after="0" w:line="240" w:lineRule="auto"/>
            </w:pPr>
            <w:r/>
            <w:r>
              <w:rPr>
                <w:b w:val="0"/>
                <w:sz w:val="18"/>
              </w:rPr>
              <w:t>Review</w:t>
            </w:r>
          </w:p>
        </w:tc>
        <w:tc>
          <w:tcPr>
            <w:tcW w:type="dxa" w:w="2088"/>
            <w:shd w:val="clear" w:color="auto" w:fill="F2F2F2"/>
          </w:tcPr>
          <w:p>
            <w:pPr>
              <w:spacing w:after="0" w:line="240" w:lineRule="auto"/>
            </w:pPr>
            <w:hyperlink r:id="rId27">
              <w:r>
                <w:rPr>
                  <w:rFonts w:ascii="Times New Roman" w:hAnsi="Times New Roman" w:eastAsia="Times New Roman" w:cs="Times New Roman"/>
                  <w:color w:val="000000"/>
                  <w:sz w:val="18"/>
                  <w:u w:val="single"/>
                </w:rPr>
                <w:t xml:space="preserve">Murray, Rhymer &amp; Sirmon (2021)</w:t>
              </w:r>
            </w:hyperlink>
            <w:r>
              <w:rPr>
                <w:sz w:val="18"/>
              </w:rPr>
              <w:t xml:space="preserve">; </w:t>
            </w:r>
            <w:hyperlink r:id="rId28">
              <w:r>
                <w:rPr>
                  <w:rFonts w:ascii="Times New Roman" w:hAnsi="Times New Roman" w:eastAsia="Times New Roman" w:cs="Times New Roman"/>
                  <w:color w:val="000000"/>
                  <w:sz w:val="18"/>
                  <w:u w:val="single"/>
                </w:rPr>
                <w:t xml:space="preserve">Stelmaszak et al. (2025)</w:t>
              </w:r>
            </w:hyperlink>
          </w:p>
        </w:tc>
        <w:tc>
          <w:tcPr>
            <w:tcW w:type="dxa" w:w="1800"/>
            <w:shd w:val="clear" w:color="auto" w:fill="F2F2F2"/>
          </w:tcPr>
          <w:p>
            <w:pPr>
              <w:spacing w:after="0" w:line="240" w:lineRule="auto"/>
            </w:pPr>
            <w:r/>
            <w:r>
              <w:rPr>
                <w:b w:val="0"/>
                <w:sz w:val="18"/>
              </w:rPr>
              <w:t>—</w:t>
            </w:r>
          </w:p>
        </w:tc>
        <w:tc>
          <w:tcPr>
            <w:tcW w:type="dxa" w:w="1368"/>
            <w:shd w:val="clear" w:color="auto" w:fill="F2F2F2"/>
          </w:tcPr>
          <w:p>
            <w:pPr>
              <w:spacing w:after="0" w:line="240" w:lineRule="auto"/>
            </w:pPr>
            <w:r/>
            <w:r>
              <w:rPr>
                <w:b w:val="0"/>
                <w:sz w:val="18"/>
              </w:rPr>
              <w:t>Team presentations</w:t>
            </w:r>
          </w:p>
        </w:tc>
      </w:tr>
      <w:tr>
        <w:trPr>
          <w:cantSplit/>
        </w:trPr>
        <w:tc>
          <w:tcPr>
            <w:tcW w:type="dxa" w:w="648"/>
          </w:tcPr>
          <w:p>
            <w:pPr>
              <w:spacing w:after="0" w:line="240" w:lineRule="auto"/>
              <w:jc w:val="center"/>
            </w:pPr>
            <w:r/>
            <w:r>
              <w:rPr>
                <w:b w:val="0"/>
                <w:sz w:val="18"/>
              </w:rPr>
              <w:t>11</w:t>
            </w:r>
          </w:p>
        </w:tc>
        <w:tc>
          <w:tcPr>
            <w:tcW w:type="dxa" w:w="1728"/>
          </w:tcPr>
          <w:p>
            <w:pPr>
              <w:spacing w:after="0" w:line="240" w:lineRule="auto"/>
            </w:pPr>
            <w:r/>
            <w:r>
              <w:rPr>
                <w:b w:val="0"/>
                <w:sz w:val="18"/>
              </w:rPr>
              <w:t>Finals week</w:t>
            </w:r>
          </w:p>
        </w:tc>
        <w:tc>
          <w:tcPr>
            <w:tcW w:type="dxa" w:w="1728"/>
          </w:tcPr>
          <w:p>
            <w:pPr>
              <w:spacing w:after="0" w:line="240" w:lineRule="auto"/>
            </w:pPr>
            <w:r/>
            <w:r>
              <w:rPr>
                <w:b w:val="0"/>
                <w:sz w:val="18"/>
              </w:rPr>
              <w:t>—</w:t>
            </w:r>
          </w:p>
        </w:tc>
        <w:tc>
          <w:tcPr>
            <w:tcW w:type="dxa" w:w="2088"/>
          </w:tcPr>
          <w:p>
            <w:pPr>
              <w:spacing w:after="0" w:line="240" w:lineRule="auto"/>
            </w:pPr>
            <w:r>
              <w:rPr>
                <w:sz w:val="18"/>
              </w:rPr>
              <w:t>—</w:t>
            </w:r>
          </w:p>
        </w:tc>
        <w:tc>
          <w:tcPr>
            <w:tcW w:type="dxa" w:w="1800"/>
          </w:tcPr>
          <w:p>
            <w:pPr>
              <w:spacing w:after="0" w:line="240" w:lineRule="auto"/>
            </w:pPr>
            <w:r/>
            <w:r>
              <w:rPr>
                <w:b w:val="0"/>
                <w:sz w:val="18"/>
              </w:rPr>
              <w:t>—</w:t>
            </w:r>
          </w:p>
        </w:tc>
        <w:tc>
          <w:tcPr>
            <w:tcW w:type="dxa" w:w="1368"/>
          </w:tcPr>
          <w:p>
            <w:pPr>
              <w:spacing w:after="0" w:line="240" w:lineRule="auto"/>
            </w:pPr>
            <w:r/>
            <w:r>
              <w:rPr>
                <w:b w:val="0"/>
                <w:sz w:val="18"/>
              </w:rPr>
              <w:t>Final report; final exam</w:t>
            </w:r>
          </w:p>
        </w:tc>
      </w:tr>
    </w:tbl>
    <w:p>
      <w:pPr>
        <w:spacing w:after="40"/>
      </w:pPr>
    </w:p>
    <w:p>
      <w:r>
        <w:rPr>
          <w:i w:val="0"/>
        </w:rPr>
        <w:t>Weekly reading reflections are due in Weeks 2 through 10 (see Course Components).</w:t>
      </w:r>
    </w:p>
    <w:p>
      <w:pPr>
        <w:pStyle w:val="Heading1"/>
      </w:pPr>
      <w:r>
        <w:t>Course Components</w:t>
      </w:r>
    </w:p>
    <w:p>
      <w:pPr>
        <w:pStyle w:val="Heading2"/>
      </w:pPr>
      <w:r>
        <w:t>Attendance</w:t>
      </w:r>
    </w:p>
    <w:p>
      <w:r>
        <w:rPr>
          <w:i w:val="0"/>
        </w:rPr>
        <w:t>I expect you to attend every class. If an exceptional circumstance prevents you from attending, please let me know before class, and I will work with you to help cover the content you missed. There is no grade for attendance, but case classes require your participation, so attendance is critical.</w:t>
      </w:r>
    </w:p>
    <w:p>
      <w:pPr>
        <w:pStyle w:val="Heading2"/>
      </w:pPr>
      <w:r>
        <w:t>Class Participation</w:t>
      </w:r>
    </w:p>
    <w:p>
      <w:r>
        <w:rPr>
          <w:i w:val="0"/>
        </w:rPr>
        <w:t>Participation is graded on case discussion days on a 0–3 scale per class. I will share scores with you after each case class.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08"/>
            <w:shd w:val="clear" w:color="auto" w:fill="D9D9D9"/>
          </w:tcPr>
          <w:p>
            <w:pPr>
              <w:spacing w:after="0" w:line="240" w:lineRule="auto"/>
              <w:jc w:val="center"/>
            </w:pPr>
            <w:r/>
            <w:r>
              <w:rPr>
                <w:b/>
                <w:sz w:val="20"/>
              </w:rPr>
              <w:t>Score</w:t>
            </w:r>
          </w:p>
        </w:tc>
        <w:tc>
          <w:tcPr>
            <w:tcW w:type="dxa" w:w="2448"/>
            <w:shd w:val="clear" w:color="auto" w:fill="D9D9D9"/>
          </w:tcPr>
          <w:p>
            <w:pPr>
              <w:spacing w:after="0" w:line="240" w:lineRule="auto"/>
            </w:pPr>
            <w:r/>
            <w:r>
              <w:rPr>
                <w:b/>
                <w:sz w:val="20"/>
              </w:rPr>
              <w:t>Level</w:t>
            </w:r>
          </w:p>
        </w:tc>
        <w:tc>
          <w:tcPr>
            <w:tcW w:type="dxa" w:w="5904"/>
            <w:shd w:val="clear" w:color="auto" w:fill="D9D9D9"/>
          </w:tcPr>
          <w:p>
            <w:pPr>
              <w:spacing w:after="0" w:line="240" w:lineRule="auto"/>
            </w:pPr>
            <w:r/>
            <w:r>
              <w:rPr>
                <w:b/>
                <w:sz w:val="20"/>
              </w:rPr>
              <w:t>Description</w:t>
            </w:r>
          </w:p>
        </w:tc>
      </w:tr>
      <w:tr>
        <w:trPr>
          <w:cantSplit/>
        </w:trPr>
        <w:tc>
          <w:tcPr>
            <w:tcW w:type="dxa" w:w="1008"/>
          </w:tcPr>
          <w:p>
            <w:pPr>
              <w:spacing w:after="0" w:line="240" w:lineRule="auto"/>
              <w:jc w:val="center"/>
            </w:pPr>
            <w:r/>
            <w:r>
              <w:rPr>
                <w:b w:val="0"/>
                <w:sz w:val="20"/>
              </w:rPr>
              <w:t>0</w:t>
            </w:r>
          </w:p>
        </w:tc>
        <w:tc>
          <w:tcPr>
            <w:tcW w:type="dxa" w:w="2448"/>
          </w:tcPr>
          <w:p>
            <w:pPr>
              <w:spacing w:after="0" w:line="240" w:lineRule="auto"/>
            </w:pPr>
            <w:r/>
            <w:r>
              <w:rPr>
                <w:b w:val="0"/>
                <w:sz w:val="20"/>
              </w:rPr>
              <w:t>No substantive comment</w:t>
            </w:r>
          </w:p>
        </w:tc>
        <w:tc>
          <w:tcPr>
            <w:tcW w:type="dxa" w:w="5904"/>
          </w:tcPr>
          <w:p>
            <w:pPr>
              <w:spacing w:after="0" w:line="240" w:lineRule="auto"/>
            </w:pPr>
            <w:r/>
            <w:r>
              <w:rPr>
                <w:b w:val="0"/>
                <w:sz w:val="20"/>
              </w:rPr>
              <w:t>Does not add to the discussion or repeats others; superficial, irrelevant, or random; not listening, interrupting, or arguing in a hostile manner.</w:t>
            </w:r>
          </w:p>
        </w:tc>
      </w:tr>
      <w:tr>
        <w:trPr>
          <w:cantSplit/>
        </w:trPr>
        <w:tc>
          <w:tcPr>
            <w:tcW w:type="dxa" w:w="1008"/>
            <w:shd w:val="clear" w:color="auto" w:fill="F2F2F2"/>
          </w:tcPr>
          <w:p>
            <w:pPr>
              <w:spacing w:after="0" w:line="240" w:lineRule="auto"/>
              <w:jc w:val="center"/>
            </w:pPr>
            <w:r/>
            <w:r>
              <w:rPr>
                <w:b w:val="0"/>
                <w:sz w:val="20"/>
              </w:rPr>
              <w:t>1–2</w:t>
            </w:r>
          </w:p>
        </w:tc>
        <w:tc>
          <w:tcPr>
            <w:tcW w:type="dxa" w:w="2448"/>
            <w:shd w:val="clear" w:color="auto" w:fill="F2F2F2"/>
          </w:tcPr>
          <w:p>
            <w:pPr>
              <w:spacing w:after="0" w:line="240" w:lineRule="auto"/>
            </w:pPr>
            <w:r/>
            <w:r>
              <w:rPr>
                <w:b w:val="0"/>
                <w:sz w:val="20"/>
              </w:rPr>
              <w:t>Straightforward comment</w:t>
            </w:r>
          </w:p>
        </w:tc>
        <w:tc>
          <w:tcPr>
            <w:tcW w:type="dxa" w:w="5904"/>
            <w:shd w:val="clear" w:color="auto" w:fill="F2F2F2"/>
          </w:tcPr>
          <w:p>
            <w:pPr>
              <w:spacing w:after="0" w:line="240" w:lineRule="auto"/>
            </w:pPr>
            <w:r/>
            <w:r>
              <w:rPr>
                <w:b w:val="0"/>
                <w:sz w:val="20"/>
              </w:rPr>
              <w:t>Adds to understanding; responds adequately to questions; uses concepts and frameworks to link the discussion; engages constructively with classmates.</w:t>
            </w:r>
          </w:p>
        </w:tc>
      </w:tr>
      <w:tr>
        <w:trPr>
          <w:cantSplit/>
        </w:trPr>
        <w:tc>
          <w:tcPr>
            <w:tcW w:type="dxa" w:w="1008"/>
          </w:tcPr>
          <w:p>
            <w:pPr>
              <w:spacing w:after="0" w:line="240" w:lineRule="auto"/>
              <w:jc w:val="center"/>
            </w:pPr>
            <w:r/>
            <w:r>
              <w:rPr>
                <w:b w:val="0"/>
                <w:sz w:val="20"/>
              </w:rPr>
              <w:t>3</w:t>
            </w:r>
          </w:p>
        </w:tc>
        <w:tc>
          <w:tcPr>
            <w:tcW w:type="dxa" w:w="2448"/>
          </w:tcPr>
          <w:p>
            <w:pPr>
              <w:spacing w:after="0" w:line="240" w:lineRule="auto"/>
            </w:pPr>
            <w:r/>
            <w:r>
              <w:rPr>
                <w:b w:val="0"/>
                <w:sz w:val="20"/>
              </w:rPr>
              <w:t>Insightful comment</w:t>
            </w:r>
          </w:p>
        </w:tc>
        <w:tc>
          <w:tcPr>
            <w:tcW w:type="dxa" w:w="5904"/>
          </w:tcPr>
          <w:p>
            <w:pPr>
              <w:spacing w:after="0" w:line="240" w:lineRule="auto"/>
            </w:pPr>
            <w:r/>
            <w:r>
              <w:rPr>
                <w:b w:val="0"/>
                <w:sz w:val="20"/>
              </w:rPr>
              <w:t>Significantly improves understanding; shows deep and complex thinking; connects the case to OB theory and the course's central question.</w:t>
            </w:r>
          </w:p>
        </w:tc>
      </w:tr>
    </w:tbl>
    <w:p>
      <w:pPr>
        <w:spacing w:after="40"/>
      </w:pPr>
    </w:p>
    <w:p>
      <w:r>
        <w:rPr>
          <w:i w:val="0"/>
        </w:rPr>
        <w:t>If you have problems speaking up in group discussions, please speak to me early in the term. Do not wait.</w:t>
      </w:r>
    </w:p>
    <w:p>
      <w:pPr>
        <w:pStyle w:val="Heading2"/>
      </w:pPr>
      <w:r>
        <w:t>Weekly Reading Reflections</w:t>
      </w:r>
    </w:p>
    <w:p>
      <w:r>
        <w:rPr>
          <w:i w:val="0"/>
        </w:rPr>
        <w:t>Beginning in Week 2, each week pairs a classic organizational behavior article with a contemporary article on AI at work. After each week's readings you write a 400–600 word reflection with three parts: (1) a reading connection—what the classic theory explains, what it assumes about who knows and who decides, and what the AI study shows; (2) an OB Theory Update; and (3) an AI disclosure. The Theory Update responds to the prompt:</w:t>
      </w:r>
    </w:p>
    <w:p>
      <w:pPr>
        <w:ind w:left="576"/>
      </w:pPr>
      <w:r>
        <w:rPr>
          <w:i/>
        </w:rPr>
        <w:t>"If this OB theory were rewritten for workplaces where people and AI build knowledge and make decisions together, I would change…"</w:t>
      </w:r>
    </w:p>
    <w:p>
      <w:r>
        <w:rPr>
          <w:i w:val="0"/>
        </w:rPr>
        <w:t>There are nine reflections (Weeks 2–10). Each is scored out of 10; your best 8 of 9 count.</w:t>
      </w:r>
    </w:p>
    <w:p>
      <w:pPr>
        <w:pStyle w:val="Heading2"/>
      </w:pPr>
      <w:r>
        <w:t>Human–AI Work Study (Team Project)</w:t>
      </w:r>
    </w:p>
    <w:p>
      <w:r>
        <w:rPr>
          <w:i w:val="0"/>
        </w:rPr>
        <w:t>Teams of three study how a real organization, or a department within it, uses AI in knowledge work and decisions, and how that affects its people. Teams apply the JKD Framework one level at a time and recommend changes to job design, training, decision rights, trust calibration, and fairness safeguards.</w:t>
      </w:r>
    </w:p>
    <w:p>
      <w:pPr>
        <w:pStyle w:val="ListBullet"/>
        <w:spacing w:after="60"/>
      </w:pPr>
      <w:r>
        <w:rPr>
          <w:b/>
        </w:rPr>
        <w:t xml:space="preserve">Milestones (10%): </w:t>
      </w:r>
      <w:r>
        <w:t>three 2-page memos—individual level (Week 3), group level (Week 6), and organization level (Week 8).</w:t>
      </w:r>
    </w:p>
    <w:p>
      <w:pPr>
        <w:pStyle w:val="ListBullet"/>
        <w:spacing w:after="60"/>
      </w:pPr>
      <w:r>
        <w:rPr>
          <w:b/>
        </w:rPr>
        <w:t xml:space="preserve">Final report (20%): </w:t>
      </w:r>
      <w:r>
        <w:t>no more than 8 pages, due in finals week, with a draft due in Week 9.</w:t>
      </w:r>
    </w:p>
    <w:p>
      <w:pPr>
        <w:pStyle w:val="ListBullet"/>
        <w:spacing w:after="60"/>
      </w:pPr>
      <w:r>
        <w:rPr>
          <w:b/>
        </w:rPr>
        <w:t xml:space="preserve">Presentation (10%): </w:t>
      </w:r>
      <w:r>
        <w:t>12 minutes plus questions, in Week 10.</w:t>
      </w:r>
    </w:p>
    <w:p>
      <w:pPr>
        <w:pStyle w:val="ListBullet"/>
        <w:spacing w:after="60"/>
      </w:pPr>
      <w:r>
        <w:rPr>
          <w:b/>
        </w:rPr>
        <w:t xml:space="preserve">Peer evaluation: </w:t>
      </w:r>
      <w:r>
        <w:t>when peer evaluations show a clear pattern of unequal contribution, an individual's project grade may be adjusted by up to one letter grade.</w:t>
      </w:r>
    </w:p>
    <w:p>
      <w:r>
        <w:rPr>
          <w:b w:val="0"/>
          <w:i w:val="0"/>
        </w:rPr>
        <w:t xml:space="preserve">See </w:t>
      </w:r>
      <w:r>
        <w:rPr>
          <w:b w:val="0"/>
          <w:i/>
        </w:rPr>
        <w:t>Part VII – The Human–AI Work Study</w:t>
      </w:r>
      <w:r>
        <w:rPr>
          <w:b w:val="0"/>
          <w:i w:val="0"/>
        </w:rPr>
        <w:t xml:space="preserve"> for full details.</w:t>
      </w:r>
    </w:p>
    <w:p>
      <w:pPr>
        <w:pStyle w:val="Heading2"/>
      </w:pPr>
      <w:r>
        <w:t>Examinations</w:t>
      </w:r>
    </w:p>
    <w:p>
      <w:r>
        <w:rPr>
          <w:i w:val="0"/>
        </w:rPr>
        <w:t>The midterm (Week 5) and final (finals week) exams use multiple-choice and short-answer questions on OB concepts and their application to workplace situations, including situations involving AI. Exams are taken in person without AI tools. The final is cumulative with emphasis on Weeks 5–10.</w:t>
      </w:r>
    </w:p>
    <w:p>
      <w:pPr>
        <w:pStyle w:val="Heading1"/>
      </w:pPr>
      <w:r>
        <w:t>Grading Components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480"/>
            <w:shd w:val="clear" w:color="auto" w:fill="D9D9D9"/>
          </w:tcPr>
          <w:p>
            <w:pPr>
              <w:spacing w:after="0" w:line="240" w:lineRule="auto"/>
            </w:pPr>
            <w:r/>
            <w:r>
              <w:rPr>
                <w:b/>
                <w:sz w:val="20"/>
              </w:rPr>
              <w:t>Assessment</w:t>
            </w:r>
          </w:p>
        </w:tc>
        <w:tc>
          <w:tcPr>
            <w:tcW w:type="dxa" w:w="1728"/>
            <w:shd w:val="clear" w:color="auto" w:fill="D9D9D9"/>
          </w:tcPr>
          <w:p>
            <w:pPr>
              <w:spacing w:after="0" w:line="240" w:lineRule="auto"/>
              <w:jc w:val="center"/>
            </w:pPr>
            <w:r/>
            <w:r>
              <w:rPr>
                <w:b/>
                <w:sz w:val="20"/>
              </w:rPr>
              <w:t>Weight</w:t>
            </w:r>
          </w:p>
        </w:tc>
      </w:tr>
      <w:tr>
        <w:trPr>
          <w:cantSplit/>
        </w:trPr>
        <w:tc>
          <w:tcPr>
            <w:tcW w:type="dxa" w:w="6480"/>
          </w:tcPr>
          <w:p>
            <w:pPr>
              <w:spacing w:after="0" w:line="240" w:lineRule="auto"/>
            </w:pPr>
            <w:r/>
            <w:r>
              <w:rPr>
                <w:b w:val="0"/>
                <w:sz w:val="20"/>
              </w:rPr>
              <w:t>Class Participation (case discussions)</w:t>
            </w:r>
          </w:p>
        </w:tc>
        <w:tc>
          <w:tcPr>
            <w:tcW w:type="dxa" w:w="1728"/>
          </w:tcPr>
          <w:p>
            <w:pPr>
              <w:spacing w:after="0" w:line="240" w:lineRule="auto"/>
              <w:jc w:val="center"/>
            </w:pPr>
            <w:r/>
            <w:r>
              <w:rPr>
                <w:b w:val="0"/>
                <w:sz w:val="20"/>
              </w:rPr>
              <w:t>10%</w:t>
            </w:r>
          </w:p>
        </w:tc>
      </w:tr>
      <w:tr>
        <w:trPr>
          <w:cantSplit/>
        </w:trPr>
        <w:tc>
          <w:tcPr>
            <w:tcW w:type="dxa" w:w="6480"/>
            <w:shd w:val="clear" w:color="auto" w:fill="F2F2F2"/>
          </w:tcPr>
          <w:p>
            <w:pPr>
              <w:spacing w:after="0" w:line="240" w:lineRule="auto"/>
            </w:pPr>
            <w:r/>
            <w:r>
              <w:rPr>
                <w:b w:val="0"/>
                <w:sz w:val="20"/>
              </w:rPr>
              <w:t>Weekly Reading Reflections</w:t>
            </w:r>
          </w:p>
        </w:tc>
        <w:tc>
          <w:tcPr>
            <w:tcW w:type="dxa" w:w="1728"/>
            <w:shd w:val="clear" w:color="auto" w:fill="F2F2F2"/>
          </w:tcPr>
          <w:p>
            <w:pPr>
              <w:spacing w:after="0" w:line="240" w:lineRule="auto"/>
              <w:jc w:val="center"/>
            </w:pPr>
            <w:r/>
            <w:r>
              <w:rPr>
                <w:b w:val="0"/>
                <w:sz w:val="20"/>
              </w:rPr>
              <w:t>20%</w:t>
            </w:r>
          </w:p>
        </w:tc>
      </w:tr>
      <w:tr>
        <w:trPr>
          <w:cantSplit/>
        </w:trPr>
        <w:tc>
          <w:tcPr>
            <w:tcW w:type="dxa" w:w="6480"/>
          </w:tcPr>
          <w:p>
            <w:pPr>
              <w:spacing w:after="0" w:line="240" w:lineRule="auto"/>
            </w:pPr>
            <w:r/>
            <w:r>
              <w:rPr>
                <w:b w:val="0"/>
                <w:sz w:val="20"/>
              </w:rPr>
              <w:t>Midterm Examination</w:t>
            </w:r>
          </w:p>
        </w:tc>
        <w:tc>
          <w:tcPr>
            <w:tcW w:type="dxa" w:w="1728"/>
          </w:tcPr>
          <w:p>
            <w:pPr>
              <w:spacing w:after="0" w:line="240" w:lineRule="auto"/>
              <w:jc w:val="center"/>
            </w:pPr>
            <w:r/>
            <w:r>
              <w:rPr>
                <w:b w:val="0"/>
                <w:sz w:val="20"/>
              </w:rPr>
              <w:t>15%</w:t>
            </w:r>
          </w:p>
        </w:tc>
      </w:tr>
      <w:tr>
        <w:trPr>
          <w:cantSplit/>
        </w:trPr>
        <w:tc>
          <w:tcPr>
            <w:tcW w:type="dxa" w:w="6480"/>
            <w:shd w:val="clear" w:color="auto" w:fill="F2F2F2"/>
          </w:tcPr>
          <w:p>
            <w:pPr>
              <w:spacing w:after="0" w:line="240" w:lineRule="auto"/>
            </w:pPr>
            <w:r/>
            <w:r>
              <w:rPr>
                <w:b w:val="0"/>
                <w:sz w:val="20"/>
              </w:rPr>
              <w:t>Human–AI Work Study — Milestones</w:t>
            </w:r>
          </w:p>
        </w:tc>
        <w:tc>
          <w:tcPr>
            <w:tcW w:type="dxa" w:w="1728"/>
            <w:shd w:val="clear" w:color="auto" w:fill="F2F2F2"/>
          </w:tcPr>
          <w:p>
            <w:pPr>
              <w:spacing w:after="0" w:line="240" w:lineRule="auto"/>
              <w:jc w:val="center"/>
            </w:pPr>
            <w:r/>
            <w:r>
              <w:rPr>
                <w:b w:val="0"/>
                <w:sz w:val="20"/>
              </w:rPr>
              <w:t>10%</w:t>
            </w:r>
          </w:p>
        </w:tc>
      </w:tr>
      <w:tr>
        <w:trPr>
          <w:cantSplit/>
        </w:trPr>
        <w:tc>
          <w:tcPr>
            <w:tcW w:type="dxa" w:w="6480"/>
          </w:tcPr>
          <w:p>
            <w:pPr>
              <w:spacing w:after="0" w:line="240" w:lineRule="auto"/>
            </w:pPr>
            <w:r/>
            <w:r>
              <w:rPr>
                <w:b w:val="0"/>
                <w:sz w:val="20"/>
              </w:rPr>
              <w:t>Human–AI Work Study — Final Report</w:t>
            </w:r>
          </w:p>
        </w:tc>
        <w:tc>
          <w:tcPr>
            <w:tcW w:type="dxa" w:w="1728"/>
          </w:tcPr>
          <w:p>
            <w:pPr>
              <w:spacing w:after="0" w:line="240" w:lineRule="auto"/>
              <w:jc w:val="center"/>
            </w:pPr>
            <w:r/>
            <w:r>
              <w:rPr>
                <w:b w:val="0"/>
                <w:sz w:val="20"/>
              </w:rPr>
              <w:t>20%</w:t>
            </w:r>
          </w:p>
        </w:tc>
      </w:tr>
      <w:tr>
        <w:trPr>
          <w:cantSplit/>
        </w:trPr>
        <w:tc>
          <w:tcPr>
            <w:tcW w:type="dxa" w:w="6480"/>
            <w:shd w:val="clear" w:color="auto" w:fill="F2F2F2"/>
          </w:tcPr>
          <w:p>
            <w:pPr>
              <w:spacing w:after="0" w:line="240" w:lineRule="auto"/>
            </w:pPr>
            <w:r/>
            <w:r>
              <w:rPr>
                <w:b w:val="0"/>
                <w:sz w:val="20"/>
              </w:rPr>
              <w:t>Human–AI Work Study — Presentation</w:t>
            </w:r>
          </w:p>
        </w:tc>
        <w:tc>
          <w:tcPr>
            <w:tcW w:type="dxa" w:w="1728"/>
            <w:shd w:val="clear" w:color="auto" w:fill="F2F2F2"/>
          </w:tcPr>
          <w:p>
            <w:pPr>
              <w:spacing w:after="0" w:line="240" w:lineRule="auto"/>
              <w:jc w:val="center"/>
            </w:pPr>
            <w:r/>
            <w:r>
              <w:rPr>
                <w:b w:val="0"/>
                <w:sz w:val="20"/>
              </w:rPr>
              <w:t>10%</w:t>
            </w:r>
          </w:p>
        </w:tc>
      </w:tr>
      <w:tr>
        <w:trPr>
          <w:cantSplit/>
        </w:trPr>
        <w:tc>
          <w:tcPr>
            <w:tcW w:type="dxa" w:w="6480"/>
          </w:tcPr>
          <w:p>
            <w:pPr>
              <w:spacing w:after="0" w:line="240" w:lineRule="auto"/>
            </w:pPr>
            <w:r/>
            <w:r>
              <w:rPr>
                <w:b w:val="0"/>
                <w:sz w:val="20"/>
              </w:rPr>
              <w:t>Final Examination</w:t>
            </w:r>
          </w:p>
        </w:tc>
        <w:tc>
          <w:tcPr>
            <w:tcW w:type="dxa" w:w="1728"/>
          </w:tcPr>
          <w:p>
            <w:pPr>
              <w:spacing w:after="0" w:line="240" w:lineRule="auto"/>
              <w:jc w:val="center"/>
            </w:pPr>
            <w:r/>
            <w:r>
              <w:rPr>
                <w:b w:val="0"/>
                <w:sz w:val="20"/>
              </w:rPr>
              <w:t>15%</w:t>
            </w:r>
          </w:p>
        </w:tc>
      </w:tr>
      <w:tr>
        <w:trPr>
          <w:cantSplit/>
        </w:trPr>
        <w:tc>
          <w:tcPr>
            <w:tcW w:type="dxa" w:w="6480"/>
            <w:shd w:val="clear" w:color="auto" w:fill="F2F2F2"/>
          </w:tcPr>
          <w:p>
            <w:pPr>
              <w:spacing w:after="0" w:line="240" w:lineRule="auto"/>
            </w:pPr>
            <w:r>
              <w:rPr>
                <w:b/>
              </w:rPr>
            </w:r>
            <w:r>
              <w:rPr>
                <w:b/>
                <w:sz w:val="20"/>
              </w:rPr>
              <w:t>Total</w:t>
            </w:r>
          </w:p>
        </w:tc>
        <w:tc>
          <w:tcPr>
            <w:tcW w:type="dxa" w:w="1728"/>
            <w:shd w:val="clear" w:color="auto" w:fill="F2F2F2"/>
          </w:tcPr>
          <w:p>
            <w:pPr>
              <w:spacing w:after="0" w:line="240" w:lineRule="auto"/>
              <w:jc w:val="center"/>
            </w:pPr>
            <w:r>
              <w:rPr>
                <w:b/>
              </w:rPr>
            </w:r>
            <w:r>
              <w:rPr>
                <w:b/>
                <w:sz w:val="20"/>
              </w:rPr>
              <w:t>100%</w:t>
            </w:r>
          </w:p>
        </w:tc>
      </w:tr>
    </w:tbl>
    <w:p>
      <w:pPr>
        <w:spacing w:after="40"/>
      </w:pPr>
    </w:p>
    <w:p>
      <w:pPr>
        <w:pStyle w:val="Heading2"/>
      </w:pPr>
      <w:r>
        <w:t>Grading Scale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r>
      <w:tr>
        <w:trPr>
          <w:cantSplit/>
        </w:trPr>
        <w:tc>
          <w:tcPr>
            <w:tcW w:type="dxa" w:w="1152"/>
          </w:tcPr>
          <w:p>
            <w:pPr>
              <w:spacing w:after="0" w:line="240" w:lineRule="auto"/>
              <w:jc w:val="center"/>
            </w:pPr>
            <w:r/>
            <w:r>
              <w:rPr>
                <w:b w:val="0"/>
                <w:sz w:val="20"/>
              </w:rPr>
              <w:t>A</w:t>
            </w:r>
          </w:p>
        </w:tc>
        <w:tc>
          <w:tcPr>
            <w:tcW w:type="dxa" w:w="1152"/>
          </w:tcPr>
          <w:p>
            <w:pPr>
              <w:spacing w:after="0" w:line="240" w:lineRule="auto"/>
              <w:jc w:val="center"/>
            </w:pPr>
            <w:r/>
            <w:r>
              <w:rPr>
                <w:b w:val="0"/>
                <w:sz w:val="20"/>
              </w:rPr>
              <w:t>93–100</w:t>
            </w:r>
          </w:p>
        </w:tc>
        <w:tc>
          <w:tcPr>
            <w:tcW w:type="dxa" w:w="1152"/>
          </w:tcPr>
          <w:p>
            <w:pPr>
              <w:spacing w:after="0" w:line="240" w:lineRule="auto"/>
              <w:jc w:val="center"/>
            </w:pPr>
            <w:r/>
            <w:r>
              <w:rPr>
                <w:b w:val="0"/>
                <w:sz w:val="20"/>
              </w:rPr>
              <w:t>B+</w:t>
            </w:r>
          </w:p>
        </w:tc>
        <w:tc>
          <w:tcPr>
            <w:tcW w:type="dxa" w:w="1152"/>
          </w:tcPr>
          <w:p>
            <w:pPr>
              <w:spacing w:after="0" w:line="240" w:lineRule="auto"/>
              <w:jc w:val="center"/>
            </w:pPr>
            <w:r/>
            <w:r>
              <w:rPr>
                <w:b w:val="0"/>
                <w:sz w:val="20"/>
              </w:rPr>
              <w:t>87–89</w:t>
            </w:r>
          </w:p>
        </w:tc>
        <w:tc>
          <w:tcPr>
            <w:tcW w:type="dxa" w:w="1152"/>
          </w:tcPr>
          <w:p>
            <w:pPr>
              <w:spacing w:after="0" w:line="240" w:lineRule="auto"/>
              <w:jc w:val="center"/>
            </w:pPr>
            <w:r/>
            <w:r>
              <w:rPr>
                <w:b w:val="0"/>
                <w:sz w:val="20"/>
              </w:rPr>
              <w:t>C+</w:t>
            </w:r>
          </w:p>
        </w:tc>
        <w:tc>
          <w:tcPr>
            <w:tcW w:type="dxa" w:w="1152"/>
          </w:tcPr>
          <w:p>
            <w:pPr>
              <w:spacing w:after="0" w:line="240" w:lineRule="auto"/>
              <w:jc w:val="center"/>
            </w:pPr>
            <w:r/>
            <w:r>
              <w:rPr>
                <w:b w:val="0"/>
                <w:sz w:val="20"/>
              </w:rPr>
              <w:t>77–79</w:t>
            </w:r>
          </w:p>
        </w:tc>
        <w:tc>
          <w:tcPr>
            <w:tcW w:type="dxa" w:w="1152"/>
          </w:tcPr>
          <w:p>
            <w:pPr>
              <w:spacing w:after="0" w:line="240" w:lineRule="auto"/>
              <w:jc w:val="center"/>
            </w:pPr>
            <w:r/>
            <w:r>
              <w:rPr>
                <w:b w:val="0"/>
                <w:sz w:val="20"/>
              </w:rPr>
              <w:t>D+</w:t>
            </w:r>
          </w:p>
        </w:tc>
        <w:tc>
          <w:tcPr>
            <w:tcW w:type="dxa" w:w="1152"/>
          </w:tcPr>
          <w:p>
            <w:pPr>
              <w:spacing w:after="0" w:line="240" w:lineRule="auto"/>
              <w:jc w:val="center"/>
            </w:pPr>
            <w:r/>
            <w:r>
              <w:rPr>
                <w:b w:val="0"/>
                <w:sz w:val="20"/>
              </w:rPr>
              <w:t>67–69</w:t>
            </w:r>
          </w:p>
        </w:tc>
      </w:tr>
      <w:tr>
        <w:trPr>
          <w:cantSplit/>
        </w:trPr>
        <w:tc>
          <w:tcPr>
            <w:tcW w:type="dxa" w:w="1152"/>
            <w:shd w:val="clear" w:color="auto" w:fill="F2F2F2"/>
          </w:tcPr>
          <w:p>
            <w:pPr>
              <w:spacing w:after="0" w:line="240" w:lineRule="auto"/>
              <w:jc w:val="center"/>
            </w:pPr>
            <w:r/>
            <w:r>
              <w:rPr>
                <w:b w:val="0"/>
                <w:sz w:val="20"/>
              </w:rPr>
              <w:t>A−</w:t>
            </w:r>
          </w:p>
        </w:tc>
        <w:tc>
          <w:tcPr>
            <w:tcW w:type="dxa" w:w="1152"/>
            <w:shd w:val="clear" w:color="auto" w:fill="F2F2F2"/>
          </w:tcPr>
          <w:p>
            <w:pPr>
              <w:spacing w:after="0" w:line="240" w:lineRule="auto"/>
              <w:jc w:val="center"/>
            </w:pPr>
            <w:r/>
            <w:r>
              <w:rPr>
                <w:b w:val="0"/>
                <w:sz w:val="20"/>
              </w:rPr>
              <w:t>90–92</w:t>
            </w:r>
          </w:p>
        </w:tc>
        <w:tc>
          <w:tcPr>
            <w:tcW w:type="dxa" w:w="1152"/>
            <w:shd w:val="clear" w:color="auto" w:fill="F2F2F2"/>
          </w:tcPr>
          <w:p>
            <w:pPr>
              <w:spacing w:after="0" w:line="240" w:lineRule="auto"/>
              <w:jc w:val="center"/>
            </w:pPr>
            <w:r/>
            <w:r>
              <w:rPr>
                <w:b w:val="0"/>
                <w:sz w:val="20"/>
              </w:rPr>
              <w:t>B</w:t>
            </w:r>
          </w:p>
        </w:tc>
        <w:tc>
          <w:tcPr>
            <w:tcW w:type="dxa" w:w="1152"/>
            <w:shd w:val="clear" w:color="auto" w:fill="F2F2F2"/>
          </w:tcPr>
          <w:p>
            <w:pPr>
              <w:spacing w:after="0" w:line="240" w:lineRule="auto"/>
              <w:jc w:val="center"/>
            </w:pPr>
            <w:r/>
            <w:r>
              <w:rPr>
                <w:b w:val="0"/>
                <w:sz w:val="20"/>
              </w:rPr>
              <w:t>83–86</w:t>
            </w:r>
          </w:p>
        </w:tc>
        <w:tc>
          <w:tcPr>
            <w:tcW w:type="dxa" w:w="1152"/>
            <w:shd w:val="clear" w:color="auto" w:fill="F2F2F2"/>
          </w:tcPr>
          <w:p>
            <w:pPr>
              <w:spacing w:after="0" w:line="240" w:lineRule="auto"/>
              <w:jc w:val="center"/>
            </w:pPr>
            <w:r/>
            <w:r>
              <w:rPr>
                <w:b w:val="0"/>
                <w:sz w:val="20"/>
              </w:rPr>
              <w:t>C</w:t>
            </w:r>
          </w:p>
        </w:tc>
        <w:tc>
          <w:tcPr>
            <w:tcW w:type="dxa" w:w="1152"/>
            <w:shd w:val="clear" w:color="auto" w:fill="F2F2F2"/>
          </w:tcPr>
          <w:p>
            <w:pPr>
              <w:spacing w:after="0" w:line="240" w:lineRule="auto"/>
              <w:jc w:val="center"/>
            </w:pPr>
            <w:r/>
            <w:r>
              <w:rPr>
                <w:b w:val="0"/>
                <w:sz w:val="20"/>
              </w:rPr>
              <w:t>73–76</w:t>
            </w:r>
          </w:p>
        </w:tc>
        <w:tc>
          <w:tcPr>
            <w:tcW w:type="dxa" w:w="1152"/>
            <w:shd w:val="clear" w:color="auto" w:fill="F2F2F2"/>
          </w:tcPr>
          <w:p>
            <w:pPr>
              <w:spacing w:after="0" w:line="240" w:lineRule="auto"/>
              <w:jc w:val="center"/>
            </w:pPr>
            <w:r/>
            <w:r>
              <w:rPr>
                <w:b w:val="0"/>
                <w:sz w:val="20"/>
              </w:rPr>
              <w:t>D</w:t>
            </w:r>
          </w:p>
        </w:tc>
        <w:tc>
          <w:tcPr>
            <w:tcW w:type="dxa" w:w="1152"/>
            <w:shd w:val="clear" w:color="auto" w:fill="F2F2F2"/>
          </w:tcPr>
          <w:p>
            <w:pPr>
              <w:spacing w:after="0" w:line="240" w:lineRule="auto"/>
              <w:jc w:val="center"/>
            </w:pPr>
            <w:r/>
            <w:r>
              <w:rPr>
                <w:b w:val="0"/>
                <w:sz w:val="20"/>
              </w:rPr>
              <w:t>63–66</w:t>
            </w:r>
          </w:p>
        </w:tc>
      </w:tr>
      <w:tr>
        <w:trPr>
          <w:cantSplit/>
        </w:trPr>
        <w:tc>
          <w:tcPr>
            <w:tcW w:type="dxa" w:w="1152"/>
          </w:tcPr>
          <w:p>
            <w:pPr>
              <w:spacing w:after="0" w:line="240" w:lineRule="auto"/>
              <w:jc w:val="center"/>
            </w:pPr>
            <w:r/>
            <w:r>
              <w:rPr>
                <w:b w:val="0"/>
                <w:sz w:val="20"/>
              </w:rPr>
            </w:r>
          </w:p>
        </w:tc>
        <w:tc>
          <w:tcPr>
            <w:tcW w:type="dxa" w:w="1152"/>
          </w:tcPr>
          <w:p>
            <w:pPr>
              <w:spacing w:after="0" w:line="240" w:lineRule="auto"/>
              <w:jc w:val="center"/>
            </w:pPr>
            <w:r/>
            <w:r>
              <w:rPr>
                <w:b w:val="0"/>
                <w:sz w:val="20"/>
              </w:rPr>
            </w:r>
          </w:p>
        </w:tc>
        <w:tc>
          <w:tcPr>
            <w:tcW w:type="dxa" w:w="1152"/>
          </w:tcPr>
          <w:p>
            <w:pPr>
              <w:spacing w:after="0" w:line="240" w:lineRule="auto"/>
              <w:jc w:val="center"/>
            </w:pPr>
            <w:r/>
            <w:r>
              <w:rPr>
                <w:b w:val="0"/>
                <w:sz w:val="20"/>
              </w:rPr>
              <w:t>B−</w:t>
            </w:r>
          </w:p>
        </w:tc>
        <w:tc>
          <w:tcPr>
            <w:tcW w:type="dxa" w:w="1152"/>
          </w:tcPr>
          <w:p>
            <w:pPr>
              <w:spacing w:after="0" w:line="240" w:lineRule="auto"/>
              <w:jc w:val="center"/>
            </w:pPr>
            <w:r/>
            <w:r>
              <w:rPr>
                <w:b w:val="0"/>
                <w:sz w:val="20"/>
              </w:rPr>
              <w:t>80–82</w:t>
            </w:r>
          </w:p>
        </w:tc>
        <w:tc>
          <w:tcPr>
            <w:tcW w:type="dxa" w:w="1152"/>
          </w:tcPr>
          <w:p>
            <w:pPr>
              <w:spacing w:after="0" w:line="240" w:lineRule="auto"/>
              <w:jc w:val="center"/>
            </w:pPr>
            <w:r/>
            <w:r>
              <w:rPr>
                <w:b w:val="0"/>
                <w:sz w:val="20"/>
              </w:rPr>
              <w:t>C−</w:t>
            </w:r>
          </w:p>
        </w:tc>
        <w:tc>
          <w:tcPr>
            <w:tcW w:type="dxa" w:w="1152"/>
          </w:tcPr>
          <w:p>
            <w:pPr>
              <w:spacing w:after="0" w:line="240" w:lineRule="auto"/>
              <w:jc w:val="center"/>
            </w:pPr>
            <w:r/>
            <w:r>
              <w:rPr>
                <w:b w:val="0"/>
                <w:sz w:val="20"/>
              </w:rPr>
              <w:t>70–72</w:t>
            </w:r>
          </w:p>
        </w:tc>
        <w:tc>
          <w:tcPr>
            <w:tcW w:type="dxa" w:w="1152"/>
          </w:tcPr>
          <w:p>
            <w:pPr>
              <w:spacing w:after="0" w:line="240" w:lineRule="auto"/>
              <w:jc w:val="center"/>
            </w:pPr>
            <w:r/>
            <w:r>
              <w:rPr>
                <w:b w:val="0"/>
                <w:sz w:val="20"/>
              </w:rPr>
              <w:t>F</w:t>
            </w:r>
          </w:p>
        </w:tc>
        <w:tc>
          <w:tcPr>
            <w:tcW w:type="dxa" w:w="1152"/>
          </w:tcPr>
          <w:p>
            <w:pPr>
              <w:spacing w:after="0" w:line="240" w:lineRule="auto"/>
              <w:jc w:val="center"/>
            </w:pPr>
            <w:r/>
            <w:r>
              <w:rPr>
                <w:b w:val="0"/>
                <w:sz w:val="20"/>
              </w:rPr>
              <w:t>Below 63</w:t>
            </w:r>
          </w:p>
        </w:tc>
      </w:tr>
    </w:tbl>
    <w:p>
      <w:pPr>
        <w:spacing w:after="40"/>
      </w:pPr>
    </w:p>
    <w:p>
      <w:pPr>
        <w:pStyle w:val="Heading2"/>
      </w:pPr>
      <w:r>
        <w:t>Course Learning Outcome Assessment Matrix</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3312"/>
            <w:shd w:val="clear" w:color="auto" w:fill="D9D9D9"/>
          </w:tcPr>
          <w:p>
            <w:pPr>
              <w:spacing w:after="0" w:line="240" w:lineRule="auto"/>
            </w:pPr>
            <w:r/>
            <w:r>
              <w:rPr>
                <w:b/>
                <w:sz w:val="18"/>
              </w:rPr>
              <w:t>Assessment</w:t>
            </w:r>
          </w:p>
        </w:tc>
        <w:tc>
          <w:tcPr>
            <w:tcW w:type="dxa" w:w="1008"/>
            <w:shd w:val="clear" w:color="auto" w:fill="D9D9D9"/>
          </w:tcPr>
          <w:p>
            <w:pPr>
              <w:spacing w:after="0" w:line="240" w:lineRule="auto"/>
              <w:jc w:val="center"/>
            </w:pPr>
            <w:r/>
            <w:r>
              <w:rPr>
                <w:b/>
                <w:sz w:val="18"/>
              </w:rPr>
              <w:t>CLO 1</w:t>
            </w:r>
          </w:p>
        </w:tc>
        <w:tc>
          <w:tcPr>
            <w:tcW w:type="dxa" w:w="1008"/>
            <w:shd w:val="clear" w:color="auto" w:fill="D9D9D9"/>
          </w:tcPr>
          <w:p>
            <w:pPr>
              <w:spacing w:after="0" w:line="240" w:lineRule="auto"/>
              <w:jc w:val="center"/>
            </w:pPr>
            <w:r/>
            <w:r>
              <w:rPr>
                <w:b/>
                <w:sz w:val="18"/>
              </w:rPr>
              <w:t>CLO 2</w:t>
            </w:r>
          </w:p>
        </w:tc>
        <w:tc>
          <w:tcPr>
            <w:tcW w:type="dxa" w:w="1008"/>
            <w:shd w:val="clear" w:color="auto" w:fill="D9D9D9"/>
          </w:tcPr>
          <w:p>
            <w:pPr>
              <w:spacing w:after="0" w:line="240" w:lineRule="auto"/>
              <w:jc w:val="center"/>
            </w:pPr>
            <w:r/>
            <w:r>
              <w:rPr>
                <w:b/>
                <w:sz w:val="18"/>
              </w:rPr>
              <w:t>CLO 3</w:t>
            </w:r>
          </w:p>
        </w:tc>
        <w:tc>
          <w:tcPr>
            <w:tcW w:type="dxa" w:w="1008"/>
            <w:shd w:val="clear" w:color="auto" w:fill="D9D9D9"/>
          </w:tcPr>
          <w:p>
            <w:pPr>
              <w:spacing w:after="0" w:line="240" w:lineRule="auto"/>
              <w:jc w:val="center"/>
            </w:pPr>
            <w:r/>
            <w:r>
              <w:rPr>
                <w:b/>
                <w:sz w:val="18"/>
              </w:rPr>
              <w:t>CLO 4</w:t>
            </w:r>
          </w:p>
        </w:tc>
        <w:tc>
          <w:tcPr>
            <w:tcW w:type="dxa" w:w="1008"/>
            <w:shd w:val="clear" w:color="auto" w:fill="D9D9D9"/>
          </w:tcPr>
          <w:p>
            <w:pPr>
              <w:spacing w:after="0" w:line="240" w:lineRule="auto"/>
              <w:jc w:val="center"/>
            </w:pPr>
            <w:r/>
            <w:r>
              <w:rPr>
                <w:b/>
                <w:sz w:val="18"/>
              </w:rPr>
              <w:t>CLO 5</w:t>
            </w:r>
          </w:p>
        </w:tc>
        <w:tc>
          <w:tcPr>
            <w:tcW w:type="dxa" w:w="1008"/>
            <w:shd w:val="clear" w:color="auto" w:fill="D9D9D9"/>
          </w:tcPr>
          <w:p>
            <w:pPr>
              <w:spacing w:after="0" w:line="240" w:lineRule="auto"/>
              <w:jc w:val="center"/>
            </w:pPr>
            <w:r/>
            <w:r>
              <w:rPr>
                <w:b/>
                <w:sz w:val="18"/>
              </w:rPr>
              <w:t>CLO 6</w:t>
            </w:r>
          </w:p>
        </w:tc>
      </w:tr>
      <w:tr>
        <w:trPr>
          <w:cantSplit/>
        </w:trPr>
        <w:tc>
          <w:tcPr>
            <w:tcW w:type="dxa" w:w="3312"/>
          </w:tcPr>
          <w:p>
            <w:pPr>
              <w:spacing w:after="0" w:line="240" w:lineRule="auto"/>
            </w:pPr>
            <w:r/>
            <w:r>
              <w:rPr>
                <w:b w:val="0"/>
                <w:sz w:val="18"/>
              </w:rPr>
              <w:t>Class Participation</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r>
      <w:tr>
        <w:trPr>
          <w:cantSplit/>
        </w:trPr>
        <w:tc>
          <w:tcPr>
            <w:tcW w:type="dxa" w:w="3312"/>
            <w:shd w:val="clear" w:color="auto" w:fill="F2F2F2"/>
          </w:tcPr>
          <w:p>
            <w:pPr>
              <w:spacing w:after="0" w:line="240" w:lineRule="auto"/>
            </w:pPr>
            <w:r/>
            <w:r>
              <w:rPr>
                <w:b w:val="0"/>
                <w:sz w:val="18"/>
              </w:rPr>
              <w:t>Weekly Reading Reflections</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r>
      <w:tr>
        <w:trPr>
          <w:cantSplit/>
        </w:trPr>
        <w:tc>
          <w:tcPr>
            <w:tcW w:type="dxa" w:w="3312"/>
          </w:tcPr>
          <w:p>
            <w:pPr>
              <w:spacing w:after="0" w:line="240" w:lineRule="auto"/>
            </w:pPr>
            <w:r/>
            <w:r>
              <w:rPr>
                <w:b w:val="0"/>
                <w:sz w:val="18"/>
              </w:rPr>
              <w:t>Midterm Examination</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r>
      <w:tr>
        <w:trPr>
          <w:cantSplit/>
        </w:trPr>
        <w:tc>
          <w:tcPr>
            <w:tcW w:type="dxa" w:w="3312"/>
            <w:shd w:val="clear" w:color="auto" w:fill="F2F2F2"/>
          </w:tcPr>
          <w:p>
            <w:pPr>
              <w:spacing w:after="0" w:line="240" w:lineRule="auto"/>
            </w:pPr>
            <w:r/>
            <w:r>
              <w:rPr>
                <w:b w:val="0"/>
                <w:sz w:val="18"/>
              </w:rPr>
              <w:t>Work Study Milestones</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r>
      <w:tr>
        <w:trPr>
          <w:cantSplit/>
        </w:trPr>
        <w:tc>
          <w:tcPr>
            <w:tcW w:type="dxa" w:w="3312"/>
          </w:tcPr>
          <w:p>
            <w:pPr>
              <w:spacing w:after="0" w:line="240" w:lineRule="auto"/>
            </w:pPr>
            <w:r/>
            <w:r>
              <w:rPr>
                <w:b w:val="0"/>
                <w:sz w:val="18"/>
              </w:rPr>
              <w:t>Work Study Final Report</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t>X</w:t>
            </w:r>
          </w:p>
        </w:tc>
      </w:tr>
      <w:tr>
        <w:trPr>
          <w:cantSplit/>
        </w:trPr>
        <w:tc>
          <w:tcPr>
            <w:tcW w:type="dxa" w:w="3312"/>
            <w:shd w:val="clear" w:color="auto" w:fill="F2F2F2"/>
          </w:tcPr>
          <w:p>
            <w:pPr>
              <w:spacing w:after="0" w:line="240" w:lineRule="auto"/>
            </w:pPr>
            <w:r/>
            <w:r>
              <w:rPr>
                <w:b w:val="0"/>
                <w:sz w:val="18"/>
              </w:rPr>
              <w:t>Work Study Presentation</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r>
      <w:tr>
        <w:trPr>
          <w:cantSplit/>
        </w:trPr>
        <w:tc>
          <w:tcPr>
            <w:tcW w:type="dxa" w:w="3312"/>
          </w:tcPr>
          <w:p>
            <w:pPr>
              <w:spacing w:after="0" w:line="240" w:lineRule="auto"/>
            </w:pPr>
            <w:r/>
            <w:r>
              <w:rPr>
                <w:b w:val="0"/>
                <w:sz w:val="18"/>
              </w:rPr>
              <w:t>Final Examination</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r>
    </w:tbl>
    <w:p>
      <w:pPr>
        <w:spacing w:after="40"/>
      </w:pPr>
    </w:p>
    <w:p>
      <w:pPr>
        <w:pStyle w:val="Heading1"/>
      </w:pPr>
      <w:r>
        <w:t>Important Dates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72"/>
            <w:shd w:val="clear" w:color="auto" w:fill="D9D9D9"/>
          </w:tcPr>
          <w:p>
            <w:pPr>
              <w:spacing w:after="0" w:line="240" w:lineRule="auto"/>
            </w:pPr>
            <w:r/>
            <w:r>
              <w:rPr>
                <w:b/>
                <w:sz w:val="20"/>
              </w:rPr>
              <w:t>Week</w:t>
            </w:r>
          </w:p>
        </w:tc>
        <w:tc>
          <w:tcPr>
            <w:tcW w:type="dxa" w:w="7488"/>
            <w:shd w:val="clear" w:color="auto" w:fill="D9D9D9"/>
          </w:tcPr>
          <w:p>
            <w:pPr>
              <w:spacing w:after="0" w:line="240" w:lineRule="auto"/>
            </w:pPr>
            <w:r/>
            <w:r>
              <w:rPr>
                <w:b/>
                <w:sz w:val="20"/>
              </w:rPr>
              <w:t>Activity</w:t>
            </w:r>
          </w:p>
        </w:tc>
      </w:tr>
      <w:tr>
        <w:trPr>
          <w:cantSplit/>
        </w:trPr>
        <w:tc>
          <w:tcPr>
            <w:tcW w:type="dxa" w:w="1872"/>
          </w:tcPr>
          <w:p>
            <w:pPr>
              <w:spacing w:after="0" w:line="240" w:lineRule="auto"/>
            </w:pPr>
            <w:r/>
            <w:r>
              <w:rPr>
                <w:b/>
                <w:sz w:val="20"/>
              </w:rPr>
              <w:t>Week 1</w:t>
            </w:r>
          </w:p>
        </w:tc>
        <w:tc>
          <w:tcPr>
            <w:tcW w:type="dxa" w:w="7488"/>
          </w:tcPr>
          <w:p>
            <w:pPr>
              <w:spacing w:after="0" w:line="240" w:lineRule="auto"/>
            </w:pPr>
            <w:r/>
            <w:r>
              <w:rPr>
                <w:b w:val="0"/>
                <w:sz w:val="20"/>
              </w:rPr>
              <w:t>Teams formed; preliminary organization proposal</w:t>
            </w:r>
          </w:p>
        </w:tc>
      </w:tr>
      <w:tr>
        <w:trPr>
          <w:cantSplit/>
        </w:trPr>
        <w:tc>
          <w:tcPr>
            <w:tcW w:type="dxa" w:w="1872"/>
            <w:shd w:val="clear" w:color="auto" w:fill="F2F2F2"/>
          </w:tcPr>
          <w:p>
            <w:pPr>
              <w:spacing w:after="0" w:line="240" w:lineRule="auto"/>
            </w:pPr>
            <w:r/>
            <w:r>
              <w:rPr>
                <w:b/>
                <w:sz w:val="20"/>
              </w:rPr>
              <w:t>Week 2</w:t>
            </w:r>
          </w:p>
        </w:tc>
        <w:tc>
          <w:tcPr>
            <w:tcW w:type="dxa" w:w="7488"/>
            <w:shd w:val="clear" w:color="auto" w:fill="F2F2F2"/>
          </w:tcPr>
          <w:p>
            <w:pPr>
              <w:spacing w:after="0" w:line="240" w:lineRule="auto"/>
            </w:pPr>
            <w:r/>
            <w:r>
              <w:rPr>
                <w:b w:val="0"/>
                <w:sz w:val="20"/>
              </w:rPr>
              <w:t>Project organization approved</w:t>
            </w:r>
          </w:p>
        </w:tc>
      </w:tr>
      <w:tr>
        <w:trPr>
          <w:cantSplit/>
        </w:trPr>
        <w:tc>
          <w:tcPr>
            <w:tcW w:type="dxa" w:w="1872"/>
          </w:tcPr>
          <w:p>
            <w:pPr>
              <w:spacing w:after="0" w:line="240" w:lineRule="auto"/>
            </w:pPr>
            <w:r/>
            <w:r>
              <w:rPr>
                <w:b/>
                <w:sz w:val="20"/>
              </w:rPr>
              <w:t>Week 3</w:t>
            </w:r>
          </w:p>
        </w:tc>
        <w:tc>
          <w:tcPr>
            <w:tcW w:type="dxa" w:w="7488"/>
          </w:tcPr>
          <w:p>
            <w:pPr>
              <w:spacing w:after="0" w:line="240" w:lineRule="auto"/>
            </w:pPr>
            <w:r/>
            <w:r>
              <w:rPr>
                <w:b w:val="0"/>
                <w:sz w:val="20"/>
              </w:rPr>
              <w:t>Milestone 1: individual-level memo</w:t>
            </w:r>
          </w:p>
        </w:tc>
      </w:tr>
      <w:tr>
        <w:trPr>
          <w:cantSplit/>
        </w:trPr>
        <w:tc>
          <w:tcPr>
            <w:tcW w:type="dxa" w:w="1872"/>
            <w:shd w:val="clear" w:color="auto" w:fill="F2F2F2"/>
          </w:tcPr>
          <w:p>
            <w:pPr>
              <w:spacing w:after="0" w:line="240" w:lineRule="auto"/>
            </w:pPr>
            <w:r/>
            <w:r>
              <w:rPr>
                <w:b/>
                <w:sz w:val="20"/>
              </w:rPr>
              <w:t>Week 5</w:t>
            </w:r>
          </w:p>
        </w:tc>
        <w:tc>
          <w:tcPr>
            <w:tcW w:type="dxa" w:w="7488"/>
            <w:shd w:val="clear" w:color="auto" w:fill="F2F2F2"/>
          </w:tcPr>
          <w:p>
            <w:pPr>
              <w:spacing w:after="0" w:line="240" w:lineRule="auto"/>
            </w:pPr>
            <w:r/>
            <w:r>
              <w:rPr>
                <w:b w:val="0"/>
                <w:sz w:val="20"/>
              </w:rPr>
              <w:t>Midterm examination</w:t>
            </w:r>
          </w:p>
        </w:tc>
      </w:tr>
      <w:tr>
        <w:trPr>
          <w:cantSplit/>
        </w:trPr>
        <w:tc>
          <w:tcPr>
            <w:tcW w:type="dxa" w:w="1872"/>
          </w:tcPr>
          <w:p>
            <w:pPr>
              <w:spacing w:after="0" w:line="240" w:lineRule="auto"/>
            </w:pPr>
            <w:r/>
            <w:r>
              <w:rPr>
                <w:b/>
                <w:sz w:val="20"/>
              </w:rPr>
              <w:t>Week 6</w:t>
            </w:r>
          </w:p>
        </w:tc>
        <w:tc>
          <w:tcPr>
            <w:tcW w:type="dxa" w:w="7488"/>
          </w:tcPr>
          <w:p>
            <w:pPr>
              <w:spacing w:after="0" w:line="240" w:lineRule="auto"/>
            </w:pPr>
            <w:r/>
            <w:r>
              <w:rPr>
                <w:b w:val="0"/>
                <w:sz w:val="20"/>
              </w:rPr>
              <w:t>Milestone 2: group-level memo</w:t>
            </w:r>
          </w:p>
        </w:tc>
      </w:tr>
      <w:tr>
        <w:trPr>
          <w:cantSplit/>
        </w:trPr>
        <w:tc>
          <w:tcPr>
            <w:tcW w:type="dxa" w:w="1872"/>
            <w:shd w:val="clear" w:color="auto" w:fill="F2F2F2"/>
          </w:tcPr>
          <w:p>
            <w:pPr>
              <w:spacing w:after="0" w:line="240" w:lineRule="auto"/>
            </w:pPr>
            <w:r/>
            <w:r>
              <w:rPr>
                <w:b/>
                <w:sz w:val="20"/>
              </w:rPr>
              <w:t>Week 8</w:t>
            </w:r>
          </w:p>
        </w:tc>
        <w:tc>
          <w:tcPr>
            <w:tcW w:type="dxa" w:w="7488"/>
            <w:shd w:val="clear" w:color="auto" w:fill="F2F2F2"/>
          </w:tcPr>
          <w:p>
            <w:pPr>
              <w:spacing w:after="0" w:line="240" w:lineRule="auto"/>
            </w:pPr>
            <w:r/>
            <w:r>
              <w:rPr>
                <w:b w:val="0"/>
                <w:sz w:val="20"/>
              </w:rPr>
              <w:t>Milestone 3: organization-level memo</w:t>
            </w:r>
          </w:p>
        </w:tc>
      </w:tr>
      <w:tr>
        <w:trPr>
          <w:cantSplit/>
        </w:trPr>
        <w:tc>
          <w:tcPr>
            <w:tcW w:type="dxa" w:w="1872"/>
          </w:tcPr>
          <w:p>
            <w:pPr>
              <w:spacing w:after="0" w:line="240" w:lineRule="auto"/>
            </w:pPr>
            <w:r/>
            <w:r>
              <w:rPr>
                <w:b/>
                <w:sz w:val="20"/>
              </w:rPr>
              <w:t>Week 9</w:t>
            </w:r>
          </w:p>
        </w:tc>
        <w:tc>
          <w:tcPr>
            <w:tcW w:type="dxa" w:w="7488"/>
          </w:tcPr>
          <w:p>
            <w:pPr>
              <w:spacing w:after="0" w:line="240" w:lineRule="auto"/>
            </w:pPr>
            <w:r/>
            <w:r>
              <w:rPr>
                <w:b w:val="0"/>
                <w:sz w:val="20"/>
              </w:rPr>
              <w:t>Draft report</w:t>
            </w:r>
          </w:p>
        </w:tc>
      </w:tr>
      <w:tr>
        <w:trPr>
          <w:cantSplit/>
        </w:trPr>
        <w:tc>
          <w:tcPr>
            <w:tcW w:type="dxa" w:w="1872"/>
            <w:shd w:val="clear" w:color="auto" w:fill="F2F2F2"/>
          </w:tcPr>
          <w:p>
            <w:pPr>
              <w:spacing w:after="0" w:line="240" w:lineRule="auto"/>
            </w:pPr>
            <w:r/>
            <w:r>
              <w:rPr>
                <w:b/>
                <w:sz w:val="20"/>
              </w:rPr>
              <w:t>Week 10</w:t>
            </w:r>
          </w:p>
        </w:tc>
        <w:tc>
          <w:tcPr>
            <w:tcW w:type="dxa" w:w="7488"/>
            <w:shd w:val="clear" w:color="auto" w:fill="F2F2F2"/>
          </w:tcPr>
          <w:p>
            <w:pPr>
              <w:spacing w:after="0" w:line="240" w:lineRule="auto"/>
            </w:pPr>
            <w:r/>
            <w:r>
              <w:rPr>
                <w:b w:val="0"/>
                <w:sz w:val="20"/>
              </w:rPr>
              <w:t>Team presentations</w:t>
            </w:r>
          </w:p>
        </w:tc>
      </w:tr>
      <w:tr>
        <w:trPr>
          <w:cantSplit/>
        </w:trPr>
        <w:tc>
          <w:tcPr>
            <w:tcW w:type="dxa" w:w="1872"/>
          </w:tcPr>
          <w:p>
            <w:pPr>
              <w:spacing w:after="0" w:line="240" w:lineRule="auto"/>
            </w:pPr>
            <w:r/>
            <w:r>
              <w:rPr>
                <w:b/>
                <w:sz w:val="20"/>
              </w:rPr>
              <w:t>Finals week</w:t>
            </w:r>
          </w:p>
        </w:tc>
        <w:tc>
          <w:tcPr>
            <w:tcW w:type="dxa" w:w="7488"/>
          </w:tcPr>
          <w:p>
            <w:pPr>
              <w:spacing w:after="0" w:line="240" w:lineRule="auto"/>
            </w:pPr>
            <w:r/>
            <w:r>
              <w:rPr>
                <w:b w:val="0"/>
                <w:sz w:val="20"/>
              </w:rPr>
              <w:t>Final report and peer evaluation; final examination</w:t>
            </w:r>
          </w:p>
        </w:tc>
      </w:tr>
    </w:tbl>
    <w:p>
      <w:pPr>
        <w:spacing w:after="40"/>
      </w:pPr>
    </w:p>
    <w:p>
      <w:r>
        <w:rPr>
          <w:i w:val="0"/>
        </w:rPr>
        <w:t>Weekly reading reflections (Weeks 2–10) are due before the start of the following week's first class. Exact dates and submission times are posted on the LMS.</w:t>
      </w:r>
    </w:p>
    <w:p>
      <w:pPr>
        <w:pStyle w:val="Heading1"/>
      </w:pPr>
      <w:r>
        <w:t>Course Policies</w:t>
      </w:r>
    </w:p>
    <w:p>
      <w:pPr>
        <w:pStyle w:val="Heading2"/>
      </w:pPr>
      <w:r>
        <w:t>Artificial Intelligence (AI) Policy</w:t>
      </w:r>
    </w:p>
    <w:p>
      <w:r>
        <w:rPr>
          <w:i w:val="0"/>
        </w:rPr>
        <w:t>In this course AI is both a subject of study and a learning partner. You are welcome to use AI to explain concepts, generate practice questions, brainstorm, and improve your writing. You remain responsible for everything you submit: verify AI output against the textbook and readings, cite only sources you have read, and include an AI disclosure statement in every reflection, memo, report, and presentation. Honest disclosure is never penalized.</w:t>
      </w:r>
    </w:p>
    <w:p>
      <w:r>
        <w:rPr>
          <w:i w:val="0"/>
        </w:rPr>
        <w:t>Never enter personal information about identifiable people (including classmates, co-op colleagues, or interviewees) or confidential organizational information into AI tools. AI tools may not be used during exams.</w:t>
      </w:r>
    </w:p>
    <w:p>
      <w:r>
        <w:rPr>
          <w:b w:val="0"/>
          <w:i w:val="0"/>
        </w:rPr>
        <w:t xml:space="preserve">For the complete policy, see </w:t>
      </w:r>
      <w:r>
        <w:rPr>
          <w:b w:val="0"/>
          <w:i/>
        </w:rPr>
        <w:t>Part IX – Responsible AI, Academic Integrity, and Professional Conduct</w:t>
      </w:r>
      <w:r>
        <w:rPr>
          <w:b w:val="0"/>
          <w:i w:val="0"/>
        </w:rPr>
        <w:t>.</w:t>
      </w:r>
    </w:p>
    <w:p>
      <w:pPr>
        <w:pStyle w:val="Heading2"/>
      </w:pPr>
      <w:r>
        <w:t>Academic Integrity</w:t>
      </w:r>
    </w:p>
    <w:p>
      <w:r>
        <w:rPr>
          <w:i w:val="0"/>
        </w:rPr>
        <w:t>All work submitted in this course must be your own. Fabricating citations, presenting AI-generated or others' work as your own, misrepresenting sources, or collaborating on individual work without permission constitutes academic dishonesty and will be addressed according to university policy.</w:t>
      </w:r>
    </w:p>
    <w:p>
      <w:pPr>
        <w:pStyle w:val="Heading2"/>
      </w:pPr>
      <w:r>
        <w:t>Late Work</w:t>
      </w:r>
    </w:p>
    <w:p>
      <w:r>
        <w:rPr>
          <w:i w:val="0"/>
        </w:rPr>
        <w:t>Reflections and milestones submitted late lose 10% per day, up to three days, after which they receive no credit unless an extension was arranged in advance. The final report cannot be accepted after the end of finals week without an approved incomplete.</w:t>
      </w:r>
    </w:p>
    <w:p>
      <w:pPr>
        <w:pStyle w:val="Heading2"/>
      </w:pPr>
      <w:r>
        <w:t>Communication</w:t>
      </w:r>
    </w:p>
    <w:p>
      <w:r>
        <w:rPr>
          <w:i w:val="0"/>
        </w:rPr>
        <w:t>Please use email to contact me. I typically respond within 48 hours on business days. Course announcements are posted on the LMS.</w:t>
      </w:r>
    </w:p>
    <w:p>
      <w:pPr>
        <w:pStyle w:val="Heading2"/>
      </w:pPr>
      <w:r>
        <w:t>Accessibility and Accommodations</w:t>
      </w:r>
    </w:p>
    <w:p>
      <w:r>
        <w:rPr>
          <w:i w:val="0"/>
        </w:rPr>
        <w:t>Students who need accommodations because of a disability should contact the university's disability services office and provide documentation as early as possible. I am committed to equitable access to all course materials and activities.</w:t>
      </w:r>
    </w:p>
    <w:p>
      <w:pPr>
        <w:pStyle w:val="Heading2"/>
      </w:pPr>
      <w:r>
        <w:t>University Syllabus</w:t>
      </w:r>
    </w:p>
    <w:p>
      <w:r>
        <w:rPr>
          <w:i w:val="0"/>
        </w:rPr>
        <w:t>The university syllabus, including policies on academic integrity, disability services, Title IX, student conduct, and grade appeals, is posted on Blackboard and is incorporated by reference.</w:t>
      </w:r>
    </w:p>
    <w:p>
      <w:pPr>
        <w:pStyle w:val="Heading1"/>
      </w:pPr>
      <w:r>
        <w:t>Full Course Documentation</w:t>
      </w:r>
    </w:p>
    <w:p>
      <w:r>
        <w:t xml:space="preserve">This syllabus is supported by the following course documents, available at </w:t>
      </w:r>
      <w:hyperlink r:id="rId29">
        <w:r>
          <w:rPr>
            <w:rFonts w:ascii="Times New Roman" w:hAnsi="Times New Roman" w:eastAsia="Times New Roman" w:cs="Times New Roman"/>
            <w:color w:val="000000"/>
            <w:u w:val="single"/>
          </w:rPr>
          <w:t xml:space="preserve">https://github.com/omarRmalik/organizational_behavior_in_the_age_of_ai</w:t>
        </w:r>
      </w:hyperlink>
      <w:r>
        <w:t>. Click a document name to open it.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val="clear" w:color="auto" w:fill="D9D9D9"/>
          </w:tcPr>
          <w:p>
            <w:pPr>
              <w:spacing w:after="0" w:line="240" w:lineRule="auto"/>
            </w:pPr>
            <w:r/>
            <w:r>
              <w:rPr>
                <w:b/>
                <w:sz w:val="20"/>
              </w:rPr>
              <w:t>Document</w:t>
            </w:r>
          </w:p>
        </w:tc>
        <w:tc>
          <w:tcPr>
            <w:tcW w:type="dxa" w:w="5040"/>
            <w:shd w:val="clear" w:color="auto" w:fill="D9D9D9"/>
          </w:tcPr>
          <w:p>
            <w:pPr>
              <w:spacing w:after="0" w:line="240" w:lineRule="auto"/>
            </w:pPr>
            <w:r/>
            <w:r>
              <w:rPr>
                <w:b/>
                <w:sz w:val="20"/>
              </w:rPr>
              <w:t>Description</w:t>
            </w:r>
          </w:p>
        </w:tc>
      </w:tr>
      <w:tr>
        <w:trPr>
          <w:cantSplit/>
        </w:trPr>
        <w:tc>
          <w:tcPr>
            <w:tcW w:type="dxa" w:w="4320"/>
          </w:tcPr>
          <w:p>
            <w:pPr>
              <w:spacing w:after="0" w:line="240" w:lineRule="auto"/>
            </w:pPr>
            <w:hyperlink r:id="rId30">
              <w:r>
                <w:rPr>
                  <w:rFonts w:ascii="Times New Roman" w:hAnsi="Times New Roman" w:eastAsia="Times New Roman" w:cs="Times New Roman"/>
                  <w:color w:val="000000"/>
                  <w:sz w:val="20"/>
                  <w:u w:val="single"/>
                </w:rPr>
                <w:t xml:space="preserve">Part 0 – Course Philosophy</w:t>
              </w:r>
            </w:hyperlink>
          </w:p>
        </w:tc>
        <w:tc>
          <w:tcPr>
            <w:tcW w:type="dxa" w:w="5040"/>
          </w:tcPr>
          <w:p>
            <w:pPr>
              <w:spacing w:after="0" w:line="240" w:lineRule="auto"/>
            </w:pPr>
            <w:r/>
            <w:r>
              <w:rPr>
                <w:b w:val="0"/>
                <w:sz w:val="20"/>
              </w:rPr>
              <w:t>Why this course exists and the question it asks</w:t>
            </w:r>
          </w:p>
        </w:tc>
      </w:tr>
      <w:tr>
        <w:trPr>
          <w:cantSplit/>
        </w:trPr>
        <w:tc>
          <w:tcPr>
            <w:tcW w:type="dxa" w:w="4320"/>
            <w:shd w:val="clear" w:color="auto" w:fill="F2F2F2"/>
          </w:tcPr>
          <w:p>
            <w:pPr>
              <w:spacing w:after="0" w:line="240" w:lineRule="auto"/>
            </w:pPr>
            <w:hyperlink r:id="rId31">
              <w:r>
                <w:rPr>
                  <w:rFonts w:ascii="Times New Roman" w:hAnsi="Times New Roman" w:eastAsia="Times New Roman" w:cs="Times New Roman"/>
                  <w:color w:val="000000"/>
                  <w:sz w:val="20"/>
                  <w:u w:val="single"/>
                </w:rPr>
                <w:t xml:space="preserve">Part I – Course Foundations</w:t>
              </w:r>
            </w:hyperlink>
          </w:p>
        </w:tc>
        <w:tc>
          <w:tcPr>
            <w:tcW w:type="dxa" w:w="5040"/>
            <w:shd w:val="clear" w:color="auto" w:fill="F2F2F2"/>
          </w:tcPr>
          <w:p>
            <w:pPr>
              <w:spacing w:after="0" w:line="240" w:lineRule="auto"/>
            </w:pPr>
            <w:r/>
            <w:r>
              <w:rPr>
                <w:b w:val="0"/>
                <w:sz w:val="20"/>
              </w:rPr>
              <w:t>Pedagogical model and expected student mindset</w:t>
            </w:r>
          </w:p>
        </w:tc>
      </w:tr>
      <w:tr>
        <w:trPr>
          <w:cantSplit/>
        </w:trPr>
        <w:tc>
          <w:tcPr>
            <w:tcW w:type="dxa" w:w="4320"/>
          </w:tcPr>
          <w:p>
            <w:pPr>
              <w:spacing w:after="0" w:line="240" w:lineRule="auto"/>
            </w:pPr>
            <w:hyperlink r:id="rId32">
              <w:r>
                <w:rPr>
                  <w:rFonts w:ascii="Times New Roman" w:hAnsi="Times New Roman" w:eastAsia="Times New Roman" w:cs="Times New Roman"/>
                  <w:color w:val="000000"/>
                  <w:sz w:val="20"/>
                  <w:u w:val="single"/>
                </w:rPr>
                <w:t xml:space="preserve">Part II – Course Design</w:t>
              </w:r>
            </w:hyperlink>
          </w:p>
        </w:tc>
        <w:tc>
          <w:tcPr>
            <w:tcW w:type="dxa" w:w="5040"/>
          </w:tcPr>
          <w:p>
            <w:pPr>
              <w:spacing w:after="0" w:line="240" w:lineRule="auto"/>
            </w:pPr>
            <w:r/>
            <w:r>
              <w:rPr>
                <w:b w:val="0"/>
                <w:sz w:val="20"/>
              </w:rPr>
              <w:t>Learning outcomes, assurance of learning, progression</w:t>
            </w:r>
          </w:p>
        </w:tc>
      </w:tr>
      <w:tr>
        <w:trPr>
          <w:cantSplit/>
        </w:trPr>
        <w:tc>
          <w:tcPr>
            <w:tcW w:type="dxa" w:w="4320"/>
            <w:shd w:val="clear" w:color="auto" w:fill="F2F2F2"/>
          </w:tcPr>
          <w:p>
            <w:pPr>
              <w:spacing w:after="0" w:line="240" w:lineRule="auto"/>
            </w:pPr>
            <w:hyperlink r:id="rId33">
              <w:r>
                <w:rPr>
                  <w:rFonts w:ascii="Times New Roman" w:hAnsi="Times New Roman" w:eastAsia="Times New Roman" w:cs="Times New Roman"/>
                  <w:color w:val="000000"/>
                  <w:sz w:val="20"/>
                  <w:u w:val="single"/>
                </w:rPr>
                <w:t xml:space="preserve">Part III – Intellectual Foundations</w:t>
              </w:r>
            </w:hyperlink>
          </w:p>
        </w:tc>
        <w:tc>
          <w:tcPr>
            <w:tcW w:type="dxa" w:w="5040"/>
            <w:shd w:val="clear" w:color="auto" w:fill="F2F2F2"/>
          </w:tcPr>
          <w:p>
            <w:pPr>
              <w:spacing w:after="0" w:line="240" w:lineRule="auto"/>
            </w:pPr>
            <w:r/>
            <w:r>
              <w:rPr>
                <w:b w:val="0"/>
                <w:sz w:val="20"/>
              </w:rPr>
              <w:t>The classic OB canon and the AI-at-work canon</w:t>
            </w:r>
          </w:p>
        </w:tc>
      </w:tr>
      <w:tr>
        <w:trPr>
          <w:cantSplit/>
        </w:trPr>
        <w:tc>
          <w:tcPr>
            <w:tcW w:type="dxa" w:w="4320"/>
          </w:tcPr>
          <w:p>
            <w:pPr>
              <w:spacing w:after="0" w:line="240" w:lineRule="auto"/>
            </w:pPr>
            <w:hyperlink r:id="rId34">
              <w:r>
                <w:rPr>
                  <w:rFonts w:ascii="Times New Roman" w:hAnsi="Times New Roman" w:eastAsia="Times New Roman" w:cs="Times New Roman"/>
                  <w:color w:val="000000"/>
                  <w:sz w:val="20"/>
                  <w:u w:val="single"/>
                </w:rPr>
                <w:t xml:space="preserve">Part IV – The JKD Framework</w:t>
              </w:r>
            </w:hyperlink>
          </w:p>
        </w:tc>
        <w:tc>
          <w:tcPr>
            <w:tcW w:type="dxa" w:w="5040"/>
          </w:tcPr>
          <w:p>
            <w:pPr>
              <w:spacing w:after="0" w:line="240" w:lineRule="auto"/>
            </w:pPr>
            <w:r/>
            <w:r>
              <w:rPr>
                <w:b w:val="0"/>
                <w:sz w:val="20"/>
              </w:rPr>
              <w:t>Joint Knowing and Deciding: the organizing framework</w:t>
            </w:r>
          </w:p>
        </w:tc>
      </w:tr>
      <w:tr>
        <w:trPr>
          <w:cantSplit/>
        </w:trPr>
        <w:tc>
          <w:tcPr>
            <w:tcW w:type="dxa" w:w="4320"/>
            <w:shd w:val="clear" w:color="auto" w:fill="F2F2F2"/>
          </w:tcPr>
          <w:p>
            <w:pPr>
              <w:spacing w:after="0" w:line="240" w:lineRule="auto"/>
            </w:pPr>
            <w:hyperlink r:id="rId35">
              <w:r>
                <w:rPr>
                  <w:rFonts w:ascii="Times New Roman" w:hAnsi="Times New Roman" w:eastAsia="Times New Roman" w:cs="Times New Roman"/>
                  <w:color w:val="000000"/>
                  <w:sz w:val="20"/>
                  <w:u w:val="single"/>
                </w:rPr>
                <w:t xml:space="preserve">Part V – Weekly Learning Modules</w:t>
              </w:r>
            </w:hyperlink>
          </w:p>
        </w:tc>
        <w:tc>
          <w:tcPr>
            <w:tcW w:type="dxa" w:w="5040"/>
            <w:shd w:val="clear" w:color="auto" w:fill="F2F2F2"/>
          </w:tcPr>
          <w:p>
            <w:pPr>
              <w:spacing w:after="0" w:line="240" w:lineRule="auto"/>
            </w:pPr>
            <w:r/>
            <w:r>
              <w:rPr>
                <w:b w:val="0"/>
                <w:sz w:val="20"/>
              </w:rPr>
              <w:t>Week-by-week course roadmap</w:t>
            </w:r>
          </w:p>
        </w:tc>
      </w:tr>
      <w:tr>
        <w:trPr>
          <w:cantSplit/>
        </w:trPr>
        <w:tc>
          <w:tcPr>
            <w:tcW w:type="dxa" w:w="4320"/>
          </w:tcPr>
          <w:p>
            <w:pPr>
              <w:spacing w:after="0" w:line="240" w:lineRule="auto"/>
            </w:pPr>
            <w:hyperlink r:id="rId36">
              <w:r>
                <w:rPr>
                  <w:rFonts w:ascii="Times New Roman" w:hAnsi="Times New Roman" w:eastAsia="Times New Roman" w:cs="Times New Roman"/>
                  <w:color w:val="000000"/>
                  <w:sz w:val="20"/>
                  <w:u w:val="single"/>
                </w:rPr>
                <w:t xml:space="preserve">Part VI – Weekly Reading Reflections</w:t>
              </w:r>
            </w:hyperlink>
          </w:p>
        </w:tc>
        <w:tc>
          <w:tcPr>
            <w:tcW w:type="dxa" w:w="5040"/>
          </w:tcPr>
          <w:p>
            <w:pPr>
              <w:spacing w:after="0" w:line="240" w:lineRule="auto"/>
            </w:pPr>
            <w:r/>
            <w:r>
              <w:rPr>
                <w:b w:val="0"/>
                <w:sz w:val="20"/>
              </w:rPr>
              <w:t>Reflection design and the OB Theory Update</w:t>
            </w:r>
          </w:p>
        </w:tc>
      </w:tr>
      <w:tr>
        <w:trPr>
          <w:cantSplit/>
        </w:trPr>
        <w:tc>
          <w:tcPr>
            <w:tcW w:type="dxa" w:w="4320"/>
            <w:shd w:val="clear" w:color="auto" w:fill="F2F2F2"/>
          </w:tcPr>
          <w:p>
            <w:pPr>
              <w:spacing w:after="0" w:line="240" w:lineRule="auto"/>
            </w:pPr>
            <w:hyperlink r:id="rId37">
              <w:r>
                <w:rPr>
                  <w:rFonts w:ascii="Times New Roman" w:hAnsi="Times New Roman" w:eastAsia="Times New Roman" w:cs="Times New Roman"/>
                  <w:color w:val="000000"/>
                  <w:sz w:val="20"/>
                  <w:u w:val="single"/>
                </w:rPr>
                <w:t xml:space="preserve">Part VII – The Human–AI Work Study</w:t>
              </w:r>
            </w:hyperlink>
          </w:p>
        </w:tc>
        <w:tc>
          <w:tcPr>
            <w:tcW w:type="dxa" w:w="5040"/>
            <w:shd w:val="clear" w:color="auto" w:fill="F2F2F2"/>
          </w:tcPr>
          <w:p>
            <w:pPr>
              <w:spacing w:after="0" w:line="240" w:lineRule="auto"/>
            </w:pPr>
            <w:r/>
            <w:r>
              <w:rPr>
                <w:b w:val="0"/>
                <w:sz w:val="20"/>
              </w:rPr>
              <w:t>Team project, milestones, and deliverables</w:t>
            </w:r>
          </w:p>
        </w:tc>
      </w:tr>
      <w:tr>
        <w:trPr>
          <w:cantSplit/>
        </w:trPr>
        <w:tc>
          <w:tcPr>
            <w:tcW w:type="dxa" w:w="4320"/>
          </w:tcPr>
          <w:p>
            <w:pPr>
              <w:spacing w:after="0" w:line="240" w:lineRule="auto"/>
            </w:pPr>
            <w:hyperlink r:id="rId38">
              <w:r>
                <w:rPr>
                  <w:rFonts w:ascii="Times New Roman" w:hAnsi="Times New Roman" w:eastAsia="Times New Roman" w:cs="Times New Roman"/>
                  <w:color w:val="000000"/>
                  <w:sz w:val="20"/>
                  <w:u w:val="single"/>
                </w:rPr>
                <w:t xml:space="preserve">Part VIII – Assessment Standards</w:t>
              </w:r>
            </w:hyperlink>
          </w:p>
        </w:tc>
        <w:tc>
          <w:tcPr>
            <w:tcW w:type="dxa" w:w="5040"/>
          </w:tcPr>
          <w:p>
            <w:pPr>
              <w:spacing w:after="0" w:line="240" w:lineRule="auto"/>
            </w:pPr>
            <w:r/>
            <w:r>
              <w:rPr>
                <w:b w:val="0"/>
                <w:sz w:val="20"/>
              </w:rPr>
              <w:t>Grading, rubrics, and assurance of learning</w:t>
            </w:r>
          </w:p>
        </w:tc>
      </w:tr>
      <w:tr>
        <w:trPr>
          <w:cantSplit/>
        </w:trPr>
        <w:tc>
          <w:tcPr>
            <w:tcW w:type="dxa" w:w="4320"/>
            <w:shd w:val="clear" w:color="auto" w:fill="F2F2F2"/>
          </w:tcPr>
          <w:p>
            <w:pPr>
              <w:spacing w:after="0" w:line="240" w:lineRule="auto"/>
            </w:pPr>
            <w:hyperlink r:id="rId39">
              <w:r>
                <w:rPr>
                  <w:rFonts w:ascii="Times New Roman" w:hAnsi="Times New Roman" w:eastAsia="Times New Roman" w:cs="Times New Roman"/>
                  <w:color w:val="000000"/>
                  <w:sz w:val="20"/>
                  <w:u w:val="single"/>
                </w:rPr>
                <w:t xml:space="preserve">Part IX – Policies</w:t>
              </w:r>
            </w:hyperlink>
          </w:p>
        </w:tc>
        <w:tc>
          <w:tcPr>
            <w:tcW w:type="dxa" w:w="5040"/>
            <w:shd w:val="clear" w:color="auto" w:fill="F2F2F2"/>
          </w:tcPr>
          <w:p>
            <w:pPr>
              <w:spacing w:after="0" w:line="240" w:lineRule="auto"/>
            </w:pPr>
            <w:r/>
            <w:r>
              <w:rPr>
                <w:b w:val="0"/>
                <w:sz w:val="20"/>
              </w:rPr>
              <w:t>Responsible AI, academic integrity, professional conduct</w:t>
            </w:r>
          </w:p>
        </w:tc>
      </w:tr>
      <w:tr>
        <w:trPr>
          <w:cantSplit/>
        </w:trPr>
        <w:tc>
          <w:tcPr>
            <w:tcW w:type="dxa" w:w="4320"/>
          </w:tcPr>
          <w:p>
            <w:pPr>
              <w:spacing w:after="0" w:line="240" w:lineRule="auto"/>
            </w:pPr>
            <w:hyperlink r:id="rId40">
              <w:r>
                <w:rPr>
                  <w:rFonts w:ascii="Times New Roman" w:hAnsi="Times New Roman" w:eastAsia="Times New Roman" w:cs="Times New Roman"/>
                  <w:color w:val="000000"/>
                  <w:sz w:val="20"/>
                  <w:u w:val="single"/>
                </w:rPr>
                <w:t xml:space="preserve">Part X – Reading List</w:t>
              </w:r>
            </w:hyperlink>
          </w:p>
        </w:tc>
        <w:tc>
          <w:tcPr>
            <w:tcW w:type="dxa" w:w="5040"/>
          </w:tcPr>
          <w:p>
            <w:pPr>
              <w:spacing w:after="0" w:line="240" w:lineRule="auto"/>
            </w:pPr>
            <w:r/>
            <w:r>
              <w:rPr>
                <w:b w:val="0"/>
                <w:sz w:val="20"/>
              </w:rPr>
              <w:t>Complete reading list with DOIs</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Page </w:t>
    </w:r>
    <w:r>
      <w:rPr>
        <w:rFonts w:ascii="Times New Roman" w:hAnsi="Times New Roman"/>
        <w:color w:val="000000"/>
        <w:sz w:val="18"/>
      </w:rPr>
      <w:fldChar w:fldCharType="begin"/>
      <w:instrText xml:space="preserve"> PAGE </w:instrText>
      <w:fldChar w:fldCharType="separate"/>
      <w:t>1</w:t>
      <w:fldChar w:fldCharType="end"/>
    </w:r>
    <w:r>
      <w:rPr>
        <w:rFonts w:ascii="Times New Roman" w:hAnsi="Times New Roman"/>
        <w:color w:val="000000"/>
        <w:sz w:val="18"/>
      </w:rPr>
      <w:t xml:space="preserve"> of </w:t>
    </w:r>
    <w:r>
      <w:rPr>
        <w:rFonts w:ascii="Times New Roman" w:hAnsi="Times New Roman"/>
        <w:color w:val="000000"/>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MGMT-205 — Organizational Behavior in the Age of AI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eastAsiaTheme="majorEastAsia"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eastAsiaTheme="majorEastAsia" w:cstheme="majorBidi"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465/amr.1995.9508080335" TargetMode="External"/><Relationship Id="rId12" Type="http://schemas.openxmlformats.org/officeDocument/2006/relationships/hyperlink" Target="https://doi.org/10.1111/joms.13177" TargetMode="External"/><Relationship Id="rId13" Type="http://schemas.openxmlformats.org/officeDocument/2006/relationships/hyperlink" Target="https://doi.org/10.1287/orsc.5.1.14" TargetMode="External"/><Relationship Id="rId14" Type="http://schemas.openxmlformats.org/officeDocument/2006/relationships/hyperlink" Target="https://doi.org/10.1177/00018392211016755" TargetMode="External"/><Relationship Id="rId15" Type="http://schemas.openxmlformats.org/officeDocument/2006/relationships/hyperlink" Target="https://doi.org/10.1016/0030-5073(76)90016-7" TargetMode="External"/><Relationship Id="rId16" Type="http://schemas.openxmlformats.org/officeDocument/2006/relationships/hyperlink" Target="https://doi.org/10.1111/joms.70004" TargetMode="External"/><Relationship Id="rId17" Type="http://schemas.openxmlformats.org/officeDocument/2006/relationships/hyperlink" Target="https://doi.org/10.1016/1048-9843(95)90036-5" TargetMode="External"/><Relationship Id="rId18" Type="http://schemas.openxmlformats.org/officeDocument/2006/relationships/hyperlink" Target="https://doi.org/10.1002/job.70070" TargetMode="External"/><Relationship Id="rId19" Type="http://schemas.openxmlformats.org/officeDocument/2006/relationships/hyperlink" Target="https://doi.org/10.1037/0022-3514.48.6.1467" TargetMode="External"/><Relationship Id="rId20" Type="http://schemas.openxmlformats.org/officeDocument/2006/relationships/hyperlink" Target="https://doi.org/10.1002/job.2898" TargetMode="External"/><Relationship Id="rId21" Type="http://schemas.openxmlformats.org/officeDocument/2006/relationships/hyperlink" Target="https://doi.org/10.2307/2666999" TargetMode="External"/><Relationship Id="rId22" Type="http://schemas.openxmlformats.org/officeDocument/2006/relationships/hyperlink" Target="https://doi.org/10.1002/job.2857" TargetMode="External"/><Relationship Id="rId23" Type="http://schemas.openxmlformats.org/officeDocument/2006/relationships/hyperlink" Target="https://doi.org/10.2307/2667087" TargetMode="External"/><Relationship Id="rId24" Type="http://schemas.openxmlformats.org/officeDocument/2006/relationships/hyperlink" Target="https://doi.org/10.1111/joms.13276" TargetMode="External"/><Relationship Id="rId25" Type="http://schemas.openxmlformats.org/officeDocument/2006/relationships/hyperlink" Target="https://doi.org/10.1287/orsc.2.1.71" TargetMode="External"/><Relationship Id="rId26" Type="http://schemas.openxmlformats.org/officeDocument/2006/relationships/hyperlink" Target="https://doi.org/10.1111/joms.12936" TargetMode="External"/><Relationship Id="rId27" Type="http://schemas.openxmlformats.org/officeDocument/2006/relationships/hyperlink" Target="https://doi.org/10.5465/amr.2019.0186" TargetMode="External"/><Relationship Id="rId28" Type="http://schemas.openxmlformats.org/officeDocument/2006/relationships/hyperlink" Target="https://doi.org/10.1111/joms.70003" TargetMode="External"/><Relationship Id="rId29" Type="http://schemas.openxmlformats.org/officeDocument/2006/relationships/hyperlink" Target="https://github.com/omarRmalik/organizational_behavior_in_the_age_of_ai" TargetMode="External"/><Relationship Id="rId30" Type="http://schemas.openxmlformats.org/officeDocument/2006/relationships/hyperlink" Target="https://github.com/omarRmalik/organizational_behavior_in_the_age_of_ai/blob/main/md%20files/part_0_course_philosophy.md" TargetMode="External"/><Relationship Id="rId31" Type="http://schemas.openxmlformats.org/officeDocument/2006/relationships/hyperlink" Target="https://github.com/omarRmalik/organizational_behavior_in_the_age_of_ai/blob/main/md%20files/part_1_course_foundations.md" TargetMode="External"/><Relationship Id="rId32" Type="http://schemas.openxmlformats.org/officeDocument/2006/relationships/hyperlink" Target="https://github.com/omarRmalik/organizational_behavior_in_the_age_of_ai/blob/main/md%20files/part_2_course_design.md" TargetMode="External"/><Relationship Id="rId33" Type="http://schemas.openxmlformats.org/officeDocument/2006/relationships/hyperlink" Target="https://github.com/omarRmalik/organizational_behavior_in_the_age_of_ai/blob/main/md%20files/part_3_intellectual_foundations.md" TargetMode="External"/><Relationship Id="rId34" Type="http://schemas.openxmlformats.org/officeDocument/2006/relationships/hyperlink" Target="https://github.com/omarRmalik/organizational_behavior_in_the_age_of_ai/blob/main/md%20files/part_4_the_jkd_framework.md" TargetMode="External"/><Relationship Id="rId35" Type="http://schemas.openxmlformats.org/officeDocument/2006/relationships/hyperlink" Target="https://github.com/omarRmalik/organizational_behavior_in_the_age_of_ai/blob/main/md%20files/part_5_weekly_learning_modules.md" TargetMode="External"/><Relationship Id="rId36" Type="http://schemas.openxmlformats.org/officeDocument/2006/relationships/hyperlink" Target="https://github.com/omarRmalik/organizational_behavior_in_the_age_of_ai/blob/main/md%20files/part_6_reading_reflections.md" TargetMode="External"/><Relationship Id="rId37" Type="http://schemas.openxmlformats.org/officeDocument/2006/relationships/hyperlink" Target="https://github.com/omarRmalik/organizational_behavior_in_the_age_of_ai/blob/main/md%20files/part_7_human_ai_work_study.md" TargetMode="External"/><Relationship Id="rId38" Type="http://schemas.openxmlformats.org/officeDocument/2006/relationships/hyperlink" Target="https://github.com/omarRmalik/organizational_behavior_in_the_age_of_ai/blob/main/md%20files/part_8_assessment_standards.md" TargetMode="External"/><Relationship Id="rId39" Type="http://schemas.openxmlformats.org/officeDocument/2006/relationships/hyperlink" Target="https://github.com/omarRmalik/organizational_behavior_in_the_age_of_ai/blob/main/md%20files/part_9_policies.md" TargetMode="External"/><Relationship Id="rId40" Type="http://schemas.openxmlformats.org/officeDocument/2006/relationships/hyperlink" Target="https://github.com/omarRmalik/organizational_behavior_in_the_age_of_ai/blob/main/md%20files/part_10_reading_li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MGMT-205 Organizational Behavior Syllabus — Fall 2026</dc:title>
  <dc:subject/>
  <dc:creator>Omar R. Malik, Ph.D.</dc:creator>
  <cp:keywords/>
  <dc:description>generated by python-docx</dc:description>
  <cp:lastModifiedBy/>
  <cp:revision>1</cp:revision>
  <dcterms:created xsi:type="dcterms:W3CDTF">2013-12-23T23:15:00Z</dcterms:created>
  <dcterms:modified xsi:type="dcterms:W3CDTF">2013-12-23T23:15:00Z</dcterms:modified>
  <cp:category/>
</cp:coreProperties>
</file>