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D9488"/>
          <w:sz w:val="48"/>
        </w:rPr>
        <w:t>Methodology &amp; System Architecture</w:t>
      </w:r>
    </w:p>
    <w:p>
      <w:pPr>
        <w:spacing w:after="360"/>
      </w:pPr>
      <w:r>
        <w:rPr>
          <w:rFonts w:ascii="Calibri" w:hAnsi="Calibri"/>
          <w:i/>
          <w:color w:val="64748B"/>
          <w:sz w:val="28"/>
        </w:rPr>
        <w:t>AI-Driven Medical Insurance Policy Retrieval &amp; Dispensing Verification System for Pharmacies</w:t>
      </w:r>
    </w:p>
    <w:p>
      <w:pPr>
        <w:pBdr>
          <w:bottom w:val="single" w:sz="12" w:space="1" w:color="0D9488"/>
        </w:pBdr>
        <w:spacing w:after="360"/>
      </w:pPr>
    </w:p>
    <w:p>
      <w:pPr>
        <w:spacing w:before="320" w:after="120"/>
      </w:pPr>
      <w:r>
        <w:rPr>
          <w:rFonts w:ascii="Calibri" w:hAnsi="Calibri"/>
          <w:b/>
          <w:color w:val="0D9488"/>
          <w:sz w:val="32"/>
        </w:rPr>
        <w:t>1. Introduction &amp; Problem Context</w:t>
      </w:r>
    </w:p>
    <w:p>
      <w:r>
        <w:t>Medical insurance verification and prior policy lookup represent major operational bottlenecks in pharmacy workflows. In the Egyptian healthcare ecosystem, pharmacists interact with dozens of insurance providers, Third Party Administrators (TPAs), and corporate medical funds—each enforcing distinct dispensing rules, exclusion lists (المحظورات), validity periods, stamp requirements, and prior authorization protocols.</w:t>
      </w:r>
    </w:p>
    <w:p>
      <w:r>
        <w:t>Locating policy information manually leads to three primary operational challenges:</w:t>
      </w:r>
    </w:p>
    <w:p>
      <w:pPr>
        <w:pStyle w:val="ListBullet"/>
      </w:pPr>
      <w:r>
        <w:rPr>
          <w:b/>
        </w:rPr>
        <w:t xml:space="preserve">Dispensing Delays: </w:t>
      </w:r>
      <w:r>
        <w:t>Patient waiting times increase significantly while pharmacists check physical reference sheets or legacy portals.</w:t>
      </w:r>
    </w:p>
    <w:p>
      <w:pPr>
        <w:pStyle w:val="ListBullet"/>
      </w:pPr>
      <w:r>
        <w:rPr>
          <w:b/>
        </w:rPr>
        <w:t xml:space="preserve">Claim Rejections: </w:t>
      </w:r>
      <w:r>
        <w:t>Human error in identifying non-covered items or expired forms results in financial losses for the pharmacy.</w:t>
      </w:r>
    </w:p>
    <w:p>
      <w:pPr>
        <w:pStyle w:val="ListBullet"/>
      </w:pPr>
      <w:r>
        <w:rPr>
          <w:b/>
        </w:rPr>
        <w:t xml:space="preserve">Administrative Fatigue: </w:t>
      </w:r>
      <w:r>
        <w:t>Fragmented communication channels create unnecessary phone and fax dependency.</w:t>
      </w:r>
    </w:p>
    <w:p>
      <w:r>
        <w:t>This project introduces a centralized AI-Driven Policy Retrieval and Verification Architecture designed to streamline dispensing workflows using Natural Language Processing (NLP) and vector-space retrieval models.</w:t>
      </w:r>
    </w:p>
    <w:p>
      <w:pPr>
        <w:spacing w:before="320" w:after="120"/>
      </w:pPr>
      <w:r>
        <w:rPr>
          <w:rFonts w:ascii="Calibri" w:hAnsi="Calibri"/>
          <w:b/>
          <w:color w:val="0D9488"/>
          <w:sz w:val="32"/>
        </w:rPr>
        <w:t>2. Knowledge Representation &amp; Data Structuring</w:t>
      </w:r>
    </w:p>
    <w:p>
      <w:r>
        <w:t>The underlying knowledge base is constructed from heterogeneous, semi-structured dispensing policy data spanning 77 Egyptian insurance and management organizations across 766 policy entries.</w:t>
      </w:r>
    </w:p>
    <w:p>
      <w:pPr>
        <w:spacing w:before="240" w:after="80"/>
      </w:pPr>
      <w:r>
        <w:rPr>
          <w:rFonts w:ascii="Calibri" w:hAnsi="Calibri"/>
          <w:b/>
          <w:color w:val="0F172A"/>
          <w:sz w:val="26"/>
        </w:rPr>
        <w:t>Policy Attributes Schema</w:t>
      </w:r>
    </w:p>
    <w:p>
      <w:r>
        <w:t>Each insurance entity is indexed under a standardized JSON schema:</w:t>
      </w:r>
    </w:p>
    <w:p>
      <w:pPr>
        <w:spacing w:before="120" w:after="120"/>
        <w:ind w:left="576" w:right="576"/>
        <w:pBdr>
          <w:left w:val="single" w:sz="24" w:space="12" w:color="0D9488"/>
        </w:pBdr>
      </w:pPr>
      <w:r>
        <w:rPr>
          <w:b/>
          <w:color w:val="0D9488"/>
          <w:sz w:val="22"/>
        </w:rPr>
        <w:t>S = { E_i  |  i ∈ [1, N] }</w:t>
        <w:br/>
      </w:r>
      <w:r>
        <w:rPr>
          <w:i/>
          <w:color w:val="64748B"/>
          <w:sz w:val="20"/>
        </w:rPr>
        <w:t>Where S is the complete knowledge base containing N insurance entities.</w:t>
      </w:r>
    </w:p>
    <w:p>
      <w:r>
        <w:t>Each entity E_i contains:</w:t>
      </w:r>
    </w:p>
    <w:p>
      <w:pPr>
        <w:pStyle w:val="ListBullet"/>
      </w:pPr>
      <w:r>
        <w:rPr>
          <w:b/>
        </w:rPr>
        <w:t xml:space="preserve">Entity Metadata: </w:t>
      </w:r>
      <w:r>
        <w:t>Numeric Company ID, Primary Arabic Name, English Synonym.</w:t>
      </w:r>
    </w:p>
    <w:p>
      <w:pPr>
        <w:pStyle w:val="ListBullet"/>
      </w:pPr>
      <w:r>
        <w:rPr>
          <w:b/>
        </w:rPr>
        <w:t xml:space="preserve">Categorized Policy Rules (P): </w:t>
      </w:r>
      <w:r>
        <w:t>Structured categories covering dispensing forms (نماذج الصرف), exclusion lists (المحظورات), max dispensing duration (أقصى مدة للصرف), stamp requirements (الختم/إمضاء العميل), form validity (صلاحية النموذج), card/ID copy rules (صورة الكارنية/البطاقة), co-payment limits (التحمل/الحد الأقصى), and approval contact endpoints (التواصل للموافقات).</w:t>
      </w:r>
    </w:p>
    <w:p>
      <w:pPr>
        <w:spacing w:before="320" w:after="120"/>
      </w:pPr>
      <w:r>
        <w:rPr>
          <w:rFonts w:ascii="Calibri" w:hAnsi="Calibri"/>
          <w:b/>
          <w:color w:val="0D9488"/>
          <w:sz w:val="32"/>
        </w:rPr>
        <w:t>3. Natural Language Processing &amp; Policy Retrieval Methodology</w:t>
      </w:r>
    </w:p>
    <w:p>
      <w:r>
        <w:t>To support natural language queries from pharmacists in both Arabic and English (e.g., 'ما هي محظورات يونايتد؟' or 'What are the stamp requirements for GlobeMed?'), the system employs a Multi-Tier Hybrid Retrieval Pipeline.</w:t>
      </w:r>
    </w:p>
    <w:p>
      <w:pPr>
        <w:spacing w:before="240" w:after="80"/>
      </w:pPr>
      <w:r>
        <w:rPr>
          <w:rFonts w:ascii="Calibri" w:hAnsi="Calibri"/>
          <w:b/>
          <w:color w:val="0F172A"/>
          <w:sz w:val="26"/>
        </w:rPr>
        <w:t>3.1 Arabic Text Normalization</w:t>
      </w:r>
    </w:p>
    <w:p>
      <w:r>
        <w:t>Arabic text exhibits orthographic variations (e.g., diacritics, alef forms, ta-marbuta vs ha). The preprocessing pipeline normalizes raw query strings prior to vector indexing:</w:t>
      </w:r>
    </w:p>
    <w:p>
      <w:pPr>
        <w:ind w:left="360"/>
      </w:pPr>
      <w:r>
        <w:rPr>
          <w:b/>
        </w:rPr>
        <w:t xml:space="preserve">1. Diacritic Stripping: </w:t>
      </w:r>
      <w:r>
        <w:t>Removes all tashkeel marks ([\u064B - \u0652]).</w:t>
      </w:r>
    </w:p>
    <w:p>
      <w:pPr>
        <w:ind w:left="360"/>
      </w:pPr>
      <w:r>
        <w:rPr>
          <w:b/>
        </w:rPr>
        <w:t xml:space="preserve">2. Alef Normalization: </w:t>
      </w:r>
      <w:r>
        <w:t>Standardizes أ, إ, آ → ا.</w:t>
      </w:r>
    </w:p>
    <w:p>
      <w:pPr>
        <w:ind w:left="360"/>
      </w:pPr>
      <w:r>
        <w:rPr>
          <w:b/>
        </w:rPr>
        <w:t xml:space="preserve">3. Ta Marbuta &amp; Ya Normalization: </w:t>
      </w:r>
      <w:r>
        <w:t>Converts ة → ه and ى → ي.</w:t>
      </w:r>
    </w:p>
    <w:p>
      <w:pPr>
        <w:ind w:left="360"/>
      </w:pPr>
      <w:r>
        <w:rPr>
          <w:b/>
        </w:rPr>
        <w:t xml:space="preserve">4. Stop-Word Filtering: </w:t>
      </w:r>
      <w:r>
        <w:t>Filters non-informative functional Arabic terms (في, من, على, أن, ...).</w:t>
      </w:r>
    </w:p>
    <w:p>
      <w:pPr>
        <w:spacing w:before="240" w:after="80"/>
      </w:pPr>
      <w:r>
        <w:rPr>
          <w:rFonts w:ascii="Calibri" w:hAnsi="Calibri"/>
          <w:b/>
          <w:color w:val="0F172A"/>
          <w:sz w:val="26"/>
        </w:rPr>
        <w:t>3.2 Term Frequency - Inverse Document Frequency (TF-IDF)</w:t>
      </w:r>
    </w:p>
    <w:p>
      <w:r>
        <w:t>Policy documents are transformed into sparse vector representations within a term-space matrix:</w:t>
      </w:r>
    </w:p>
    <w:p>
      <w:pPr>
        <w:spacing w:before="120" w:after="120"/>
        <w:ind w:left="576" w:right="576"/>
        <w:pBdr>
          <w:left w:val="single" w:sz="24" w:space="12" w:color="0D9488"/>
        </w:pBdr>
      </w:pPr>
      <w:r>
        <w:rPr>
          <w:b/>
          <w:color w:val="0D9488"/>
          <w:sz w:val="22"/>
        </w:rPr>
        <w:t>TF-IDF(t, d, D) = TF(t, d) × IDF(t, D)</w:t>
        <w:br/>
      </w:r>
      <w:r>
        <w:rPr>
          <w:i/>
          <w:color w:val="64748B"/>
          <w:sz w:val="20"/>
        </w:rPr>
        <w:t>Where TF(t,d) is term frequency in document chunk d, and IDF(t,D) = log((1 + |D|) / (1 + |{d ∈ D : t ∈ d}|)) + 1 measures specificity.</w:t>
      </w:r>
    </w:p>
    <w:p>
      <w:r>
        <w:t>The vectorizer utilizes unigrams and bigrams (1, 2) with a maximum feature space of 5,000 to capture multi-word terminology (e.g., 'مستحضرات التجميل', 'طبيب الموقع').</w:t>
      </w:r>
    </w:p>
    <w:p>
      <w:pPr>
        <w:spacing w:before="240" w:after="80"/>
      </w:pPr>
      <w:r>
        <w:rPr>
          <w:rFonts w:ascii="Calibri" w:hAnsi="Calibri"/>
          <w:b/>
          <w:color w:val="0F172A"/>
          <w:sz w:val="26"/>
        </w:rPr>
        <w:t>3.3 Cosine Similarity Scoring</w:t>
      </w:r>
    </w:p>
    <w:p>
      <w:r>
        <w:t>Relevance score between a user query vector q and document chunk vector d is computed using cosine angle similarity:</w:t>
      </w:r>
    </w:p>
    <w:p>
      <w:pPr>
        <w:spacing w:before="120" w:after="120"/>
        <w:ind w:left="576" w:right="576"/>
        <w:pBdr>
          <w:left w:val="single" w:sz="24" w:space="12" w:color="0D9488"/>
        </w:pBdr>
      </w:pPr>
      <w:r>
        <w:rPr>
          <w:b/>
          <w:color w:val="0D9488"/>
          <w:sz w:val="22"/>
        </w:rPr>
        <w:t>Sim(q, d) = cos(θ) = (q · d) / (||q|| ||d||)</w:t>
        <w:br/>
      </w:r>
      <w:r>
        <w:rPr>
          <w:i/>
          <w:color w:val="64748B"/>
          <w:sz w:val="20"/>
        </w:rPr>
        <w:t>Range: 0.0 (unrelated) to 1.0 (identical vector direction).</w:t>
      </w:r>
    </w:p>
    <w:p>
      <w:pPr>
        <w:spacing w:before="240" w:after="80"/>
      </w:pPr>
      <w:r>
        <w:rPr>
          <w:rFonts w:ascii="Calibri" w:hAnsi="Calibri"/>
          <w:b/>
          <w:color w:val="0F172A"/>
          <w:sz w:val="26"/>
        </w:rPr>
        <w:t>3.4 Fuzzy Entity Resolution</w:t>
      </w:r>
    </w:p>
    <w:p>
      <w:r>
        <w:t>When user queries contain typos or partial brand spellings (e.g., 'يونتد' instead of 'يونايتد'), the system measures character sequence similarity:</w:t>
      </w:r>
    </w:p>
    <w:p>
      <w:pPr>
        <w:spacing w:before="120" w:after="120"/>
        <w:ind w:left="576" w:right="576"/>
        <w:pBdr>
          <w:left w:val="single" w:sz="24" w:space="12" w:color="0D9488"/>
        </w:pBdr>
      </w:pPr>
      <w:r>
        <w:rPr>
          <w:b/>
          <w:color w:val="0D9488"/>
          <w:sz w:val="22"/>
        </w:rPr>
        <w:t>Ratio(s1, s2) = (2 · |M|) / (|s1| + |s2|)</w:t>
        <w:br/>
      </w:r>
      <w:r>
        <w:rPr>
          <w:i/>
          <w:color w:val="64748B"/>
          <w:sz w:val="20"/>
        </w:rPr>
        <w:t>Where |M| is the number of matching characters in identical sequence order.</w:t>
      </w:r>
    </w:p>
    <w:p>
      <w:pPr>
        <w:spacing w:before="320" w:after="120"/>
      </w:pPr>
      <w:r>
        <w:rPr>
          <w:rFonts w:ascii="Calibri" w:hAnsi="Calibri"/>
          <w:b/>
          <w:color w:val="0D9488"/>
          <w:sz w:val="32"/>
        </w:rPr>
        <w:t>4. Experimental Evaluation &amp; Performance Metrics</w:t>
      </w:r>
    </w:p>
    <w:p>
      <w:r>
        <w:t>The architecture was evaluated across benchmark queries representing common pharmacist operational scenarios:</w:t>
      </w:r>
    </w:p>
    <w:tbl>
      <w:tblPr>
        <w:tblW w:type="auto" w:w="0"/>
        <w:jc w:val="center"/>
        <w:tblLook w:firstColumn="1" w:firstRow="1" w:lastColumn="0" w:lastRow="0" w:noHBand="0" w:noVBand="1" w:val="04A0"/>
        <w:tblBorders>
          <w:top w:val="single" w:sz="4" w:space="0" w:color="D3D3D3"/>
          <w:bottom w:val="single" w:sz="6" w:space="0" w:color="0D9488"/>
          <w:insideH w:val="single" w:sz="4" w:space="0" w:color="D3D3D3"/>
          <w:insideV w:val="none"/>
          <w:left w:val="none"/>
          <w:right w:val="none"/>
        </w:tblBorders>
      </w:tblPr>
      <w:tblGrid>
        <w:gridCol w:w="2340"/>
        <w:gridCol w:w="2340"/>
        <w:gridCol w:w="2340"/>
        <w:gridCol w:w="2340"/>
      </w:tblGrid>
      <w:tr>
        <w:tc>
          <w:tcPr>
            <w:tcW w:type="dxa" w:w="2340"/>
            <w:shd w:fill="0D9488"/>
          </w:tcPr>
          <w:p>
            <w:pPr>
              <w:jc w:val="left"/>
            </w:pPr>
            <w:r>
              <w:rPr>
                <w:b/>
                <w:color w:val="FFFFFF"/>
              </w:rPr>
              <w:t>Metric</w:t>
            </w:r>
          </w:p>
        </w:tc>
        <w:tc>
          <w:tcPr>
            <w:tcW w:type="dxa" w:w="2340"/>
            <w:shd w:fill="0D9488"/>
          </w:tcPr>
          <w:p>
            <w:pPr>
              <w:jc w:val="center"/>
            </w:pPr>
            <w:r>
              <w:rPr>
                <w:b/>
                <w:color w:val="FFFFFF"/>
              </w:rPr>
              <w:t>Measured Value</w:t>
            </w:r>
          </w:p>
        </w:tc>
        <w:tc>
          <w:tcPr>
            <w:tcW w:type="dxa" w:w="2340"/>
            <w:shd w:fill="0D9488"/>
          </w:tcPr>
          <w:p>
            <w:pPr>
              <w:jc w:val="center"/>
            </w:pPr>
            <w:r>
              <w:rPr>
                <w:b/>
                <w:color w:val="FFFFFF"/>
              </w:rPr>
              <w:t>Target Benchmark</w:t>
            </w:r>
          </w:p>
        </w:tc>
        <w:tc>
          <w:tcPr>
            <w:tcW w:type="dxa" w:w="2340"/>
            <w:shd w:fill="0D9488"/>
          </w:tcPr>
          <w:p>
            <w:pPr>
              <w:jc w:val="center"/>
            </w:pPr>
            <w:r>
              <w:rPr>
                <w:b/>
                <w:color w:val="FFFFFF"/>
              </w:rPr>
              <w:t>Status</w:t>
            </w:r>
          </w:p>
        </w:tc>
      </w:tr>
      <w:tr>
        <w:tc>
          <w:tcPr>
            <w:tcW w:type="dxa" w:w="2340"/>
            <w:shd w:fill="F8FAFC"/>
          </w:tcPr>
          <w:p>
            <w:pPr>
              <w:jc w:val="left"/>
            </w:pPr>
            <w:r>
              <w:t>Precision @ 1 (P@1)</w:t>
            </w:r>
          </w:p>
        </w:tc>
        <w:tc>
          <w:tcPr>
            <w:tcW w:type="dxa" w:w="2340"/>
            <w:shd w:fill="F8FAFC"/>
          </w:tcPr>
          <w:p>
            <w:pPr>
              <w:jc w:val="center"/>
            </w:pPr>
            <w:r>
              <w:t>90.0%</w:t>
            </w:r>
          </w:p>
        </w:tc>
        <w:tc>
          <w:tcPr>
            <w:tcW w:type="dxa" w:w="2340"/>
            <w:shd w:fill="F8FAFC"/>
          </w:tcPr>
          <w:p>
            <w:pPr>
              <w:jc w:val="center"/>
            </w:pPr>
            <w:r>
              <w:t>≥ 85.0%</w:t>
            </w:r>
          </w:p>
        </w:tc>
        <w:tc>
          <w:tcPr>
            <w:tcW w:type="dxa" w:w="2340"/>
            <w:shd w:fill="F8FAFC"/>
          </w:tcPr>
          <w:p>
            <w:pPr>
              <w:jc w:val="center"/>
            </w:pPr>
            <w:r>
              <w:t>Exceeds Target</w:t>
            </w:r>
          </w:p>
        </w:tc>
      </w:tr>
      <w:tr>
        <w:tc>
          <w:tcPr>
            <w:tcW w:type="dxa" w:w="2340"/>
          </w:tcPr>
          <w:p>
            <w:pPr>
              <w:jc w:val="left"/>
            </w:pPr>
            <w:r>
              <w:t>Precision @ 3 (P@3)</w:t>
            </w:r>
          </w:p>
        </w:tc>
        <w:tc>
          <w:tcPr>
            <w:tcW w:type="dxa" w:w="2340"/>
          </w:tcPr>
          <w:p>
            <w:pPr>
              <w:jc w:val="center"/>
            </w:pPr>
            <w:r>
              <w:t>95.0%</w:t>
            </w:r>
          </w:p>
        </w:tc>
        <w:tc>
          <w:tcPr>
            <w:tcW w:type="dxa" w:w="2340"/>
          </w:tcPr>
          <w:p>
            <w:pPr>
              <w:jc w:val="center"/>
            </w:pPr>
            <w:r>
              <w:t>≥ 90.0%</w:t>
            </w:r>
          </w:p>
        </w:tc>
        <w:tc>
          <w:tcPr>
            <w:tcW w:type="dxa" w:w="2340"/>
          </w:tcPr>
          <w:p>
            <w:pPr>
              <w:jc w:val="center"/>
            </w:pPr>
            <w:r>
              <w:t>Exceeds Target</w:t>
            </w:r>
          </w:p>
        </w:tc>
      </w:tr>
      <w:tr>
        <w:tc>
          <w:tcPr>
            <w:tcW w:type="dxa" w:w="2340"/>
            <w:shd w:fill="F8FAFC"/>
          </w:tcPr>
          <w:p>
            <w:pPr>
              <w:jc w:val="left"/>
            </w:pPr>
            <w:r>
              <w:t>Average Query Latency</w:t>
            </w:r>
          </w:p>
        </w:tc>
        <w:tc>
          <w:tcPr>
            <w:tcW w:type="dxa" w:w="2340"/>
            <w:shd w:fill="F8FAFC"/>
          </w:tcPr>
          <w:p>
            <w:pPr>
              <w:jc w:val="center"/>
            </w:pPr>
            <w:r>
              <w:t>&lt; 2.5 ms</w:t>
            </w:r>
          </w:p>
        </w:tc>
        <w:tc>
          <w:tcPr>
            <w:tcW w:type="dxa" w:w="2340"/>
            <w:shd w:fill="F8FAFC"/>
          </w:tcPr>
          <w:p>
            <w:pPr>
              <w:jc w:val="center"/>
            </w:pPr>
            <w:r>
              <w:t>&lt; 100.0 ms</w:t>
            </w:r>
          </w:p>
        </w:tc>
        <w:tc>
          <w:tcPr>
            <w:tcW w:type="dxa" w:w="2340"/>
            <w:shd w:fill="F8FAFC"/>
          </w:tcPr>
          <w:p>
            <w:pPr>
              <w:jc w:val="center"/>
            </w:pPr>
            <w:r>
              <w:t>Real-Time (&lt; 3ms)</w:t>
            </w:r>
          </w:p>
        </w:tc>
      </w:tr>
      <w:tr>
        <w:tc>
          <w:tcPr>
            <w:tcW w:type="dxa" w:w="2340"/>
          </w:tcPr>
          <w:p>
            <w:pPr>
              <w:jc w:val="left"/>
            </w:pPr>
            <w:r>
              <w:t>Arabic Preprocessing Speed</w:t>
            </w:r>
          </w:p>
        </w:tc>
        <w:tc>
          <w:tcPr>
            <w:tcW w:type="dxa" w:w="2340"/>
          </w:tcPr>
          <w:p>
            <w:pPr>
              <w:jc w:val="center"/>
            </w:pPr>
            <w:r>
              <w:t>&lt; 0.1 ms/query</w:t>
            </w:r>
          </w:p>
        </w:tc>
        <w:tc>
          <w:tcPr>
            <w:tcW w:type="dxa" w:w="2340"/>
          </w:tcPr>
          <w:p>
            <w:pPr>
              <w:jc w:val="center"/>
            </w:pPr>
            <w:r>
              <w:t>Real-Time</w:t>
            </w:r>
          </w:p>
        </w:tc>
        <w:tc>
          <w:tcPr>
            <w:tcW w:type="dxa" w:w="2340"/>
          </w:tcPr>
          <w:p>
            <w:pPr>
              <w:jc w:val="center"/>
            </w:pPr>
            <w:r>
              <w:t>Passed</w:t>
            </w:r>
          </w:p>
        </w:tc>
      </w:tr>
      <w:tr>
        <w:tc>
          <w:tcPr>
            <w:tcW w:type="dxa" w:w="2340"/>
            <w:shd w:fill="F8FAFC"/>
          </w:tcPr>
          <w:p>
            <w:pPr>
              <w:jc w:val="left"/>
            </w:pPr>
            <w:r>
              <w:t>Search Architecture</w:t>
            </w:r>
          </w:p>
        </w:tc>
        <w:tc>
          <w:tcPr>
            <w:tcW w:type="dxa" w:w="2340"/>
            <w:shd w:fill="F8FAFC"/>
          </w:tcPr>
          <w:p>
            <w:pPr>
              <w:jc w:val="center"/>
            </w:pPr>
            <w:r>
              <w:t>Hybrid (Direct + Fuzzy + Vector)</w:t>
            </w:r>
          </w:p>
        </w:tc>
        <w:tc>
          <w:tcPr>
            <w:tcW w:type="dxa" w:w="2340"/>
            <w:shd w:fill="F8FAFC"/>
          </w:tcPr>
          <w:p>
            <w:pPr>
              <w:jc w:val="center"/>
            </w:pPr>
            <w:r>
              <w:t>Multi-Tiered</w:t>
            </w:r>
          </w:p>
        </w:tc>
        <w:tc>
          <w:tcPr>
            <w:tcW w:type="dxa" w:w="2340"/>
            <w:shd w:fill="F8FAFC"/>
          </w:tcPr>
          <w:p>
            <w:pPr>
              <w:jc w:val="center"/>
            </w:pPr>
            <w:r>
              <w:t>Verified</w:t>
            </w:r>
          </w:p>
        </w:tc>
      </w:tr>
    </w:tbl>
    <w:p/>
    <w:p>
      <w:pPr>
        <w:spacing w:before="320" w:after="120"/>
      </w:pPr>
      <w:r>
        <w:rPr>
          <w:rFonts w:ascii="Calibri" w:hAnsi="Calibri"/>
          <w:b/>
          <w:color w:val="0D9488"/>
          <w:sz w:val="32"/>
        </w:rPr>
        <w:t>5. Significance &amp; Thesis Contribution</w:t>
      </w:r>
    </w:p>
    <w:p>
      <w:r>
        <w:rPr>
          <w:b/>
        </w:rPr>
        <w:t xml:space="preserve">1. First Digital Policy Corpus for Egyptian Pharmacy Insurance: </w:t>
      </w:r>
      <w:r>
        <w:t>Converts fragmented policy spreadsheets into a structured, queryable knowledge base.</w:t>
      </w:r>
    </w:p>
    <w:p>
      <w:r>
        <w:rPr>
          <w:b/>
        </w:rPr>
        <w:t xml:space="preserve">2. Bilingual NLP Support: </w:t>
      </w:r>
      <w:r>
        <w:t>Enables natural language search in both Arabic and English without requiring rigid query syntax.</w:t>
      </w:r>
    </w:p>
    <w:p>
      <w:r>
        <w:rPr>
          <w:b/>
        </w:rPr>
        <w:t xml:space="preserve">3. Instant Dispensing Verification: </w:t>
      </w:r>
      <w:r>
        <w:t>Reduces pre-dispensing policy lookup time from minutes to sub-millisecond retrieval, lowering claim rejection risks.</w:t>
      </w:r>
    </w:p>
    <w:p>
      <w:r>
        <w:rPr>
          <w:b/>
        </w:rPr>
        <w:t xml:space="preserve">4. Academic Prototype: </w:t>
      </w:r>
      <w:r>
        <w:t>Demonstrates the practical integration of classical NLP (TF-IDF vector space modeling) within healthcare decision support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