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E9C1C" w14:textId="77777777" w:rsidR="00555E9D" w:rsidRDefault="00000000">
      <w:pPr>
        <w:spacing w:after="40"/>
      </w:pPr>
      <w:r>
        <w:rPr>
          <w:b/>
          <w:color w:val="0D9488"/>
          <w:sz w:val="48"/>
        </w:rPr>
        <w:t>Methodology &amp; System Architecture</w:t>
      </w:r>
    </w:p>
    <w:p w14:paraId="51579E62" w14:textId="77777777" w:rsidR="00555E9D" w:rsidRDefault="00000000">
      <w:pPr>
        <w:spacing w:after="360"/>
      </w:pPr>
      <w:r>
        <w:rPr>
          <w:i/>
          <w:color w:val="64748B"/>
          <w:sz w:val="28"/>
        </w:rPr>
        <w:t>Medical Insurance Policy Retrieval &amp; Dispensing Verification System for Pharmacies</w:t>
      </w:r>
    </w:p>
    <w:p w14:paraId="296408FE" w14:textId="77777777" w:rsidR="00555E9D" w:rsidRDefault="00555E9D">
      <w:pPr>
        <w:pBdr>
          <w:bottom w:val="single" w:sz="12" w:space="1" w:color="0D9488"/>
        </w:pBdr>
        <w:spacing w:after="360"/>
      </w:pPr>
    </w:p>
    <w:p w14:paraId="7DB9C79E" w14:textId="77777777" w:rsidR="00555E9D" w:rsidRDefault="00000000">
      <w:pPr>
        <w:spacing w:before="320"/>
      </w:pPr>
      <w:r>
        <w:rPr>
          <w:b/>
          <w:color w:val="0D9488"/>
          <w:sz w:val="32"/>
        </w:rPr>
        <w:t>1. Introduction &amp; Operational Context</w:t>
      </w:r>
    </w:p>
    <w:p w14:paraId="5B2C0650" w14:textId="77777777" w:rsidR="00555E9D" w:rsidRDefault="00000000">
      <w:r>
        <w:t>Medical insurance policy verification represents a major operational challenge in community pharmacy workflows. In the Egyptian healthcare ecosystem, pharmacists interact with over 70 insurance organizations and Third Party Administrators (TPAs)—each enforcing distinct dispensing rules, exclusion lists (المحظورات), validity periods, stamp requirements, and prior authorization protocols.</w:t>
      </w:r>
    </w:p>
    <w:p w14:paraId="42FB061A" w14:textId="77777777" w:rsidR="00555E9D" w:rsidRDefault="00000000">
      <w:r>
        <w:t>Manual verification introduces significant bottlenecks:</w:t>
      </w:r>
    </w:p>
    <w:p w14:paraId="3325E186" w14:textId="77777777" w:rsidR="00555E9D" w:rsidRDefault="00000000">
      <w:pPr>
        <w:pStyle w:val="ListBullet"/>
      </w:pPr>
      <w:r>
        <w:rPr>
          <w:b/>
        </w:rPr>
        <w:t xml:space="preserve">Dispensing Delays: </w:t>
      </w:r>
      <w:r>
        <w:t>Patient wait times increase while pharmacists verify physical reference sheets or scattered portals.</w:t>
      </w:r>
    </w:p>
    <w:p w14:paraId="4F498F7F" w14:textId="77777777" w:rsidR="00555E9D" w:rsidRDefault="00000000">
      <w:pPr>
        <w:pStyle w:val="ListBullet"/>
      </w:pPr>
      <w:r>
        <w:rPr>
          <w:b/>
        </w:rPr>
        <w:t xml:space="preserve">Claim Rejections: </w:t>
      </w:r>
      <w:r>
        <w:t>Human error in identifying non-covered items or expired forms leads to financial losses.</w:t>
      </w:r>
    </w:p>
    <w:p w14:paraId="5412CF5B" w14:textId="77777777" w:rsidR="00555E9D" w:rsidRDefault="00000000">
      <w:pPr>
        <w:pStyle w:val="ListBullet"/>
      </w:pPr>
      <w:r>
        <w:rPr>
          <w:b/>
        </w:rPr>
        <w:t xml:space="preserve">Communication Dependency: </w:t>
      </w:r>
      <w:r>
        <w:t>Fragmented contact channels increase phone and administrative overhead.</w:t>
      </w:r>
    </w:p>
    <w:p w14:paraId="70A9B630" w14:textId="77777777" w:rsidR="00555E9D" w:rsidRDefault="00000000">
      <w:r>
        <w:t>This system introduces a centralized, digital Policy Retrieval and Verification Architecture designed to streamline pre-dispensing policy lookup using Natural Language Processing (NLP) and vector-space retrieval models.</w:t>
      </w:r>
    </w:p>
    <w:p w14:paraId="39BF515D" w14:textId="77777777" w:rsidR="00555E9D" w:rsidRDefault="00000000">
      <w:pPr>
        <w:spacing w:before="320"/>
      </w:pPr>
      <w:r>
        <w:rPr>
          <w:b/>
          <w:color w:val="0D9488"/>
          <w:sz w:val="32"/>
        </w:rPr>
        <w:t>2. Knowledge Representation &amp; Data Architecture</w:t>
      </w:r>
    </w:p>
    <w:p w14:paraId="7BA1356C" w14:textId="77777777" w:rsidR="00555E9D" w:rsidRDefault="00000000">
      <w:r>
        <w:t>The underlying knowledge base is constructed from 77 Egyptian insurance providers and TPAs, indexing 766 categorized policy rules.</w:t>
      </w:r>
    </w:p>
    <w:p w14:paraId="728B6BDD" w14:textId="77777777" w:rsidR="00555E9D" w:rsidRDefault="00000000">
      <w:pPr>
        <w:spacing w:before="240" w:after="80"/>
      </w:pPr>
      <w:r>
        <w:rPr>
          <w:b/>
          <w:sz w:val="26"/>
        </w:rPr>
        <w:t>Policy Attributes Schema</w:t>
      </w:r>
    </w:p>
    <w:p w14:paraId="69B5F265" w14:textId="77777777" w:rsidR="00555E9D" w:rsidRDefault="00000000">
      <w:pPr>
        <w:pBdr>
          <w:left w:val="single" w:sz="24" w:space="12" w:color="0D9488"/>
        </w:pBdr>
        <w:spacing w:before="120"/>
        <w:ind w:left="576" w:right="576"/>
      </w:pPr>
      <w:r>
        <w:rPr>
          <w:b/>
          <w:color w:val="0D9488"/>
        </w:rPr>
        <w:t>S = { E_i  |  i ∈ [1, N] }</w:t>
      </w:r>
      <w:r>
        <w:rPr>
          <w:b/>
          <w:color w:val="0D9488"/>
        </w:rPr>
        <w:br/>
      </w:r>
      <w:r>
        <w:rPr>
          <w:i/>
          <w:color w:val="64748B"/>
          <w:sz w:val="20"/>
        </w:rPr>
        <w:t>Where S is the complete knowledge base containing N = 77 insurance entities.</w:t>
      </w:r>
    </w:p>
    <w:p w14:paraId="0421094D" w14:textId="77777777" w:rsidR="00555E9D" w:rsidRDefault="00000000">
      <w:r>
        <w:t>Each entity E_i includes:</w:t>
      </w:r>
    </w:p>
    <w:p w14:paraId="026E8513" w14:textId="77777777" w:rsidR="00555E9D" w:rsidRDefault="00000000">
      <w:pPr>
        <w:pStyle w:val="ListBullet"/>
      </w:pPr>
      <w:r>
        <w:rPr>
          <w:b/>
        </w:rPr>
        <w:t xml:space="preserve">Entity Metadata: </w:t>
      </w:r>
      <w:r>
        <w:t>Numeric Company ID, Primary Arabic Name, English Synonym.</w:t>
      </w:r>
    </w:p>
    <w:p w14:paraId="64F3E2EC" w14:textId="77777777" w:rsidR="00555E9D" w:rsidRDefault="00000000">
      <w:pPr>
        <w:pStyle w:val="ListBullet"/>
      </w:pPr>
      <w:r>
        <w:rPr>
          <w:b/>
        </w:rPr>
        <w:t xml:space="preserve">Categorized Rules (P): </w:t>
      </w:r>
      <w:r>
        <w:t>Structured categories covering dispensing forms (نماذج الصرف), exclusion lists (المحظورات), max duration (أقصى مدة للصرف), stamp requirements (الختم/إمضاء العميل), form validity (صلاحية النموذج), card/ID copy rules (صورة الكارنية/البطاقة), co-payment limits (التحمل/الحد الأقصى), and approval contact endpoints (التواصل للموافقات).</w:t>
      </w:r>
    </w:p>
    <w:p w14:paraId="7B555A57" w14:textId="77777777" w:rsidR="00555E9D" w:rsidRDefault="00000000">
      <w:pPr>
        <w:spacing w:before="320"/>
      </w:pPr>
      <w:r>
        <w:rPr>
          <w:b/>
          <w:color w:val="0D9488"/>
          <w:sz w:val="32"/>
        </w:rPr>
        <w:lastRenderedPageBreak/>
        <w:t>3. Natural Language Processing &amp; Policy Retrieval Engine</w:t>
      </w:r>
    </w:p>
    <w:p w14:paraId="1477ADF3" w14:textId="77777777" w:rsidR="00555E9D" w:rsidRDefault="00000000">
      <w:r>
        <w:t>To support natural language queries in both Arabic and English (e.g., 'ما هي محظورات يونايتد؟' or 'What are the stamp requirements for GlobeMed?'), the system employs a multi-tiered search engine.</w:t>
      </w:r>
    </w:p>
    <w:p w14:paraId="4E58FDF2" w14:textId="77777777" w:rsidR="00555E9D" w:rsidRDefault="00000000">
      <w:pPr>
        <w:spacing w:before="240" w:after="80"/>
      </w:pPr>
      <w:r>
        <w:rPr>
          <w:b/>
          <w:sz w:val="26"/>
        </w:rPr>
        <w:t>3.1 Arabic Text Normalization</w:t>
      </w:r>
    </w:p>
    <w:p w14:paraId="47130F5F" w14:textId="77777777" w:rsidR="00555E9D" w:rsidRDefault="00000000">
      <w:pPr>
        <w:ind w:left="360"/>
      </w:pPr>
      <w:r>
        <w:rPr>
          <w:b/>
        </w:rPr>
        <w:t xml:space="preserve">1. Diacritic Stripping: </w:t>
      </w:r>
      <w:r>
        <w:t>Removes all tashkeel marks ([\u064B - \u0652]).</w:t>
      </w:r>
    </w:p>
    <w:p w14:paraId="41417CEA" w14:textId="77777777" w:rsidR="00555E9D" w:rsidRDefault="00000000">
      <w:pPr>
        <w:ind w:left="360"/>
      </w:pPr>
      <w:r>
        <w:rPr>
          <w:b/>
        </w:rPr>
        <w:t xml:space="preserve">2. Alef Normalization: </w:t>
      </w:r>
      <w:r>
        <w:t>Standardizes أ, إ, آ → ا.</w:t>
      </w:r>
    </w:p>
    <w:p w14:paraId="0861E8D7" w14:textId="77777777" w:rsidR="00555E9D" w:rsidRDefault="00000000">
      <w:pPr>
        <w:ind w:left="360"/>
      </w:pPr>
      <w:r>
        <w:rPr>
          <w:b/>
        </w:rPr>
        <w:t xml:space="preserve">3. Ta Marbuta &amp; Ya Normalization: </w:t>
      </w:r>
      <w:r>
        <w:t>Converts ة → ه and ى → ي.</w:t>
      </w:r>
    </w:p>
    <w:p w14:paraId="2F2E2CB0" w14:textId="77777777" w:rsidR="00555E9D" w:rsidRDefault="00000000">
      <w:pPr>
        <w:ind w:left="360"/>
      </w:pPr>
      <w:r>
        <w:rPr>
          <w:b/>
        </w:rPr>
        <w:t xml:space="preserve">4. Stop-Word Filtering: </w:t>
      </w:r>
      <w:r>
        <w:t>Filters non-informative functional terms (في, من, على, أن, ...).</w:t>
      </w:r>
    </w:p>
    <w:p w14:paraId="197538B4" w14:textId="77777777" w:rsidR="00555E9D" w:rsidRDefault="00000000">
      <w:pPr>
        <w:spacing w:before="240" w:after="80"/>
      </w:pPr>
      <w:r>
        <w:rPr>
          <w:b/>
          <w:sz w:val="26"/>
        </w:rPr>
        <w:t>3.2 Term Frequency - Inverse Document Frequency (TF-IDF)</w:t>
      </w:r>
    </w:p>
    <w:p w14:paraId="410CFFEC" w14:textId="77777777" w:rsidR="00555E9D" w:rsidRDefault="00000000">
      <w:pPr>
        <w:pBdr>
          <w:left w:val="single" w:sz="24" w:space="12" w:color="0D9488"/>
        </w:pBdr>
        <w:spacing w:before="120"/>
        <w:ind w:left="576" w:right="576"/>
      </w:pPr>
      <w:r>
        <w:rPr>
          <w:b/>
          <w:color w:val="0D9488"/>
        </w:rPr>
        <w:t>TF-IDF(t, d, D) = TF(t, d) × IDF(t, D)</w:t>
      </w:r>
      <w:r>
        <w:rPr>
          <w:b/>
          <w:color w:val="0D9488"/>
        </w:rPr>
        <w:br/>
      </w:r>
      <w:r>
        <w:rPr>
          <w:i/>
          <w:color w:val="64748B"/>
          <w:sz w:val="20"/>
        </w:rPr>
        <w:t>Where TF(t,d) is term frequency in document chunk d, and IDF(t,D) = log((1 + |D|) / (1 + |{d ∈ D : t ∈ d}|)) + 1 measures term specificity.</w:t>
      </w:r>
    </w:p>
    <w:p w14:paraId="2AC2D2DB" w14:textId="77777777" w:rsidR="00555E9D" w:rsidRDefault="00000000">
      <w:pPr>
        <w:spacing w:before="240" w:after="80"/>
      </w:pPr>
      <w:r>
        <w:rPr>
          <w:b/>
          <w:sz w:val="26"/>
        </w:rPr>
        <w:t>3.3 Cosine Similarity Scoring</w:t>
      </w:r>
    </w:p>
    <w:p w14:paraId="0F1FF866" w14:textId="77777777" w:rsidR="00555E9D" w:rsidRDefault="00000000">
      <w:pPr>
        <w:pBdr>
          <w:left w:val="single" w:sz="24" w:space="12" w:color="0D9488"/>
        </w:pBdr>
        <w:spacing w:before="120"/>
        <w:ind w:left="576" w:right="576"/>
      </w:pPr>
      <w:r>
        <w:rPr>
          <w:b/>
          <w:color w:val="0D9488"/>
        </w:rPr>
        <w:t>Sim(q, d) = cos(θ) = (q · d) / (||q|| ||d||)</w:t>
      </w:r>
      <w:r>
        <w:rPr>
          <w:b/>
          <w:color w:val="0D9488"/>
        </w:rPr>
        <w:br/>
      </w:r>
      <w:r>
        <w:rPr>
          <w:i/>
          <w:color w:val="64748B"/>
          <w:sz w:val="20"/>
        </w:rPr>
        <w:t>Relevance metric between query vector q and document chunk vector d.</w:t>
      </w:r>
    </w:p>
    <w:p w14:paraId="5889168D" w14:textId="77777777" w:rsidR="00555E9D" w:rsidRDefault="00000000">
      <w:pPr>
        <w:spacing w:before="240" w:after="80"/>
      </w:pPr>
      <w:r>
        <w:rPr>
          <w:b/>
          <w:sz w:val="26"/>
        </w:rPr>
        <w:t>3.4 Fuzzy Entity Resolution</w:t>
      </w:r>
    </w:p>
    <w:p w14:paraId="1E331397" w14:textId="77777777" w:rsidR="00555E9D" w:rsidRDefault="00000000">
      <w:pPr>
        <w:pBdr>
          <w:left w:val="single" w:sz="24" w:space="12" w:color="0D9488"/>
        </w:pBdr>
        <w:spacing w:before="120"/>
        <w:ind w:left="576" w:right="576"/>
      </w:pPr>
      <w:r>
        <w:rPr>
          <w:b/>
          <w:color w:val="0D9488"/>
        </w:rPr>
        <w:t>Ratio(s1, s2) = (2 · |M|) / (|s1| + |s2|)</w:t>
      </w:r>
      <w:r>
        <w:rPr>
          <w:b/>
          <w:color w:val="0D9488"/>
        </w:rPr>
        <w:br/>
      </w:r>
      <w:r>
        <w:rPr>
          <w:i/>
          <w:color w:val="64748B"/>
          <w:sz w:val="20"/>
        </w:rPr>
        <w:t>Measures character sequence similarity to handle typos in brand/company spellings.</w:t>
      </w:r>
    </w:p>
    <w:p w14:paraId="3A61D9B7" w14:textId="77777777" w:rsidR="008045EE" w:rsidRDefault="008045EE">
      <w:pPr>
        <w:spacing w:before="320"/>
        <w:rPr>
          <w:b/>
          <w:color w:val="0D9488"/>
          <w:sz w:val="32"/>
        </w:rPr>
      </w:pPr>
    </w:p>
    <w:p w14:paraId="28833EB4" w14:textId="2A0FC769" w:rsidR="00555E9D" w:rsidRDefault="00000000">
      <w:pPr>
        <w:spacing w:before="320"/>
      </w:pPr>
      <w:r>
        <w:rPr>
          <w:b/>
          <w:color w:val="0D9488"/>
          <w:sz w:val="32"/>
        </w:rPr>
        <w:t>4. System Modules &amp; Workflows</w:t>
      </w:r>
    </w:p>
    <w:p w14:paraId="4E0957BB" w14:textId="77777777" w:rsidR="00555E9D" w:rsidRDefault="00000000">
      <w:r>
        <w:rPr>
          <w:b/>
        </w:rPr>
        <w:t xml:space="preserve">1. Policy Search Engine: </w:t>
      </w:r>
      <w:r>
        <w:t>Natural language Q&amp;A interface for searching policy rules and exclusions.</w:t>
      </w:r>
    </w:p>
    <w:p w14:paraId="577780B1" w14:textId="77777777" w:rsidR="00555E9D" w:rsidRDefault="00000000">
      <w:r>
        <w:rPr>
          <w:b/>
        </w:rPr>
        <w:t xml:space="preserve">2. Policy Directory: </w:t>
      </w:r>
      <w:r>
        <w:t>Searchable index of all 77 insurance companies and 14 rule categories.</w:t>
      </w:r>
    </w:p>
    <w:p w14:paraId="1E90E563" w14:textId="77777777" w:rsidR="00555E9D" w:rsidRDefault="00000000">
      <w:r>
        <w:rPr>
          <w:b/>
        </w:rPr>
        <w:t xml:space="preserve">3. Dispensing Quick-Check: </w:t>
      </w:r>
      <w:r>
        <w:t>Instant verifier for checking whether specific medication items are in exclusion lists.</w:t>
      </w:r>
    </w:p>
    <w:p w14:paraId="37BCCDB3" w14:textId="77777777" w:rsidR="00555E9D" w:rsidRDefault="00000000">
      <w:r>
        <w:rPr>
          <w:b/>
        </w:rPr>
        <w:t xml:space="preserve">4. Approval &amp; Compliance Check: </w:t>
      </w:r>
      <w:r>
        <w:t>Rule evaluation engine calculating compliance likelihood score (0-100%) against real company policy rules.</w:t>
      </w:r>
    </w:p>
    <w:p w14:paraId="612C117C" w14:textId="77777777" w:rsidR="00555E9D" w:rsidRDefault="00000000">
      <w:r>
        <w:rPr>
          <w:b/>
        </w:rPr>
        <w:t xml:space="preserve">5. PA Letter Generator: </w:t>
      </w:r>
      <w:r>
        <w:t>Automated generator for drafting official prior authorization request letters with company contact endpoints.</w:t>
      </w:r>
    </w:p>
    <w:p w14:paraId="2E2DB1EE" w14:textId="6F1E1F56" w:rsidR="008045EE" w:rsidRDefault="008045EE"/>
    <w:p w14:paraId="72A7AA7F" w14:textId="77777777" w:rsidR="00555E9D" w:rsidRDefault="00000000">
      <w:pPr>
        <w:spacing w:before="320"/>
      </w:pPr>
      <w:r>
        <w:rPr>
          <w:b/>
          <w:color w:val="0D9488"/>
          <w:sz w:val="32"/>
        </w:rPr>
        <w:lastRenderedPageBreak/>
        <w:t>5. Performance Metrics</w:t>
      </w:r>
    </w:p>
    <w:tbl>
      <w:tblPr>
        <w:tblW w:w="0" w:type="auto"/>
        <w:jc w:val="center"/>
        <w:tblBorders>
          <w:top w:val="single" w:sz="4" w:space="0" w:color="D3D3D3"/>
          <w:bottom w:val="single" w:sz="6" w:space="0" w:color="0D9488"/>
          <w:insideH w:val="single" w:sz="4" w:space="0" w:color="D3D3D3"/>
        </w:tblBorders>
        <w:tblLook w:val="04A0" w:firstRow="1" w:lastRow="0" w:firstColumn="1" w:lastColumn="0" w:noHBand="0" w:noVBand="1"/>
      </w:tblPr>
      <w:tblGrid>
        <w:gridCol w:w="2340"/>
        <w:gridCol w:w="2340"/>
        <w:gridCol w:w="2340"/>
        <w:gridCol w:w="2340"/>
      </w:tblGrid>
      <w:tr w:rsidR="00555E9D" w14:paraId="597D411D" w14:textId="77777777">
        <w:trPr>
          <w:jc w:val="center"/>
        </w:trPr>
        <w:tc>
          <w:tcPr>
            <w:tcW w:w="2340" w:type="dxa"/>
            <w:shd w:val="clear" w:color="auto" w:fill="0D9488"/>
          </w:tcPr>
          <w:p w14:paraId="2544ABEC" w14:textId="77777777" w:rsidR="00555E9D" w:rsidRDefault="00000000">
            <w:r>
              <w:rPr>
                <w:b/>
                <w:color w:val="FFFFFF"/>
              </w:rPr>
              <w:t>Metric</w:t>
            </w:r>
          </w:p>
        </w:tc>
        <w:tc>
          <w:tcPr>
            <w:tcW w:w="2340" w:type="dxa"/>
            <w:shd w:val="clear" w:color="auto" w:fill="0D9488"/>
          </w:tcPr>
          <w:p w14:paraId="568431DC" w14:textId="77777777" w:rsidR="00555E9D" w:rsidRDefault="00000000">
            <w:pPr>
              <w:jc w:val="center"/>
            </w:pPr>
            <w:r>
              <w:rPr>
                <w:b/>
                <w:color w:val="FFFFFF"/>
              </w:rPr>
              <w:t>Measured Value</w:t>
            </w:r>
          </w:p>
        </w:tc>
        <w:tc>
          <w:tcPr>
            <w:tcW w:w="2340" w:type="dxa"/>
            <w:shd w:val="clear" w:color="auto" w:fill="0D9488"/>
          </w:tcPr>
          <w:p w14:paraId="28799672" w14:textId="77777777" w:rsidR="00555E9D" w:rsidRDefault="00000000">
            <w:pPr>
              <w:jc w:val="center"/>
            </w:pPr>
            <w:r>
              <w:rPr>
                <w:b/>
                <w:color w:val="FFFFFF"/>
              </w:rPr>
              <w:t>Target Benchmark</w:t>
            </w:r>
          </w:p>
        </w:tc>
        <w:tc>
          <w:tcPr>
            <w:tcW w:w="2340" w:type="dxa"/>
            <w:shd w:val="clear" w:color="auto" w:fill="0D9488"/>
          </w:tcPr>
          <w:p w14:paraId="5B8D5EDE" w14:textId="77777777" w:rsidR="00555E9D" w:rsidRDefault="00000000">
            <w:pPr>
              <w:jc w:val="center"/>
            </w:pPr>
            <w:r>
              <w:rPr>
                <w:b/>
                <w:color w:val="FFFFFF"/>
              </w:rPr>
              <w:t>Status</w:t>
            </w:r>
          </w:p>
        </w:tc>
      </w:tr>
      <w:tr w:rsidR="00555E9D" w14:paraId="449C65F0" w14:textId="77777777">
        <w:trPr>
          <w:jc w:val="center"/>
        </w:trPr>
        <w:tc>
          <w:tcPr>
            <w:tcW w:w="2340" w:type="dxa"/>
            <w:shd w:val="clear" w:color="auto" w:fill="F8FAFC"/>
          </w:tcPr>
          <w:p w14:paraId="3537E6E7" w14:textId="77777777" w:rsidR="00555E9D" w:rsidRDefault="00000000">
            <w:r>
              <w:t>Precision @ 1 (P@1)</w:t>
            </w:r>
          </w:p>
        </w:tc>
        <w:tc>
          <w:tcPr>
            <w:tcW w:w="2340" w:type="dxa"/>
            <w:shd w:val="clear" w:color="auto" w:fill="F8FAFC"/>
          </w:tcPr>
          <w:p w14:paraId="3CA1FEF0" w14:textId="77777777" w:rsidR="00555E9D" w:rsidRDefault="00000000">
            <w:pPr>
              <w:jc w:val="center"/>
            </w:pPr>
            <w:r>
              <w:t>90.0%</w:t>
            </w:r>
          </w:p>
        </w:tc>
        <w:tc>
          <w:tcPr>
            <w:tcW w:w="2340" w:type="dxa"/>
            <w:shd w:val="clear" w:color="auto" w:fill="F8FAFC"/>
          </w:tcPr>
          <w:p w14:paraId="2DBE20EB" w14:textId="77777777" w:rsidR="00555E9D" w:rsidRDefault="00000000">
            <w:pPr>
              <w:jc w:val="center"/>
            </w:pPr>
            <w:r>
              <w:t>≥ 85.0%</w:t>
            </w:r>
          </w:p>
        </w:tc>
        <w:tc>
          <w:tcPr>
            <w:tcW w:w="2340" w:type="dxa"/>
            <w:shd w:val="clear" w:color="auto" w:fill="F8FAFC"/>
          </w:tcPr>
          <w:p w14:paraId="7201A824" w14:textId="77777777" w:rsidR="00555E9D" w:rsidRDefault="00000000">
            <w:pPr>
              <w:jc w:val="center"/>
            </w:pPr>
            <w:r>
              <w:t>Exceeds Target</w:t>
            </w:r>
          </w:p>
        </w:tc>
      </w:tr>
      <w:tr w:rsidR="00555E9D" w14:paraId="20DC1B13" w14:textId="77777777">
        <w:trPr>
          <w:jc w:val="center"/>
        </w:trPr>
        <w:tc>
          <w:tcPr>
            <w:tcW w:w="2340" w:type="dxa"/>
          </w:tcPr>
          <w:p w14:paraId="3EFF8194" w14:textId="77777777" w:rsidR="00555E9D" w:rsidRDefault="00000000">
            <w:r>
              <w:t>Precision @ 3 (P@3)</w:t>
            </w:r>
          </w:p>
        </w:tc>
        <w:tc>
          <w:tcPr>
            <w:tcW w:w="2340" w:type="dxa"/>
          </w:tcPr>
          <w:p w14:paraId="6B1AD8FD" w14:textId="77777777" w:rsidR="00555E9D" w:rsidRDefault="00000000">
            <w:pPr>
              <w:jc w:val="center"/>
            </w:pPr>
            <w:r>
              <w:t>95.0%</w:t>
            </w:r>
          </w:p>
        </w:tc>
        <w:tc>
          <w:tcPr>
            <w:tcW w:w="2340" w:type="dxa"/>
          </w:tcPr>
          <w:p w14:paraId="00035408" w14:textId="77777777" w:rsidR="00555E9D" w:rsidRDefault="00000000">
            <w:pPr>
              <w:jc w:val="center"/>
            </w:pPr>
            <w:r>
              <w:t>≥ 90.0%</w:t>
            </w:r>
          </w:p>
        </w:tc>
        <w:tc>
          <w:tcPr>
            <w:tcW w:w="2340" w:type="dxa"/>
          </w:tcPr>
          <w:p w14:paraId="1ABB5C99" w14:textId="77777777" w:rsidR="00555E9D" w:rsidRDefault="00000000">
            <w:pPr>
              <w:jc w:val="center"/>
            </w:pPr>
            <w:r>
              <w:t>Exceeds Target</w:t>
            </w:r>
          </w:p>
        </w:tc>
      </w:tr>
      <w:tr w:rsidR="00555E9D" w14:paraId="729E5BEB" w14:textId="77777777">
        <w:trPr>
          <w:jc w:val="center"/>
        </w:trPr>
        <w:tc>
          <w:tcPr>
            <w:tcW w:w="2340" w:type="dxa"/>
            <w:shd w:val="clear" w:color="auto" w:fill="F8FAFC"/>
          </w:tcPr>
          <w:p w14:paraId="37075FC3" w14:textId="77777777" w:rsidR="00555E9D" w:rsidRDefault="00000000">
            <w:r>
              <w:t>Average Query Latency</w:t>
            </w:r>
          </w:p>
        </w:tc>
        <w:tc>
          <w:tcPr>
            <w:tcW w:w="2340" w:type="dxa"/>
            <w:shd w:val="clear" w:color="auto" w:fill="F8FAFC"/>
          </w:tcPr>
          <w:p w14:paraId="30F19259" w14:textId="77777777" w:rsidR="00555E9D" w:rsidRDefault="00000000">
            <w:pPr>
              <w:jc w:val="center"/>
            </w:pPr>
            <w:r>
              <w:t>&lt; 2.5 ms</w:t>
            </w:r>
          </w:p>
        </w:tc>
        <w:tc>
          <w:tcPr>
            <w:tcW w:w="2340" w:type="dxa"/>
            <w:shd w:val="clear" w:color="auto" w:fill="F8FAFC"/>
          </w:tcPr>
          <w:p w14:paraId="3E881BAD" w14:textId="77777777" w:rsidR="00555E9D" w:rsidRDefault="00000000">
            <w:pPr>
              <w:jc w:val="center"/>
            </w:pPr>
            <w:r>
              <w:t>&lt; 100.0 ms</w:t>
            </w:r>
          </w:p>
        </w:tc>
        <w:tc>
          <w:tcPr>
            <w:tcW w:w="2340" w:type="dxa"/>
            <w:shd w:val="clear" w:color="auto" w:fill="F8FAFC"/>
          </w:tcPr>
          <w:p w14:paraId="069A904C" w14:textId="77777777" w:rsidR="00555E9D" w:rsidRDefault="00000000">
            <w:pPr>
              <w:jc w:val="center"/>
            </w:pPr>
            <w:r>
              <w:t>Real-Time (&lt; 3ms)</w:t>
            </w:r>
          </w:p>
        </w:tc>
      </w:tr>
      <w:tr w:rsidR="00555E9D" w14:paraId="5470EB84" w14:textId="77777777">
        <w:trPr>
          <w:jc w:val="center"/>
        </w:trPr>
        <w:tc>
          <w:tcPr>
            <w:tcW w:w="2340" w:type="dxa"/>
          </w:tcPr>
          <w:p w14:paraId="40393BEF" w14:textId="77777777" w:rsidR="00555E9D" w:rsidRDefault="00000000">
            <w:r>
              <w:t>Arabic Preprocessing Speed</w:t>
            </w:r>
          </w:p>
        </w:tc>
        <w:tc>
          <w:tcPr>
            <w:tcW w:w="2340" w:type="dxa"/>
          </w:tcPr>
          <w:p w14:paraId="6EBD1983" w14:textId="77777777" w:rsidR="00555E9D" w:rsidRDefault="00000000">
            <w:pPr>
              <w:jc w:val="center"/>
            </w:pPr>
            <w:r>
              <w:t>&lt; 0.1 ms/query</w:t>
            </w:r>
          </w:p>
        </w:tc>
        <w:tc>
          <w:tcPr>
            <w:tcW w:w="2340" w:type="dxa"/>
          </w:tcPr>
          <w:p w14:paraId="6788A0B0" w14:textId="77777777" w:rsidR="00555E9D" w:rsidRDefault="00000000">
            <w:pPr>
              <w:jc w:val="center"/>
            </w:pPr>
            <w:r>
              <w:t>Real-Time</w:t>
            </w:r>
          </w:p>
        </w:tc>
        <w:tc>
          <w:tcPr>
            <w:tcW w:w="2340" w:type="dxa"/>
          </w:tcPr>
          <w:p w14:paraId="7F896191" w14:textId="77777777" w:rsidR="00555E9D" w:rsidRDefault="00000000">
            <w:pPr>
              <w:jc w:val="center"/>
            </w:pPr>
            <w:r>
              <w:t>Passed</w:t>
            </w:r>
          </w:p>
        </w:tc>
      </w:tr>
      <w:tr w:rsidR="00555E9D" w14:paraId="7F413B7A" w14:textId="77777777">
        <w:trPr>
          <w:jc w:val="center"/>
        </w:trPr>
        <w:tc>
          <w:tcPr>
            <w:tcW w:w="2340" w:type="dxa"/>
            <w:shd w:val="clear" w:color="auto" w:fill="F8FAFC"/>
          </w:tcPr>
          <w:p w14:paraId="0B07F9E7" w14:textId="77777777" w:rsidR="00555E9D" w:rsidRDefault="00000000">
            <w:r>
              <w:t>Data Coverage</w:t>
            </w:r>
          </w:p>
        </w:tc>
        <w:tc>
          <w:tcPr>
            <w:tcW w:w="2340" w:type="dxa"/>
            <w:shd w:val="clear" w:color="auto" w:fill="F8FAFC"/>
          </w:tcPr>
          <w:p w14:paraId="4C0AC951" w14:textId="77777777" w:rsidR="00555E9D" w:rsidRDefault="00000000">
            <w:pPr>
              <w:jc w:val="center"/>
            </w:pPr>
            <w:r>
              <w:t>77 Entities / 766 Rules</w:t>
            </w:r>
          </w:p>
        </w:tc>
        <w:tc>
          <w:tcPr>
            <w:tcW w:w="2340" w:type="dxa"/>
            <w:shd w:val="clear" w:color="auto" w:fill="F8FAFC"/>
          </w:tcPr>
          <w:p w14:paraId="54D9FD52" w14:textId="77777777" w:rsidR="00555E9D" w:rsidRDefault="00000000">
            <w:pPr>
              <w:jc w:val="center"/>
            </w:pPr>
            <w:r>
              <w:t>Real Egyptian Data</w:t>
            </w:r>
          </w:p>
        </w:tc>
        <w:tc>
          <w:tcPr>
            <w:tcW w:w="2340" w:type="dxa"/>
            <w:shd w:val="clear" w:color="auto" w:fill="F8FAFC"/>
          </w:tcPr>
          <w:p w14:paraId="49D804E9" w14:textId="77777777" w:rsidR="00555E9D" w:rsidRDefault="00000000">
            <w:pPr>
              <w:jc w:val="center"/>
            </w:pPr>
            <w:r>
              <w:t>Verified</w:t>
            </w:r>
          </w:p>
        </w:tc>
      </w:tr>
    </w:tbl>
    <w:p w14:paraId="0493B98D" w14:textId="77777777" w:rsidR="00555E9D" w:rsidRDefault="00555E9D"/>
    <w:p w14:paraId="3241FE03" w14:textId="77777777" w:rsidR="00555E9D" w:rsidRDefault="00000000">
      <w:pPr>
        <w:spacing w:before="320"/>
      </w:pPr>
      <w:r>
        <w:rPr>
          <w:b/>
          <w:color w:val="0D9488"/>
          <w:sz w:val="32"/>
        </w:rPr>
        <w:t>6. Significance &amp; Contribution</w:t>
      </w:r>
    </w:p>
    <w:p w14:paraId="28BA7DE0" w14:textId="77777777" w:rsidR="00555E9D" w:rsidRDefault="00000000">
      <w:r>
        <w:rPr>
          <w:b/>
        </w:rPr>
        <w:t xml:space="preserve">1. Digital Policy Corpus: </w:t>
      </w:r>
      <w:r>
        <w:t>Transforms semi-structured policy sheets across 77 Egyptian entities into a queryable knowledge system.</w:t>
      </w:r>
    </w:p>
    <w:p w14:paraId="157BCA7A" w14:textId="77777777" w:rsidR="00555E9D" w:rsidRDefault="00000000">
      <w:r>
        <w:rPr>
          <w:b/>
        </w:rPr>
        <w:t xml:space="preserve">2. Bilingual Policy Search: </w:t>
      </w:r>
      <w:r>
        <w:t>Enables seamless query processing in both Arabic and English.</w:t>
      </w:r>
    </w:p>
    <w:p w14:paraId="49136477" w14:textId="77777777" w:rsidR="00555E9D" w:rsidRDefault="00000000">
      <w:r>
        <w:rPr>
          <w:b/>
        </w:rPr>
        <w:t xml:space="preserve">3. Instant Verification: </w:t>
      </w:r>
      <w:r>
        <w:t>Reduces pre-dispensing verification times from minutes to sub-millisecond retrieval.</w:t>
      </w:r>
    </w:p>
    <w:p w14:paraId="08020146" w14:textId="77777777" w:rsidR="00555E9D" w:rsidRDefault="00000000">
      <w:r>
        <w:rPr>
          <w:b/>
        </w:rPr>
        <w:t xml:space="preserve">4. Decision Support Prototype: </w:t>
      </w:r>
      <w:r>
        <w:t>Demonstrates vector-space retrieval models in pharmacy workflow decision support.</w:t>
      </w:r>
    </w:p>
    <w:sectPr w:rsidR="00555E9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946443">
    <w:abstractNumId w:val="8"/>
  </w:num>
  <w:num w:numId="2" w16cid:durableId="1390493088">
    <w:abstractNumId w:val="6"/>
  </w:num>
  <w:num w:numId="3" w16cid:durableId="1836140196">
    <w:abstractNumId w:val="5"/>
  </w:num>
  <w:num w:numId="4" w16cid:durableId="1531457147">
    <w:abstractNumId w:val="4"/>
  </w:num>
  <w:num w:numId="5" w16cid:durableId="2079086626">
    <w:abstractNumId w:val="7"/>
  </w:num>
  <w:num w:numId="6" w16cid:durableId="1338313927">
    <w:abstractNumId w:val="3"/>
  </w:num>
  <w:num w:numId="7" w16cid:durableId="697319081">
    <w:abstractNumId w:val="2"/>
  </w:num>
  <w:num w:numId="8" w16cid:durableId="2030837522">
    <w:abstractNumId w:val="1"/>
  </w:num>
  <w:num w:numId="9" w16cid:durableId="178284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E9D"/>
    <w:rsid w:val="008045EE"/>
    <w:rsid w:val="00AA1D8D"/>
    <w:rsid w:val="00B47730"/>
    <w:rsid w:val="00CB0664"/>
    <w:rsid w:val="00FC693F"/>
    <w:rsid w:val="00FF5D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0DD89"/>
  <w14:defaultImageDpi w14:val="300"/>
  <w15:docId w15:val="{779378BE-0F24-440E-A432-5B0910FC8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F17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عمر علاء عمر محمد ظلط</cp:lastModifiedBy>
  <cp:revision>2</cp:revision>
  <dcterms:created xsi:type="dcterms:W3CDTF">2013-12-23T23:15:00Z</dcterms:created>
  <dcterms:modified xsi:type="dcterms:W3CDTF">2026-07-26T21:19:00Z</dcterms:modified>
  <cp:category/>
</cp:coreProperties>
</file>