
<file path=[Content_Types].xml><?xml version="1.0" encoding="utf-8"?>
<Types xmlns="http://schemas.openxmlformats.org/package/2006/content-types">
  <Default Extension="dat" ContentType="application/octet-stream"/>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1907"/>
      </w:tblGrid>
      <w:tr>
        <w:trPr>
          <w:trHeight w:val="13890" w:hRule="exact"/>
          <w:cantSplit/>
        </w:trPr>
        <w:tc>
          <w:tcPr>
            <w:tcW w:type="dxa" w:w="11906"/>
            <w:shd w:val="clear" w:fill="0E2745"/>
            <w:tcMar>
              <w:top w:w="0" w:type="dxa"/>
              <w:bottom w:w="0" w:type="dxa"/>
              <w:left w:w="1247" w:type="dxa"/>
              <w:right w:w="1247" w:type="dxa"/>
            </w:tcMar>
          </w:tcPr>
          <w:p>
            <w:pPr>
              <w:spacing w:before="1480" w:after="0" w:line="240" w:lineRule="auto"/>
            </w:pPr>
            <w:r>
              <w:drawing>
                <wp:inline xmlns:a="http://schemas.openxmlformats.org/drawingml/2006/main" xmlns:pic="http://schemas.openxmlformats.org/drawingml/2006/picture">
                  <wp:extent cx="1620000" cy="506250"/>
                  <wp:docPr id="1" name="Picture 1"/>
                  <wp:cNvGraphicFramePr>
                    <a:graphicFrameLocks noChangeAspect="1"/>
                  </wp:cNvGraphicFramePr>
                  <a:graphic>
                    <a:graphicData uri="http://schemas.openxmlformats.org/drawingml/2006/picture">
                      <pic:pic>
                        <pic:nvPicPr>
                          <pic:cNvPr id="0" name="synergi-logo-white.png"/>
                          <pic:cNvPicPr/>
                        </pic:nvPicPr>
                        <pic:blipFill>
                          <a:blip r:embed="rId11"/>
                          <a:stretch>
                            <a:fillRect/>
                          </a:stretch>
                        </pic:blipFill>
                        <pic:spPr>
                          <a:xfrm>
                            <a:off x="0" y="0"/>
                            <a:ext cx="1620000" cy="506250"/>
                          </a:xfrm>
                          <a:prstGeom prst="rect"/>
                        </pic:spPr>
                      </pic:pic>
                    </a:graphicData>
                  </a:graphic>
                </wp:inline>
              </w:drawing>
            </w:r>
          </w:p>
          <w:p>
            <w:pPr>
              <w:spacing w:before="3000" w:after="40" w:line="264" w:lineRule="auto"/>
            </w:pPr>
            <w:r>
              <w:rPr>
                <w:rFonts w:ascii="Montserrat" w:hAnsi="Montserrat" w:cs="Montserrat" w:eastAsia="Montserrat"/>
                <w:b w:val="0"/>
                <w:color w:val="C8D6E5"/>
                <w:sz w:val="24"/>
              </w:rPr>
              <w:t>SYNERGI</w:t>
            </w:r>
          </w:p>
          <w:p>
            <w:pPr>
              <w:spacing w:before="0" w:after="160" w:line="264" w:lineRule="auto"/>
            </w:pPr>
            <w:r>
              <w:rPr>
                <w:rFonts w:ascii="Montserrat" w:hAnsi="Montserrat" w:cs="Montserrat" w:eastAsia="Montserrat"/>
                <w:b/>
                <w:color w:val="FFFFFF"/>
                <w:sz w:val="52"/>
              </w:rPr>
              <w:t>Website Rebuild Brief</w:t>
            </w:r>
          </w:p>
          <w:p>
            <w:pPr>
              <w:spacing w:before="0" w:after="280" w:line="264" w:lineRule="auto"/>
            </w:pPr>
            <w:r>
              <w:rPr>
                <w:rFonts w:ascii="Montserrat" w:hAnsi="Montserrat" w:cs="Montserrat" w:eastAsia="Montserrat"/>
                <w:b w:val="0"/>
                <w:color w:val="C8D6E5"/>
                <w:sz w:val="24"/>
              </w:rPr>
              <w:t>Prepared for the Chief Operating Officer</w:t>
            </w:r>
          </w:p>
          <w:p>
            <w:pPr>
              <w:spacing w:before="200" w:after="0" w:line="264" w:lineRule="auto"/>
            </w:pPr>
            <w:r>
              <w:rPr>
                <w:rFonts w:ascii="Montserrat" w:hAnsi="Montserrat" w:cs="Montserrat" w:eastAsia="Montserrat"/>
                <w:b w:val="0"/>
                <w:color w:val="C8D6E5"/>
                <w:sz w:val="18"/>
              </w:rPr>
              <w:t>23 August 2026    ·    rev. #01</w:t>
            </w:r>
          </w:p>
        </w:tc>
      </w:tr>
      <w:tr>
        <w:trPr>
          <w:trHeight w:val="2154" w:hRule="exact"/>
          <w:cantSplit/>
        </w:trPr>
        <w:tc>
          <w:tcPr>
            <w:tcW w:type="dxa" w:w="11906"/>
            <w:shd w:val="clear" w:fill="0E2745"/>
            <w:vAlign w:val="bottom"/>
            <w:tcMar>
              <w:top w:w="0" w:type="dxa"/>
              <w:bottom w:w="0" w:type="dxa"/>
              <w:left w:w="1247" w:type="dxa"/>
              <w:right w:w="1247" w:type="dxa"/>
            </w:tcMar>
          </w:tcPr>
          <w:p>
            <w:pPr>
              <w:spacing w:before="0" w:after="800" w:line="288" w:lineRule="auto"/>
            </w:pPr>
            <w:r>
              <w:rPr>
                <w:rFonts w:ascii="Montserrat" w:hAnsi="Montserrat" w:cs="Montserrat" w:eastAsia="Montserrat"/>
                <w:b w:val="0"/>
                <w:color w:val="C8D6E5"/>
                <w:sz w:val="14"/>
              </w:rPr>
              <w:t>This document is confidential and prepared for the exclusive use of Synergi. It may not be reproduced or distributed without Synergi's written consent.</w:t>
            </w:r>
          </w:p>
        </w:tc>
      </w:tr>
    </w:tbl>
    <w:p>
      <w:pPr>
        <w:spacing w:before="0" w:after="0" w:line="20" w:lineRule="exact"/>
        <w:sectPr>
          <w:headerReference w:type="default" r:id="rId9"/>
          <w:footerReference w:type="default" r:id="rId10"/>
          <w:pgSz w:w="11906" w:h="16838"/>
          <w:pgMar w:top="0" w:right="0" w:bottom="0" w:left="0" w:header="0" w:footer="0" w:gutter="0"/>
          <w:cols w:space="720"/>
          <w:docGrid w:linePitch="360"/>
        </w:sectPr>
        <w:shd w:val="clear" w:fill="0E2745"/>
      </w:pPr>
      <w:r>
        <w:rPr>
          <w:rFonts w:ascii="Montserrat" w:hAnsi="Montserrat" w:cs="Montserrat" w:eastAsia="Montserrat"/>
          <w:b w:val="0"/>
          <w:color w:val="0E2745"/>
          <w:sz w:val="16"/>
        </w:rPr>
        <w:t xml:space="preserve"> </w:t>
      </w:r>
    </w:p>
    <w:p>
      <w:pPr>
        <w:spacing w:before="0" w:after="0" w:line="20" w:lineRule="exact"/>
        <w:sectPr>
          <w:headerReference w:type="default" r:id="rId12"/>
          <w:footerReference w:type="default" r:id="rId13"/>
          <w:pgSz w:w="11906" w:h="16838"/>
          <w:pgMar w:top="1361" w:right="1247" w:bottom="1020" w:left="1247" w:header="567" w:footer="454" w:gutter="0"/>
          <w:cols w:space="720"/>
          <w:docGrid w:linePitch="360"/>
        </w:sectPr>
        <w:shd w:val="clear" w:fill="0E2745"/>
      </w:pPr>
      <w:r>
        <w:rPr>
          <w:rFonts w:ascii="Montserrat" w:hAnsi="Montserrat" w:cs="Montserrat" w:eastAsia="Montserrat"/>
          <w:b w:val="0"/>
          <w:color w:val="0E2745"/>
          <w:sz w:val="16"/>
        </w:rPr>
        <w:t xml:space="preserve"> </w:t>
      </w:r>
    </w:p>
    <w:p>
      <w:pPr>
        <w:pStyle w:val="Heading2"/>
      </w:pPr>
      <w:r>
        <w:t>Document control</w:t>
      </w:r>
    </w:p>
    <w:tbl>
      <w:tblPr>
        <w:tblW w:type="auto" w:w="0"/>
        <w:tblLayout w:type="fixed"/>
        <w:tblLook w:firstColumn="1" w:firstRow="1" w:lastColumn="0" w:lastRow="0" w:noHBand="0" w:noVBand="1" w:val="04A0"/>
        <w:tblLayout w:type="fixed"/>
      </w:tblPr>
      <w:tblGrid>
        <w:gridCol w:w="1417"/>
        <w:gridCol w:w="3175"/>
        <w:gridCol w:w="1587"/>
        <w:gridCol w:w="3231"/>
      </w:tblGrid>
      <w:tr>
        <w:tc>
          <w:tcPr>
            <w:tcW w:type="dxa" w:w="1417"/>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A0A0A3"/>
                <w:sz w:val="18"/>
              </w:rPr>
              <w:t>Revision</w:t>
            </w:r>
          </w:p>
        </w:tc>
        <w:tc>
          <w:tcPr>
            <w:tcW w:type="dxa" w:w="3175"/>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1A1A1A"/>
                <w:sz w:val="18"/>
              </w:rPr>
              <w:t>#01</w:t>
            </w:r>
          </w:p>
        </w:tc>
        <w:tc>
          <w:tcPr>
            <w:tcW w:type="dxa" w:w="1587"/>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A0A0A3"/>
                <w:sz w:val="18"/>
              </w:rPr>
              <w:t>Date</w:t>
            </w:r>
          </w:p>
        </w:tc>
        <w:tc>
          <w:tcPr>
            <w:tcW w:type="dxa" w:w="3231"/>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1A1A1A"/>
                <w:sz w:val="18"/>
              </w:rPr>
              <w:t>23 August 2026</w:t>
            </w:r>
          </w:p>
        </w:tc>
      </w:tr>
      <w:tr>
        <w:tc>
          <w:tcPr>
            <w:tcW w:type="dxa" w:w="1417"/>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A0A0A3"/>
                <w:sz w:val="18"/>
              </w:rPr>
              <w:t>Prepared by</w:t>
            </w:r>
          </w:p>
        </w:tc>
        <w:tc>
          <w:tcPr>
            <w:tcW w:type="dxa" w:w="3175"/>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1A1A1A"/>
                <w:sz w:val="18"/>
              </w:rPr>
              <w:t>M. David</w:t>
            </w:r>
          </w:p>
        </w:tc>
        <w:tc>
          <w:tcPr>
            <w:tcW w:type="dxa" w:w="1587"/>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A0A0A3"/>
                <w:sz w:val="18"/>
              </w:rPr>
              <w:t>Reviewed by</w:t>
            </w:r>
          </w:p>
        </w:tc>
        <w:tc>
          <w:tcPr>
            <w:tcW w:type="dxa" w:w="3231"/>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1A1A1A"/>
                <w:sz w:val="18"/>
              </w:rPr>
              <w:t>Not yet assigned</w:t>
            </w:r>
          </w:p>
        </w:tc>
      </w:tr>
      <w:tr>
        <w:tc>
          <w:tcPr>
            <w:tcW w:type="dxa" w:w="1417"/>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A0A0A3"/>
                <w:sz w:val="18"/>
              </w:rPr>
              <w:t>Status</w:t>
            </w:r>
          </w:p>
        </w:tc>
        <w:tc>
          <w:tcPr>
            <w:tcW w:type="dxa" w:w="3175"/>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1A1A1A"/>
                <w:sz w:val="18"/>
              </w:rPr>
              <w:t>Draft</w:t>
            </w:r>
          </w:p>
        </w:tc>
        <w:tc>
          <w:tcPr>
            <w:tcW w:type="dxa" w:w="1587"/>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A0A0A3"/>
                <w:sz w:val="18"/>
              </w:rPr>
              <w:t>Prepared for</w:t>
            </w:r>
          </w:p>
        </w:tc>
        <w:tc>
          <w:tcPr>
            <w:tcW w:type="dxa" w:w="3231"/>
            <w:tcBorders>
              <w:bottom w:val="single" w:sz="2" w:color="D8DBE0"/>
            </w:tcBorders>
            <w:tcMar>
              <w:top w:w="45" w:type="dxa"/>
              <w:bottom w:w="45" w:type="dxa"/>
              <w:left w:w="0" w:type="dxa"/>
              <w:right w:w="0" w:type="dxa"/>
            </w:tcMar>
          </w:tcPr>
          <w:p>
            <w:pPr>
              <w:spacing w:before="60" w:after="60" w:line="240" w:lineRule="auto"/>
            </w:pPr>
            <w:r/>
            <w:r>
              <w:rPr>
                <w:rFonts w:ascii="Montserrat" w:hAnsi="Montserrat" w:cs="Montserrat" w:eastAsia="Montserrat"/>
                <w:b w:val="0"/>
                <w:color w:val="1A1A1A"/>
                <w:sz w:val="18"/>
              </w:rPr>
              <w:t>Chief Operating Officer, Synergi</w:t>
            </w:r>
          </w:p>
        </w:tc>
      </w:tr>
    </w:tbl>
    <w:p>
      <w:pPr>
        <w:spacing w:before="0" w:after="0" w:line="80" w:lineRule="exact"/>
      </w:pPr>
    </w:p>
    <w:p>
      <w:pPr>
        <w:pStyle w:val="Heading1"/>
      </w:pPr>
      <w:r>
        <w:t>The decision in brief</w:t>
      </w:r>
    </w:p>
    <w:p>
      <w:pPr>
        <w:pStyle w:val="BodyText"/>
      </w:pPr>
      <w:r>
        <w:t>We are rebuilding synergi.ae on WordPress with a website theme of our own, and removing the page-builder software that currently runs the site. The decision is documented, the build is planned in ten controlled stages, and no code has been written yet. That is deliberate: everything below was put in place first so the build cannot go wrong quietly.</w:t>
      </w:r>
    </w:p>
    <w:p>
      <w:pPr>
        <w:pStyle w:val="BodyText"/>
      </w:pPr>
      <w:r>
        <w:t>The build takes three weeks, runs on a copy of the site until launch, and needs no new software subscriptions. It retires roughly USD 240 a year in plugin licences, is expected to cut the homepage from 6.45 MB to under 1 MB, and gives our own team full control of the design. Web addresses do not change, so search rankings are not put at risk ahead of the planned domain move. Before the first stage starts we need two security items closed on the live site and the sign-offs listed at the end of this brief.</w:t>
      </w:r>
    </w:p>
    <w:p>
      <w:pPr>
        <w:pStyle w:val="Heading1"/>
      </w:pPr>
      <w:r>
        <w:t>Where the site stands today</w:t>
      </w:r>
    </w:p>
    <w:p>
      <w:pPr>
        <w:pStyle w:val="BodyText"/>
      </w:pPr>
      <w:r>
        <w:t>Every page on synergi.ae is assembled in a visual page-builder called Elementor. Three consequences follow. The site is heavy: the homepage sends 6.45 MB across 111 requests, and the weight comes from the builder and its add-on plugins rather than from our hosting, which responds quickly. Editing is slow: the homepage alone holds 88 builder widgets, so a colour change means finding that colour in every widget that uses it. And custom work fights the builder: our own developer had to write a workaround plugin to ship the new design, because it could not be built from the builder's widgets. That plugin is the clearest evidence in this whole review, and it was written in-house.</w:t>
      </w:r>
    </w:p>
    <w:p>
      <w:pPr>
        <w:pStyle w:val="BodyText"/>
      </w:pPr>
      <w:r>
        <w:t>The technical review also surfaced two security matters on the live site: a pirated licence-bypass plugin whose code forwards template requests to an unrelated third party and blocks security updates to the builder, and a development tool able to execute code on the server and produce password-free administrator logins, running where its own documentation says it should not. The review found no sign of compromise; all four user accounts belong to staff or a known tool, and no foreign files were found in the uploads area. Both items are being dealt with this week, separately from the rebuild, starting with a full malware scan.</w:t>
      </w:r>
    </w:p>
    <w:p>
      <w:pPr>
        <w:pStyle w:val="Heading1"/>
      </w:pPr>
      <w:r>
        <w:t>What we decided, and why</w:t>
      </w:r>
    </w:p>
    <w:p>
      <w:pPr>
        <w:pStyle w:val="BodyText"/>
      </w:pPr>
      <w:r>
        <w:t>We keep WordPress. The content, the blog workflow, the search-engine tooling and the team's knowledge all stay exactly where they are. What goes is the page-builder layer on top of it.</w:t>
      </w:r>
    </w:p>
    <w:p>
      <w:pPr>
        <w:pStyle w:val="BodyText"/>
      </w:pPr>
      <w:r>
        <w:t>In its place we build our own theme, following one rule: everything that describes how the site looks lives in code files under version control, and everything a person writes lives in WordPress, where the team edits it as they do today. Designed pages such as the homepage and the five service lines expose their text as fill-in fields, so anyone can change the words and nobody can break the layout by accident. Changing the design itself becomes a developer task with a reviewable change history, which is what stops the site degrading one convenient shortcut at a time.</w:t>
      </w:r>
    </w:p>
    <w:p>
      <w:pPr>
        <w:pStyle w:val="BodyText"/>
      </w:pPr>
      <w:r>
        <w:t>This is not an experiment. Our WTC Saudi website already runs on exactly this architecture, in English and Arabic, maintained by the same team. The rebuild applies a pattern we have already shipped.</w:t>
      </w:r>
    </w:p>
    <w:p>
      <w:pPr>
        <w:pStyle w:val="Caption"/>
        <w:keepNext/>
      </w:pPr>
      <w:r>
        <w:t>Table 1 — Who edits what after launch</w:t>
      </w:r>
    </w:p>
    <w:tbl>
      <w:tblPr>
        <w:tblW w:type="auto" w:w="0"/>
        <w:tblLayout w:type="fixed"/>
        <w:tblLook w:firstColumn="1" w:firstRow="1" w:lastColumn="0" w:lastRow="0" w:noHBand="0" w:noVBand="1" w:val="04A0"/>
        <w:tblLayout w:type="fixed"/>
      </w:tblPr>
      <w:tblGrid>
        <w:gridCol w:w="3515"/>
        <w:gridCol w:w="2381"/>
        <w:gridCol w:w="3515"/>
      </w:tblGrid>
      <w:tr>
        <w:trPr>
          <w:cantSplit/>
          <w:tblHeader w:val="true"/>
        </w:trPr>
        <w:tc>
          <w:tcPr>
            <w:tcW w:type="dxa" w:w="3515"/>
            <w:tcMar>
              <w:top w:w="85" w:type="dxa"/>
              <w:bottom w:w="85" w:type="dxa"/>
              <w:left w:w="56" w:type="dxa"/>
              <w:right w:w="56" w:type="dxa"/>
            </w:tcMar>
            <w:tcBorders>
              <w:bottom w:val="single" w:sz="8" w:color="1D4F89"/>
            </w:tcBorders>
          </w:tcPr>
          <w:p>
            <w:pPr>
              <w:spacing w:before="0" w:after="0" w:line="240" w:lineRule="auto"/>
              <w:keepNext/>
            </w:pPr>
            <w:r/>
            <w:r>
              <w:rPr>
                <w:rFonts w:ascii="Montserrat" w:hAnsi="Montserrat" w:cs="Montserrat" w:eastAsia="Montserrat"/>
                <w:b w:val="0"/>
                <w:color w:val="1D4F89"/>
                <w:sz w:val="19"/>
              </w:rPr>
              <w:t>Task</w:t>
            </w:r>
          </w:p>
        </w:tc>
        <w:tc>
          <w:tcPr>
            <w:tcW w:type="dxa" w:w="2381"/>
            <w:tcMar>
              <w:top w:w="85" w:type="dxa"/>
              <w:bottom w:w="85" w:type="dxa"/>
              <w:left w:w="56" w:type="dxa"/>
              <w:right w:w="56" w:type="dxa"/>
            </w:tcMar>
            <w:tcBorders>
              <w:bottom w:val="single" w:sz="8" w:color="1D4F89"/>
            </w:tcBorders>
          </w:tcPr>
          <w:p>
            <w:pPr>
              <w:spacing w:before="0" w:after="0" w:line="240" w:lineRule="auto"/>
              <w:keepNext/>
            </w:pPr>
            <w:r/>
            <w:r>
              <w:rPr>
                <w:rFonts w:ascii="Montserrat" w:hAnsi="Montserrat" w:cs="Montserrat" w:eastAsia="Montserrat"/>
                <w:b w:val="0"/>
                <w:color w:val="1D4F89"/>
                <w:sz w:val="19"/>
              </w:rPr>
              <w:t>Who does it</w:t>
            </w:r>
          </w:p>
        </w:tc>
        <w:tc>
          <w:tcPr>
            <w:tcW w:type="dxa" w:w="3515"/>
            <w:tcMar>
              <w:top w:w="85" w:type="dxa"/>
              <w:bottom w:w="85" w:type="dxa"/>
              <w:left w:w="56" w:type="dxa"/>
              <w:right w:w="56" w:type="dxa"/>
            </w:tcMar>
            <w:tcBorders>
              <w:bottom w:val="single" w:sz="8" w:color="1D4F89"/>
            </w:tcBorders>
          </w:tcPr>
          <w:p>
            <w:pPr>
              <w:spacing w:before="0" w:after="0" w:line="240" w:lineRule="auto"/>
              <w:keepNext/>
            </w:pPr>
            <w:r/>
            <w:r>
              <w:rPr>
                <w:rFonts w:ascii="Montserrat" w:hAnsi="Montserrat" w:cs="Montserrat" w:eastAsia="Montserrat"/>
                <w:b w:val="0"/>
                <w:color w:val="1D4F89"/>
                <w:sz w:val="19"/>
              </w:rPr>
              <w:t>How</w:t>
            </w:r>
          </w:p>
        </w:tc>
      </w:tr>
      <w:tr>
        <w:trPr>
          <w:cantSplit/>
        </w:trPr>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Write or edit a blog post</w:t>
            </w:r>
          </w:p>
        </w:tc>
        <w:tc>
          <w:tcPr>
            <w:tcW w:type="dxa" w:w="2381"/>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Marketing</w:t>
            </w:r>
          </w:p>
        </w:tc>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Normal WordPress editor</w:t>
            </w:r>
          </w:p>
        </w:tc>
      </w:tr>
      <w:tr>
        <w:trPr>
          <w:cantSplit/>
        </w:trPr>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Change the words on a designed page</w:t>
            </w:r>
          </w:p>
        </w:tc>
        <w:tc>
          <w:tcPr>
            <w:tcW w:type="dxa" w:w="2381"/>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Anyone with access</w:t>
            </w:r>
          </w:p>
        </w:tc>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Fill-in fields in the admin</w:t>
            </w:r>
          </w:p>
        </w:tc>
      </w:tr>
      <w:tr>
        <w:trPr>
          <w:cantSplit/>
        </w:trPr>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Add a simple page</w:t>
            </w:r>
          </w:p>
        </w:tc>
        <w:tc>
          <w:tcPr>
            <w:tcW w:type="dxa" w:w="2381"/>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Marketing</w:t>
            </w:r>
          </w:p>
        </w:tc>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Normal WordPress editor</w:t>
            </w:r>
          </w:p>
        </w:tc>
      </w:tr>
      <w:tr>
        <w:trPr>
          <w:cantSplit/>
        </w:trPr>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Change the design or add a new section</w:t>
            </w:r>
          </w:p>
        </w:tc>
        <w:tc>
          <w:tcPr>
            <w:tcW w:type="dxa" w:w="2381"/>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Developer</w:t>
            </w:r>
          </w:p>
        </w:tc>
        <w:tc>
          <w:tcPr>
            <w:tcW w:type="dxa" w:w="3515"/>
            <w:tcMar>
              <w:top w:w="85" w:type="dxa"/>
              <w:bottom w:w="85" w:type="dxa"/>
              <w:left w:w="56" w:type="dxa"/>
              <w:right w:w="56" w:type="dxa"/>
            </w:tcMar>
          </w:tcPr>
          <w:p>
            <w:pPr>
              <w:spacing w:before="0" w:after="0" w:line="240" w:lineRule="auto"/>
              <w:keepNext/>
            </w:pPr>
            <w:r/>
            <w:r>
              <w:rPr>
                <w:rFonts w:ascii="Montserrat" w:hAnsi="Montserrat" w:cs="Montserrat" w:eastAsia="Montserrat"/>
                <w:b w:val="0"/>
                <w:color w:val="1A1A1A"/>
                <w:sz w:val="19"/>
              </w:rPr>
              <w:t>Code change, reviewed and reversible</w:t>
            </w:r>
          </w:p>
        </w:tc>
      </w:tr>
    </w:tbl>
    <w:p>
      <w:pPr>
        <w:spacing w:before="0" w:after="0" w:line="120" w:lineRule="exact"/>
        <w:keepNext/>
      </w:pPr>
    </w:p>
    <w:p>
      <w:pPr>
        <w:pStyle w:val="Heading1"/>
      </w:pPr>
      <w:r>
        <w:t>What it costs</w:t>
      </w:r>
    </w:p>
    <w:p>
      <w:pPr>
        <w:pStyle w:val="BodyText"/>
      </w:pPr>
      <w:r>
        <w:t>Nothing new. The theme is built by our own team with no paid components, and the editable fields are built in-house rather than licensed. The builder stack it replaces costs roughly USD 240 a year across four licences, and that figure is a floor because two of the exact subscription tiers are unconfirmed. One open choice does carry a price: during the three-week build, the old site's builder-made pages cannot be edited unless we buy one final year of the builder's licence at USD 99. If marketing can hold changes to blog posts and plain text for those three weeks, the licence is unnecessary.</w:t>
      </w:r>
    </w:p>
    <w:p>
      <w:pPr>
        <w:pStyle w:val="Heading1"/>
      </w:pPr>
      <w:r>
        <w:t>How we keep the build safe</w:t>
      </w:r>
    </w:p>
    <w:p>
      <w:pPr>
        <w:pStyle w:val="BodyText"/>
      </w:pPr>
      <w:r>
        <w:t>Nothing is built on the live site. The first stage creates a full copy of the site to build on, puts the theme under version control, and proves the backup actually restores; no other work starts until that exists. The build then runs through ten stages, each with a checklist that must pass before the next begins and a rollback path if it does not. At launch the old system stays installed for at least a week, so the site can be returned to its current state in minutes. The move to the synergibpo.com domain remains a separate, later event: the redesign launches on the current domain and settles for six to eight weeks first, so the effect of each change stays measurable.</w:t>
      </w:r>
    </w:p>
    <w:p>
      <w:pPr>
        <w:pStyle w:val="Heading1"/>
      </w:pPr>
      <w:r>
        <w:t>What this does not close off</w:t>
      </w:r>
    </w:p>
    <w:p>
      <w:pPr>
        <w:pStyle w:val="BodyText"/>
      </w:pPr>
      <w:r>
        <w:t>The rebuild keeps every door open. Google Tag Manager, Analytics and Search Console are supported by design, loaded so they no longer slow the pages. Website forms keep connecting to CRM and automation tools through the integration plugin we already run, and new features remain a plugin away, gated by a short checklist so the site never re-accumulates the weight we are removing. Arabic is planned rather than hoped for: the theme is built right-to-left-ready from the first line of styling, English launches on schedule, and the Arabic edition follows the domain move as its own phase. Its real cost is translating roughly 26 pages of copy, not technology.</w:t>
      </w:r>
    </w:p>
    <w:p>
      <w:pPr>
        <w:pStyle w:val="Heading1"/>
      </w:pPr>
      <w:r>
        <w:t>Decisions needed before the build starts</w:t>
      </w:r>
    </w:p>
    <w:p>
      <w:pPr>
        <w:pStyle w:val="BodyText"/>
      </w:pPr>
      <w:r>
        <w:t>Four things, one of them urgent. First, an owner and a date this week for the two security items above. Second, the licence choice: a three-week hold on editing builder-made pages, or one final year of the builder licence at USD 99. Third, which of the two approved design prototypes is final, since design work cannot start until one is frozen. Fourth, a set of nine site housekeeping decisions held by the web team, of which one should not wait: a draft version of the new homepage is currently published and visible to search engines, and should be unpublished today.</w:t>
      </w:r>
    </w:p>
    <w:sectPr w:rsidR="00FC693F" w:rsidRPr="0006063C" w:rsidSect="00034616">
      <w:headerReference w:type="default" r:id="rId14"/>
      <w:footerReference w:type="default" r:id="rId15"/>
      <w:pgSz w:w="11906" w:h="16838"/>
      <w:pgMar w:top="1361" w:right="1247" w:bottom="1020"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ontserrat">
    <w:panose1 w:val="020B0504020202020204"/>
    <w:charset w:val="00"/>
    <w:family w:val="swiss"/>
    <w:pitch w:val="variable"/>
    <w:sig w:usb0="A00002EF" w:usb1="5000204B" w:usb2="00000000" w:usb3="00000000" w:csb0="00000097" w:csb1="00000000"/>
    <w:embedRegular r:id="rId1" w:fontKey="{721C7C7B-CF89-42BB-BFD3-5E76F21821DA}" w:subsetted="0"/>
    <w:embedBold r:id="rId2" w:fontKey="{972059A3-1DC3-42D7-A3F1-B4D75597C051}"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40" w:lineRule="exact"/>
      <w:pBdr>
        <w:bottom w:val="single" w:sz="4" w:space="4" w:color="D8DBE0"/>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5836"/>
      <w:gridCol w:w="3577"/>
    </w:tblGrid>
    <w:tr>
      <w:tc>
        <w:tcPr>
          <w:tcW w:type="dxa" w:w="5835"/>
        </w:tcPr>
        <w:p>
          <w:pPr>
            <w:spacing w:before="60" w:after="0" w:line="240" w:lineRule="auto"/>
          </w:pPr>
          <w:r>
            <w:rPr>
              <w:rFonts w:ascii="Montserrat" w:hAnsi="Montserrat" w:cs="Montserrat" w:eastAsia="Montserrat"/>
              <w:b w:val="0"/>
              <w:color w:val="1D4F89"/>
              <w:sz w:val="15"/>
            </w:rPr>
            <w:t>Confidential — Prepared exclusively for Synergi</w:t>
          </w:r>
        </w:p>
      </w:tc>
      <w:tc>
        <w:tcPr>
          <w:tcW w:type="dxa" w:w="3577"/>
        </w:tcPr>
        <w:p>
          <w:pPr>
            <w:spacing w:before="60" w:after="0" w:line="240" w:lineRule="auto"/>
            <w:jc w:val="right"/>
          </w:pPr>
          <w:fldSimple w:instr="PAGE">
            <w:r>
              <w:rPr>
                <w:rFonts w:ascii="Montserrat" w:hAnsi="Montserrat" w:cs="Montserrat"/>
                <w:sz w:val="15"/>
                <w:color w:val="A0A0A3"/>
              </w:rPr>
              <w:t>1</w:t>
            </w:r>
          </w:fldSimple>
          <w:r>
            <w:rPr>
              <w:rFonts w:ascii="Montserrat" w:hAnsi="Montserrat" w:cs="Montserrat" w:eastAsia="Montserrat"/>
              <w:b w:val="0"/>
              <w:color w:val="A0A0A3"/>
              <w:sz w:val="15"/>
            </w:rPr>
            <w:t xml:space="preserve"> of </w:t>
          </w:r>
          <w:fldSimple w:instr="NUMPAGES">
            <w:r>
              <w:rPr>
                <w:rFonts w:ascii="Montserrat" w:hAnsi="Montserrat" w:cs="Montserrat"/>
                <w:sz w:val="15"/>
                <w:color w:val="A0A0A3"/>
              </w:rPr>
              <w:t>1</w:t>
            </w:r>
          </w:fldSimple>
        </w:p>
      </w:tc>
    </w:tr>
    <w:tr>
      <w:tc>
        <w:tcPr>
          <w:tcW w:type="dxa" w:w="5835"/>
        </w:tcPr>
        <w:p>
          <w:pPr>
            <w:spacing w:before="20" w:after="0" w:line="240" w:lineRule="auto"/>
          </w:pPr>
          <w:r>
            <w:rPr>
              <w:rFonts w:ascii="Montserrat" w:hAnsi="Montserrat" w:cs="Montserrat" w:eastAsia="Montserrat"/>
              <w:b w:val="0"/>
              <w:color w:val="A0A0A3"/>
              <w:sz w:val="14"/>
            </w:rPr>
            <w:t>Silver Wave Tower, Office 803, Mina Street, P.O. Box 107062, Abu Dhabi (UAE)</w:t>
          </w:r>
        </w:p>
      </w:tc>
      <w:tc>
        <w:tcPr>
          <w:tcW w:type="dxa" w:w="3577"/>
        </w:tcPr>
        <w:p>
          <w:pPr>
            <w:spacing w:before="20" w:after="0" w:line="240" w:lineRule="auto"/>
            <w:jc w:val="right"/>
          </w:pPr>
          <w:r>
            <w:rPr>
              <w:rFonts w:ascii="Montserrat" w:hAnsi="Montserrat" w:cs="Montserrat" w:eastAsia="Montserrat"/>
              <w:b w:val="0"/>
              <w:color w:val="A0A0A3"/>
              <w:sz w:val="14"/>
            </w:rPr>
            <w:t>info@synergibpo.com | www.synergibpo.com</w:t>
          </w:r>
        </w:p>
      </w:tc>
    </w:tr>
  </w:tbl>
  <w:p>
    <w:pPr>
      <w:spacing w:before="0" w:after="0" w:line="40" w:lineRule="exac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40" w:lineRule="exact"/>
      <w:pBdr>
        <w:bottom w:val="single" w:sz="4" w:space="4" w:color="D8DBE0"/>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5836"/>
      <w:gridCol w:w="3577"/>
    </w:tblGrid>
    <w:tr>
      <w:tc>
        <w:tcPr>
          <w:tcW w:type="dxa" w:w="5835"/>
        </w:tcPr>
        <w:p>
          <w:pPr>
            <w:spacing w:before="60" w:after="0" w:line="240" w:lineRule="auto"/>
          </w:pPr>
          <w:r>
            <w:rPr>
              <w:rFonts w:ascii="Montserrat" w:hAnsi="Montserrat" w:cs="Montserrat" w:eastAsia="Montserrat"/>
              <w:b w:val="0"/>
              <w:color w:val="1D4F89"/>
              <w:sz w:val="15"/>
            </w:rPr>
            <w:t>Confidential — Prepared exclusively for Synergi</w:t>
          </w:r>
        </w:p>
      </w:tc>
      <w:tc>
        <w:tcPr>
          <w:tcW w:type="dxa" w:w="3577"/>
        </w:tcPr>
        <w:p>
          <w:pPr>
            <w:spacing w:before="60" w:after="0" w:line="240" w:lineRule="auto"/>
            <w:jc w:val="right"/>
          </w:pPr>
          <w:fldSimple w:instr="PAGE">
            <w:r>
              <w:rPr>
                <w:rFonts w:ascii="Montserrat" w:hAnsi="Montserrat" w:cs="Montserrat"/>
                <w:sz w:val="15"/>
                <w:color w:val="A0A0A3"/>
              </w:rPr>
              <w:t>1</w:t>
            </w:r>
          </w:fldSimple>
          <w:r>
            <w:rPr>
              <w:rFonts w:ascii="Montserrat" w:hAnsi="Montserrat" w:cs="Montserrat" w:eastAsia="Montserrat"/>
              <w:b w:val="0"/>
              <w:color w:val="A0A0A3"/>
              <w:sz w:val="15"/>
            </w:rPr>
            <w:t xml:space="preserve"> of </w:t>
          </w:r>
          <w:fldSimple w:instr="NUMPAGES">
            <w:r>
              <w:rPr>
                <w:rFonts w:ascii="Montserrat" w:hAnsi="Montserrat" w:cs="Montserrat"/>
                <w:sz w:val="15"/>
                <w:color w:val="A0A0A3"/>
              </w:rPr>
              <w:t>1</w:t>
            </w:r>
          </w:fldSimple>
        </w:p>
      </w:tc>
    </w:tr>
    <w:tr>
      <w:tc>
        <w:tcPr>
          <w:tcW w:type="dxa" w:w="5835"/>
        </w:tcPr>
        <w:p>
          <w:pPr>
            <w:spacing w:before="20" w:after="0" w:line="240" w:lineRule="auto"/>
          </w:pPr>
          <w:r>
            <w:rPr>
              <w:rFonts w:ascii="Montserrat" w:hAnsi="Montserrat" w:cs="Montserrat" w:eastAsia="Montserrat"/>
              <w:b w:val="0"/>
              <w:color w:val="A0A0A3"/>
              <w:sz w:val="14"/>
            </w:rPr>
            <w:t>Silver Wave Tower, Office 803, Mina Street, P.O. Box 107062, Abu Dhabi (UAE)</w:t>
          </w:r>
        </w:p>
      </w:tc>
      <w:tc>
        <w:tcPr>
          <w:tcW w:type="dxa" w:w="3577"/>
        </w:tcPr>
        <w:p>
          <w:pPr>
            <w:spacing w:before="20" w:after="0" w:line="240" w:lineRule="auto"/>
            <w:jc w:val="right"/>
          </w:pPr>
          <w:r>
            <w:rPr>
              <w:rFonts w:ascii="Montserrat" w:hAnsi="Montserrat" w:cs="Montserrat" w:eastAsia="Montserrat"/>
              <w:b w:val="0"/>
              <w:color w:val="A0A0A3"/>
              <w:sz w:val="14"/>
            </w:rPr>
            <w:t>info@synergibpo.com | www.synergibpo.com</w:t>
          </w:r>
        </w:p>
      </w:tc>
    </w:tr>
  </w:tbl>
  <w:p>
    <w:pPr>
      <w:spacing w:before="0" w:after="0" w:line="40" w:lineRule="exac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40" w:lineRule="exact"/>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4706"/>
      <w:gridCol w:w="4706"/>
    </w:tblGrid>
    <w:tr>
      <w:tc>
        <w:tcPr>
          <w:tcW w:type="dxa" w:w="4706"/>
        </w:tcPr>
        <w:p>
          <w:pPr>
            <w:spacing w:before="0" w:after="0" w:line="240" w:lineRule="auto"/>
          </w:pPr>
          <w:r>
            <w:drawing>
              <wp:inline xmlns:a="http://schemas.openxmlformats.org/drawingml/2006/main" xmlns:pic="http://schemas.openxmlformats.org/drawingml/2006/picture">
                <wp:extent cx="1152000" cy="360000"/>
                <wp:docPr id="1" name="Picture 1"/>
                <wp:cNvGraphicFramePr>
                  <a:graphicFrameLocks noChangeAspect="1"/>
                </wp:cNvGraphicFramePr>
                <a:graphic>
                  <a:graphicData uri="http://schemas.openxmlformats.org/drawingml/2006/picture">
                    <pic:pic>
                      <pic:nvPicPr>
                        <pic:cNvPr id="0" name="synergi-logo-colour.png"/>
                        <pic:cNvPicPr/>
                      </pic:nvPicPr>
                      <pic:blipFill>
                        <a:blip r:embed="rId1"/>
                        <a:stretch>
                          <a:fillRect/>
                        </a:stretch>
                      </pic:blipFill>
                      <pic:spPr>
                        <a:xfrm>
                          <a:off x="0" y="0"/>
                          <a:ext cx="1152000" cy="360000"/>
                        </a:xfrm>
                        <a:prstGeom prst="rect"/>
                      </pic:spPr>
                    </pic:pic>
                  </a:graphicData>
                </a:graphic>
              </wp:inline>
            </w:drawing>
          </w:r>
        </w:p>
      </w:tc>
      <w:tc>
        <w:tcPr>
          <w:tcW w:type="dxa" w:w="4706"/>
        </w:tcPr>
        <w:p>
          <w:pPr>
            <w:spacing w:before="120" w:after="0" w:line="240" w:lineRule="auto"/>
            <w:jc w:val="right"/>
          </w:pPr>
          <w:r>
            <w:rPr>
              <w:rFonts w:ascii="Montserrat" w:hAnsi="Montserrat" w:cs="Montserrat" w:eastAsia="Montserrat"/>
              <w:b w:val="0"/>
              <w:color w:val="A0A0A3"/>
              <w:sz w:val="16"/>
            </w:rPr>
            <w:t>Website Rebuild Brief</w:t>
          </w:r>
        </w:p>
      </w:tc>
    </w:tr>
  </w:tbl>
  <w:p>
    <w:pPr>
      <w:spacing w:before="0" w:after="0" w:line="40" w:lineRule="exac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40" w:lineRule="exact"/>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4706"/>
      <w:gridCol w:w="4706"/>
    </w:tblGrid>
    <w:tr>
      <w:tc>
        <w:tcPr>
          <w:tcW w:type="dxa" w:w="4706"/>
        </w:tcPr>
        <w:p>
          <w:pPr>
            <w:spacing w:before="0" w:after="0" w:line="240" w:lineRule="auto"/>
          </w:pPr>
          <w:r>
            <w:drawing>
              <wp:inline xmlns:a="http://schemas.openxmlformats.org/drawingml/2006/main" xmlns:pic="http://schemas.openxmlformats.org/drawingml/2006/picture">
                <wp:extent cx="1152000" cy="360000"/>
                <wp:docPr id="1" name="Picture 1"/>
                <wp:cNvGraphicFramePr>
                  <a:graphicFrameLocks noChangeAspect="1"/>
                </wp:cNvGraphicFramePr>
                <a:graphic>
                  <a:graphicData uri="http://schemas.openxmlformats.org/drawingml/2006/picture">
                    <pic:pic>
                      <pic:nvPicPr>
                        <pic:cNvPr id="0" name="synergi-logo-colour.png"/>
                        <pic:cNvPicPr/>
                      </pic:nvPicPr>
                      <pic:blipFill>
                        <a:blip r:embed="rId1"/>
                        <a:stretch>
                          <a:fillRect/>
                        </a:stretch>
                      </pic:blipFill>
                      <pic:spPr>
                        <a:xfrm>
                          <a:off x="0" y="0"/>
                          <a:ext cx="1152000" cy="360000"/>
                        </a:xfrm>
                        <a:prstGeom prst="rect"/>
                      </pic:spPr>
                    </pic:pic>
                  </a:graphicData>
                </a:graphic>
              </wp:inline>
            </w:drawing>
          </w:r>
        </w:p>
      </w:tc>
      <w:tc>
        <w:tcPr>
          <w:tcW w:type="dxa" w:w="4706"/>
        </w:tcPr>
        <w:p>
          <w:pPr>
            <w:spacing w:before="120" w:after="0" w:line="240" w:lineRule="auto"/>
            <w:jc w:val="right"/>
          </w:pPr>
          <w:r>
            <w:rPr>
              <w:rFonts w:ascii="Montserrat" w:hAnsi="Montserrat" w:cs="Montserrat" w:eastAsia="Montserrat"/>
              <w:b w:val="0"/>
              <w:color w:val="A0A0A3"/>
              <w:sz w:val="16"/>
            </w:rPr>
            <w:t>Website Rebuild Brief</w:t>
          </w:r>
        </w:p>
      </w:tc>
    </w:tr>
  </w:tbl>
  <w:p>
    <w:pPr>
      <w:spacing w:before="0" w:after="0" w:line="40" w:lineRule="exac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saveSubsetFonts w:val="fals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ontserrat" w:hAnsi="Montserrat" w:cs="Montserrat" w:eastAsia="Montserrat"/>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Montserrat" w:hAnsi="Montserrat" w:cs="Montserrat" w:eastAsia="Montserrat"/>
      <w:b w:val="0"/>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Bdr>
        <w:bottom w:val="single" w:sz="8" w:space="6" w:color="28ABE5"/>
      </w:pBdr>
    </w:pPr>
    <w:rPr>
      <w:rFonts w:ascii="Montserrat" w:hAnsi="Montserrat" w:cs="Montserrat" w:eastAsia="Montserrat"/>
      <w:b/>
      <w:bCs/>
      <w:color w:val="1D4F89"/>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Montserrat" w:hAnsi="Montserrat" w:cs="Montserrat" w:eastAsia="Montserrat"/>
      <w:b/>
      <w:bCs/>
      <w:color w:val="1D4F89"/>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Montserrat" w:hAnsi="Montserrat" w:cs="Montserrat" w:eastAsia="Montserrat"/>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ontserrat" w:hAnsi="Montserrat" w:cs="Montserrat" w:eastAsia="Montserra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ontserrat" w:hAnsi="Montserrat" w:cs="Montserrat" w:eastAsia="Montserra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ontserrat" w:hAnsi="Montserrat" w:cs="Montserrat" w:eastAsia="Montserra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ontserrat" w:hAnsi="Montserrat" w:cs="Montserrat" w:eastAsia="Montserra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ontserrat" w:hAnsi="Montserrat" w:cs="Montserrat" w:eastAsia="Montserra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ontserrat" w:hAnsi="Montserrat" w:cs="Montserrat" w:eastAsia="Montserrat"/>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ontserrat" w:hAnsi="Montserrat" w:cs="Montserrat" w:eastAsia="Montserrat"/>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ontserrat" w:hAnsi="Montserrat" w:cs="Montserrat" w:eastAsia="Montserrat"/>
      <w:b/>
      <w:bCs/>
      <w:color w:val="4F81BD" w:themeColor="accent1"/>
      <w:sz w:val="26"/>
      <w:szCs w:val="26"/>
    </w:rPr>
  </w:style>
  <w:style w:type="character" w:customStyle="1" w:styleId="Heading3Char">
    <w:name w:val="Heading 3 Char"/>
    <w:basedOn w:val="DefaultParagraphFont"/>
    <w:link w:val="Heading3"/>
    <w:uiPriority w:val="9"/>
    <w:rsid w:val="00FC693F"/>
    <w:rPr>
      <w:rFonts w:ascii="Montserrat" w:hAnsi="Montserrat" w:cs="Montserrat" w:eastAsia="Montserrat"/>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76" w:lineRule="auto" w:before="0"/>
      <w:contextualSpacing/>
    </w:pPr>
    <w:rPr>
      <w:rFonts w:ascii="Montserrat" w:hAnsi="Montserrat" w:cs="Montserrat" w:eastAsia="Montserrat"/>
      <w:b/>
      <w:color w:val="1D4F89"/>
      <w:spacing w:val="5"/>
      <w:kern w:val="28"/>
      <w:sz w:val="52"/>
      <w:szCs w:val="52"/>
    </w:rPr>
  </w:style>
  <w:style w:type="character" w:customStyle="1" w:styleId="TitleChar">
    <w:name w:val="Title Char"/>
    <w:basedOn w:val="DefaultParagraphFont"/>
    <w:link w:val="Title"/>
    <w:uiPriority w:val="10"/>
    <w:rsid w:val="00FC693F"/>
    <w:rPr>
      <w:rFonts w:ascii="Montserrat" w:hAnsi="Montserrat" w:cs="Montserrat" w:eastAsia="Montserrat"/>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ontserrat" w:hAnsi="Montserrat" w:cs="Montserrat" w:eastAsia="Montserrat"/>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76" w:lineRule="auto"/>
    </w:pPr>
    <w:rPr>
      <w:rFonts w:ascii="Montserrat" w:hAnsi="Montserrat" w:cs="Montserrat" w:eastAsia="Montserrat"/>
      <w:b w:val="0"/>
      <w:color w:val="1A1A1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ontserrat" w:hAnsi="Montserrat" w:cs="Montserrat" w:eastAsia="Montserrat"/>
      <w:b/>
      <w:bCs/>
      <w:i/>
      <w:iCs/>
      <w:color w:val="4F81BD" w:themeColor="accent1"/>
    </w:rPr>
  </w:style>
  <w:style w:type="character" w:customStyle="1" w:styleId="Heading5Char">
    <w:name w:val="Heading 5 Char"/>
    <w:basedOn w:val="DefaultParagraphFont"/>
    <w:link w:val="Heading5"/>
    <w:uiPriority w:val="9"/>
    <w:semiHidden/>
    <w:rsid w:val="00FC693F"/>
    <w:rPr>
      <w:rFonts w:ascii="Montserrat" w:hAnsi="Montserrat" w:cs="Montserrat" w:eastAsia="Montserrat"/>
      <w:color w:val="243F60" w:themeColor="accent1" w:themeShade="7F"/>
    </w:rPr>
  </w:style>
  <w:style w:type="character" w:customStyle="1" w:styleId="Heading6Char">
    <w:name w:val="Heading 6 Char"/>
    <w:basedOn w:val="DefaultParagraphFont"/>
    <w:link w:val="Heading6"/>
    <w:uiPriority w:val="9"/>
    <w:semiHidden/>
    <w:rsid w:val="00FC693F"/>
    <w:rPr>
      <w:rFonts w:ascii="Montserrat" w:hAnsi="Montserrat" w:cs="Montserrat" w:eastAsia="Montserrat"/>
      <w:i/>
      <w:iCs/>
      <w:color w:val="243F60" w:themeColor="accent1" w:themeShade="7F"/>
    </w:rPr>
  </w:style>
  <w:style w:type="character" w:customStyle="1" w:styleId="Heading7Char">
    <w:name w:val="Heading 7 Char"/>
    <w:basedOn w:val="DefaultParagraphFont"/>
    <w:link w:val="Heading7"/>
    <w:uiPriority w:val="9"/>
    <w:semiHidden/>
    <w:rsid w:val="00FC693F"/>
    <w:rPr>
      <w:rFonts w:ascii="Montserrat" w:hAnsi="Montserrat" w:cs="Montserrat" w:eastAsia="Montserrat"/>
      <w:i/>
      <w:iCs/>
      <w:color w:val="404040" w:themeColor="text1" w:themeTint="BF"/>
    </w:rPr>
  </w:style>
  <w:style w:type="character" w:customStyle="1" w:styleId="Heading8Char">
    <w:name w:val="Heading 8 Char"/>
    <w:basedOn w:val="DefaultParagraphFont"/>
    <w:link w:val="Heading8"/>
    <w:uiPriority w:val="9"/>
    <w:semiHidden/>
    <w:rsid w:val="00FC693F"/>
    <w:rPr>
      <w:rFonts w:ascii="Montserrat" w:hAnsi="Montserrat" w:cs="Montserrat" w:eastAsia="Montserrat"/>
      <w:color w:val="4F81BD" w:themeColor="accent1"/>
      <w:sz w:val="20"/>
      <w:szCs w:val="20"/>
    </w:rPr>
  </w:style>
  <w:style w:type="character" w:customStyle="1" w:styleId="Heading9Char">
    <w:name w:val="Heading 9 Char"/>
    <w:basedOn w:val="DefaultParagraphFont"/>
    <w:link w:val="Heading9"/>
    <w:uiPriority w:val="9"/>
    <w:semiHidden/>
    <w:rsid w:val="00FC693F"/>
    <w:rPr>
      <w:rFonts w:ascii="Montserrat" w:hAnsi="Montserrat" w:cs="Montserrat" w:eastAsia="Montserrat"/>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120"/>
    </w:pPr>
    <w:rPr>
      <w:rFonts w:ascii="Montserrat" w:hAnsi="Montserrat" w:cs="Montserrat" w:eastAsia="Montserrat"/>
      <w:b w:val="0"/>
      <w:bCs/>
      <w:color w:val="A0A0A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ontserrat" w:hAnsi="Montserrat" w:cs="Montserrat" w:eastAsia="Montserra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ontserrat" w:hAnsi="Montserrat" w:cs="Montserrat" w:eastAsia="Montserra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ontserrat" w:hAnsi="Montserrat" w:cs="Montserrat" w:eastAsia="Montserra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ontserrat" w:hAnsi="Montserrat" w:cs="Montserrat" w:eastAsia="Montserra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ontserrat" w:hAnsi="Montserrat" w:cs="Montserrat" w:eastAsia="Montserra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ontserrat" w:hAnsi="Montserrat" w:cs="Montserrat" w:eastAsia="Montserra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ontserrat" w:hAnsi="Montserrat" w:cs="Montserrat" w:eastAsia="Montserra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pPr>
      <w:spacing w:before="0" w:after="0" w:line="240" w:lineRule="auto"/>
    </w:pPr>
    <w:rPr>
      <w:rFonts w:ascii="Montserrat" w:hAnsi="Montserrat" w:cs="Montserrat" w:eastAsia="Montserrat"/>
      <w:b w:val="0"/>
      <w:color w:val="1D4F89"/>
      <w:sz w:val="19"/>
    </w:rPr>
  </w:style>
  <w:style w:type="paragraph" w:customStyle="1" w:styleId="TableBody">
    <w:name w:val="Table Body"/>
    <w:pPr>
      <w:spacing w:before="0" w:after="0" w:line="240" w:lineRule="auto"/>
    </w:pPr>
    <w:rPr>
      <w:rFonts w:ascii="Montserrat" w:hAnsi="Montserrat" w:cs="Montserrat" w:eastAsia="Montserrat"/>
      <w:b w:val="0"/>
      <w:color w:val="1A1A1A"/>
      <w:sz w:val="19"/>
    </w:rPr>
  </w:style>
  <w:style w:type="paragraph" w:customStyle="1" w:styleId="SourceNote">
    <w:name w:val="Source Note"/>
    <w:pPr>
      <w:spacing w:before="0" w:after="0" w:line="240" w:lineRule="auto"/>
    </w:pPr>
    <w:rPr>
      <w:rFonts w:ascii="Montserrat" w:hAnsi="Montserrat" w:cs="Montserrat" w:eastAsia="Montserrat"/>
      <w:b w:val="0"/>
      <w:color w:val="A0A0A3"/>
      <w:sz w:val="16"/>
    </w:rPr>
  </w:style>
  <w:style w:type="paragraph" w:customStyle="1" w:styleId="FooterSmall">
    <w:name w:val="Footer Small"/>
    <w:pPr>
      <w:spacing w:before="0" w:after="0" w:line="240" w:lineRule="auto"/>
    </w:pPr>
    <w:rPr>
      <w:rFonts w:ascii="Montserrat" w:hAnsi="Montserrat" w:cs="Montserrat" w:eastAsia="Montserrat"/>
      <w:b w:val="0"/>
      <w:color w:val="A0A0A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ontserrat" w:hAnsi="Montserrat" w:cs="Montserrat" w:eastAsia="Montserrat"/>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ontserrat" w:hAnsi="Montserrat" w:cs="Montserrat" w:eastAsia="Montserra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ontserrat" w:hAnsi="Montserrat" w:cs="Montserrat" w:eastAsia="Montserra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ontserrat" w:hAnsi="Montserrat" w:cs="Montserrat" w:eastAsia="Montserrat"/>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ontserrat" w:hAnsi="Montserrat" w:cs="Montserrat" w:eastAsia="Montserra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ontserrat" w:hAnsi="Montserrat" w:cs="Montserrat" w:eastAsia="Montserra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ontserrat" w:hAnsi="Montserrat" w:cs="Montserrat" w:eastAsia="Montserra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ontserrat" w:hAnsi="Montserrat" w:cs="Montserrat" w:eastAsia="Montserra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ontserrat" w:hAnsi="Montserrat" w:cs="Montserrat" w:eastAsia="Montserra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ontserrat" w:hAnsi="Montserrat" w:cs="Montserrat" w:eastAsia="Montserrat"/>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ontserrat" w:hAnsi="Montserrat" w:cs="Montserrat" w:eastAsia="Montserrat"/>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ontserrat" w:hAnsi="Montserrat" w:cs="Montserrat" w:eastAsia="Montserrat"/>
      <w:b/>
      <w:bCs/>
      <w:color w:val="4F81BD" w:themeColor="accent1"/>
      <w:sz w:val="26"/>
      <w:szCs w:val="26"/>
    </w:rPr>
  </w:style>
  <w:style w:type="character" w:customStyle="1" w:styleId="Heading3Char">
    <w:name w:val="Heading 3 Char"/>
    <w:basedOn w:val="DefaultParagraphFont"/>
    <w:link w:val="Heading3"/>
    <w:uiPriority w:val="9"/>
    <w:rsid w:val="00FC693F"/>
    <w:rPr>
      <w:rFonts w:ascii="Montserrat" w:hAnsi="Montserrat" w:cs="Montserrat" w:eastAsia="Montserrat"/>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ontserrat" w:hAnsi="Montserrat" w:cs="Montserrat" w:eastAsia="Montserra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ontserrat" w:hAnsi="Montserrat" w:cs="Montserrat" w:eastAsia="Montserrat"/>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cs="Montserrat" w:eastAsia="Montserra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ontserrat" w:hAnsi="Montserrat" w:cs="Montserrat" w:eastAsia="Montserrat"/>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ontserrat" w:hAnsi="Montserrat" w:cs="Montserrat" w:eastAsia="Montserrat"/>
      <w:b/>
      <w:bCs/>
      <w:i/>
      <w:iCs/>
      <w:color w:val="4F81BD" w:themeColor="accent1"/>
    </w:rPr>
  </w:style>
  <w:style w:type="character" w:customStyle="1" w:styleId="Heading5Char">
    <w:name w:val="Heading 5 Char"/>
    <w:basedOn w:val="DefaultParagraphFont"/>
    <w:link w:val="Heading5"/>
    <w:uiPriority w:val="9"/>
    <w:semiHidden/>
    <w:rsid w:val="00FC693F"/>
    <w:rPr>
      <w:rFonts w:ascii="Montserrat" w:hAnsi="Montserrat" w:cs="Montserrat" w:eastAsia="Montserrat"/>
      <w:color w:val="243F60" w:themeColor="accent1" w:themeShade="7F"/>
    </w:rPr>
  </w:style>
  <w:style w:type="character" w:customStyle="1" w:styleId="Heading6Char">
    <w:name w:val="Heading 6 Char"/>
    <w:basedOn w:val="DefaultParagraphFont"/>
    <w:link w:val="Heading6"/>
    <w:uiPriority w:val="9"/>
    <w:semiHidden/>
    <w:rsid w:val="00FC693F"/>
    <w:rPr>
      <w:rFonts w:ascii="Montserrat" w:hAnsi="Montserrat" w:cs="Montserrat" w:eastAsia="Montserrat"/>
      <w:i/>
      <w:iCs/>
      <w:color w:val="243F60" w:themeColor="accent1" w:themeShade="7F"/>
    </w:rPr>
  </w:style>
  <w:style w:type="character" w:customStyle="1" w:styleId="Heading7Char">
    <w:name w:val="Heading 7 Char"/>
    <w:basedOn w:val="DefaultParagraphFont"/>
    <w:link w:val="Heading7"/>
    <w:uiPriority w:val="9"/>
    <w:semiHidden/>
    <w:rsid w:val="00FC693F"/>
    <w:rPr>
      <w:rFonts w:ascii="Montserrat" w:hAnsi="Montserrat" w:cs="Montserrat" w:eastAsia="Montserrat"/>
      <w:i/>
      <w:iCs/>
      <w:color w:val="404040" w:themeColor="text1" w:themeTint="BF"/>
    </w:rPr>
  </w:style>
  <w:style w:type="character" w:customStyle="1" w:styleId="Heading8Char">
    <w:name w:val="Heading 8 Char"/>
    <w:basedOn w:val="DefaultParagraphFont"/>
    <w:link w:val="Heading8"/>
    <w:uiPriority w:val="9"/>
    <w:semiHidden/>
    <w:rsid w:val="00FC693F"/>
    <w:rPr>
      <w:rFonts w:ascii="Montserrat" w:hAnsi="Montserrat" w:cs="Montserrat" w:eastAsia="Montserrat"/>
      <w:color w:val="4F81BD" w:themeColor="accent1"/>
      <w:sz w:val="20"/>
      <w:szCs w:val="20"/>
    </w:rPr>
  </w:style>
  <w:style w:type="character" w:customStyle="1" w:styleId="Heading9Char">
    <w:name w:val="Heading 9 Char"/>
    <w:basedOn w:val="DefaultParagraphFont"/>
    <w:link w:val="Heading9"/>
    <w:uiPriority w:val="9"/>
    <w:semiHidden/>
    <w:rsid w:val="00FC693F"/>
    <w:rPr>
      <w:rFonts w:ascii="Montserrat" w:hAnsi="Montserrat" w:cs="Montserrat" w:eastAsia="Montserrat"/>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ontserrat" w:hAnsi="Montserrat" w:cs="Montserrat" w:eastAsia="Montserra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ontserrat" w:hAnsi="Montserrat" w:cs="Montserrat" w:eastAsia="Montserra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ontserrat" w:hAnsi="Montserrat" w:cs="Montserrat" w:eastAsia="Montserra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ontserrat" w:hAnsi="Montserrat" w:cs="Montserrat" w:eastAsia="Montserra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ontserrat" w:hAnsi="Montserrat" w:cs="Montserrat" w:eastAsia="Montserra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ontserrat" w:hAnsi="Montserrat" w:cs="Montserrat" w:eastAsia="Montserra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ontserrat" w:hAnsi="Montserrat" w:cs="Montserrat" w:eastAsia="Montserra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ontserrat" w:hAnsi="Montserrat" w:cs="Montserrat" w:eastAsia="Montserra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ontserrat" w:hAnsi="Montserrat" w:cs="Montserrat" w:eastAsia="Montserrat"/>
        <w:b/>
        <w:bCs/>
      </w:rPr>
    </w:tblStylePr>
    <w:tblStylePr w:type="lastCol">
      <w:rPr>
        <w:rFonts w:ascii="Montserrat" w:hAnsi="Montserrat" w:cs="Montserrat" w:eastAsia="Montserra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ontserrat" w:hAnsi="Montserrat" w:cs="Montserrat" w:eastAsia="Montserrat"/>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ontserrat" w:hAnsi="Montserrat" w:cs="Montserrat" w:eastAsia="Montserra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