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Elliott Wave 3 Screener — Hoja de Parámetros</w:t>
      </w:r>
    </w:p>
    <w:p>
      <w:r>
        <w:t xml:space="preserve">Referencia técnica · </w:t>
      </w:r>
      <w:r>
        <w:rPr>
          <w:b/>
        </w:rPr>
        <w:t>Versión 1.8 · Revisión tras auditoría de agosto 2026</w:t>
      </w:r>
      <w:r>
        <w:t xml:space="preserve"> (28-ago-2026)</w:t>
      </w:r>
    </w:p>
    <w:p>
      <w:r>
        <w:rPr>
          <w:i/>
        </w:rPr>
        <w:t>Cambios vs v1.7: métricas actualizadas al re-run de agosto (N=411); añadida la descomposición alpha/beta (regresión de factores); añadida la auditoría de código (look-ahead + sesgos residuales); corregida la contradicción interna sobre el "score" (NO es predictivo).</w:t>
      </w:r>
    </w:p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pPr>
        <w:pStyle w:val="Heading2"/>
      </w:pPr>
      <w:r>
        <w:t>Resumen ejecutivo</w:t>
      </w:r>
    </w:p>
    <w:p>
      <w:r>
        <w:t xml:space="preserve">Sistema cuantitativo de detección de Onda 3 de Elliott sobre velas semanales. Universo de ~957 tickers candidatos (mayoritariamente US, también bolsas europeas). Pipeline: zigzag adaptativo ATR para Onda 1 → validación ABC de Onda 2 → línea 1-B (resistencia descendente) cuya ruptura confirma el inicio de la Onda 3. Funciona como </w:t>
      </w:r>
      <w:r>
        <w:rPr>
          <w:b/>
        </w:rPr>
        <w:t>screener/radar</w:t>
      </w:r>
      <w:r>
        <w:t>, no como bot automatizado; la operativa final la decide el operador.</w:t>
      </w:r>
    </w:p>
    <w:p>
      <w:r>
        <w:rPr>
          <w:b/>
        </w:rPr>
        <w:t>Estado tras la auditoría de agosto 2026 (honesto):</w:t>
      </w:r>
    </w:p>
    <w:p>
      <w:pPr>
        <w:pStyle w:val="ListBullet"/>
      </w:pPr>
      <w:r>
        <w:t xml:space="preserve">Hay un </w:t>
      </w:r>
      <w:r>
        <w:rPr>
          <w:b/>
        </w:rPr>
        <w:t>edge estadísticamente real</w:t>
      </w:r>
      <w:r>
        <w:t xml:space="preserve"> (bootstrap del PF con IC 95% muy por encima de 1).</w:t>
      </w:r>
    </w:p>
    <w:p>
      <w:pPr>
        <w:pStyle w:val="ListBullet"/>
      </w:pPr>
      <w:r>
        <w:t xml:space="preserve">El </w:t>
      </w:r>
      <w:r>
        <w:rPr>
          <w:b/>
        </w:rPr>
        <w:t>look-ahead estructural está resuelto</w:t>
      </w:r>
      <w:r>
        <w:t xml:space="preserve"> (walk-forward verificado por triple revisión: a mano + sub-agente adversarial + config).</w:t>
      </w:r>
    </w:p>
    <w:p>
      <w:pPr>
        <w:pStyle w:val="ListBullet"/>
      </w:pPr>
      <w:r>
        <w:rPr>
          <w:b/>
        </w:rPr>
        <w:t>PERO</w:t>
      </w:r>
      <w:r>
        <w:t xml:space="preserve"> el PF reportado es un </w:t>
      </w:r>
      <w:r>
        <w:rPr>
          <w:b/>
        </w:rPr>
        <w:t>techo optimista</w:t>
      </w:r>
      <w:r>
        <w:t xml:space="preserve">: la construcción del universo y el supuesto de ejecución perfecta lo inflan; y al descomponer el retorno por factores, es </w:t>
      </w:r>
      <w:r>
        <w:rPr>
          <w:b/>
        </w:rPr>
        <w:t>mayormente beta de mercado US + sesgo small-cap</w:t>
      </w:r>
      <w:r>
        <w:t xml:space="preserve">, con un alpha residual </w:t>
      </w:r>
      <w:r>
        <w:rPr>
          <w:b/>
        </w:rPr>
        <w:t>no significativo</w:t>
      </w:r>
      <w:r>
        <w:t>.</w:t>
      </w:r>
    </w:p>
    <w:p>
      <w:pPr>
        <w:pStyle w:val="ListBullet"/>
      </w:pPr>
      <w:r>
        <w:t xml:space="preserve">Conclusión: sistema honesto y bien auditado; señal real pero modesta; </w:t>
      </w:r>
      <w:r>
        <w:rPr>
          <w:b/>
        </w:rPr>
        <w:t>no demostrado que bata al mercado ajustado por riesgo</w:t>
      </w:r>
      <w:r>
        <w:t>.</w:t>
      </w:r>
    </w:p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pPr>
        <w:pStyle w:val="Heading2"/>
      </w:pPr>
      <w:r>
        <w:t>1. Métricas (walk-forward, sin look-ahead) — re-run agosto 2026</w:t>
      </w:r>
    </w:p>
    <w:p>
      <w:r>
        <w:rPr>
          <w:i/>
        </w:rPr>
        <w:t>Backtest walk-forward (`walkforward</w:t>
      </w:r>
      <w:r>
        <w:t>enabled: true</w:t>
      </w:r>
      <w:r>
        <w:rPr>
          <w:rFonts w:ascii="Consolas" w:hAnsi="Consolas"/>
          <w:sz w:val="19"/>
        </w:rPr>
        <w:t xml:space="preserve">) sobre 2013–2026, reconstrucción por vela con </w:t>
      </w:r>
      <w:r>
        <w:t>df.iloc[:t+1]`. N=411 señales deduplicadas (de universo de 325 tickers con datos válidos); 37 señales descartadas por régimen (crash=23, bearish=14)._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 (Esc. 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Lectura honesta</w:t>
            </w:r>
          </w:p>
        </w:tc>
      </w:tr>
      <w:tr>
        <w:tc>
          <w:tcPr>
            <w:tcW w:type="dxa" w:w="2880"/>
          </w:tcPr>
          <w:p>
            <w:r>
              <w:t>Profit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2,95</w:t>
            </w:r>
          </w:p>
        </w:tc>
        <w:tc>
          <w:tcPr>
            <w:tcW w:type="dxa" w:w="2880"/>
          </w:tcPr>
          <w:p>
            <w:r>
              <w:t xml:space="preserve">Edge real, pero </w:t>
            </w:r>
            <w:r>
              <w:rPr>
                <w:b/>
              </w:rPr>
              <w:t>TECHO</w:t>
            </w:r>
            <w:r>
              <w:t xml:space="preserve"> (ver §4: universo + fills lo inflan). Bootstrap IC 95% [1,81 – 4,92].</w:t>
            </w:r>
          </w:p>
        </w:tc>
      </w:tr>
      <w:tr>
        <w:tc>
          <w:tcPr>
            <w:tcW w:type="dxa" w:w="2880"/>
          </w:tcPr>
          <w:p>
            <w:r>
              <w:t>PF (solo US, n=316)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3,81</w:t>
            </w:r>
          </w:p>
        </w:tc>
        <w:tc>
          <w:tcPr>
            <w:tcW w:type="dxa" w:w="2880"/>
          </w:tcPr>
          <w:p>
            <w:r>
              <w:t>El edge es esencialmente US. Bootstrap IC 95% [2,20 – 6,96].</w:t>
            </w:r>
          </w:p>
        </w:tc>
      </w:tr>
      <w:tr>
        <w:tc>
          <w:tcPr>
            <w:tcW w:type="dxa" w:w="2880"/>
          </w:tcPr>
          <w:p>
            <w:r>
              <w:t>Win Rate (P&amp;L real)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65,2 %</w:t>
            </w:r>
          </w:p>
        </w:tc>
        <w:tc>
          <w:tcPr>
            <w:tcW w:type="dxa" w:w="2880"/>
          </w:tcPr>
          <w:p>
            <w:r>
              <w:t>Sólido.</w:t>
            </w:r>
          </w:p>
        </w:tc>
      </w:tr>
      <w:tr>
        <w:tc>
          <w:tcPr>
            <w:tcW w:type="dxa" w:w="2880"/>
          </w:tcPr>
          <w:p>
            <w:r>
              <w:t>Retorno medio / trade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+14,6 %</w:t>
            </w:r>
          </w:p>
        </w:tc>
        <w:tc>
          <w:tcPr>
            <w:tcW w:type="dxa" w:w="2880"/>
          </w:tcPr>
          <w:p>
            <w:r>
              <w:t>Alto, típico de selectividad alta + cola derecha.</w:t>
            </w:r>
          </w:p>
        </w:tc>
      </w:tr>
      <w:tr>
        <w:tc>
          <w:tcPr>
            <w:tcW w:type="dxa" w:w="2880"/>
          </w:tcPr>
          <w:p>
            <w:r>
              <w:t>Retorno mediano / trade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+10,7 %</w:t>
            </w:r>
          </w:p>
        </w:tc>
        <w:tc>
          <w:tcPr>
            <w:tcW w:type="dxa" w:w="2880"/>
          </w:tcPr>
          <w:p>
            <w:r>
              <w:t>El trade típico gana sólido (edge ancho, no solo de cola).</w:t>
            </w:r>
          </w:p>
        </w:tc>
      </w:tr>
      <w:tr>
        <w:tc>
          <w:tcPr>
            <w:tcW w:type="dxa" w:w="2880"/>
          </w:tcPr>
          <w:p>
            <w:r>
              <w:t>Avg winner / loser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+74,1 % / −43,0 %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Holding medio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47,1 semanas</w:t>
            </w:r>
          </w:p>
        </w:tc>
        <w:tc>
          <w:tcPr>
            <w:tcW w:type="dxa" w:w="2880"/>
          </w:tcPr>
          <w:p>
            <w:r>
              <w:t>Sistema lento (swing largo). 74 % termina por TIMEOUT a 52 sem.</w:t>
            </w:r>
          </w:p>
        </w:tc>
      </w:tr>
      <w:tr>
        <w:tc>
          <w:tcPr>
            <w:tcW w:type="dxa" w:w="2880"/>
          </w:tcPr>
          <w:p>
            <w:r>
              <w:t>Expectancy (base T1)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+3,0 %</w:t>
            </w:r>
          </w:p>
        </w:tc>
        <w:tc>
          <w:tcPr>
            <w:tcW w:type="dxa" w:w="2880"/>
          </w:tcPr>
          <w:p>
            <w:r>
              <w:t>(Fórmula win</w:t>
            </w:r>
            <w:r>
              <w:rPr>
                <w:i/>
              </w:rPr>
              <w:t>rate</w:t>
            </w:r>
            <w:r>
              <w:t>t1·avgW + loss_rate·avgL.)</w:t>
            </w:r>
          </w:p>
        </w:tc>
      </w:tr>
      <w:tr>
        <w:tc>
          <w:tcPr>
            <w:tcW w:type="dxa" w:w="2880"/>
          </w:tcPr>
          <w:p>
            <w:r>
              <w:t>Iteraciones walk-forward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≈ 186 000</w:t>
            </w:r>
          </w:p>
        </w:tc>
        <w:tc>
          <w:tcPr>
            <w:tcW w:type="dxa" w:w="2880"/>
          </w:tcPr>
          <w:p>
            <w:r>
              <w:t>Validación vela a vela.</w:t>
            </w:r>
          </w:p>
        </w:tc>
      </w:tr>
    </w:tbl>
    <w:p/>
    <w:p>
      <w:r>
        <w:rPr>
          <w:b/>
        </w:rPr>
        <w:t>Escenarios de salida (mismas 411 señales):</w:t>
      </w:r>
      <w:r>
        <w:t xml:space="preserve"> A (stop P0) PF 2,95 / exp +3,0 % · B (stop C) PF 2,57 / exp −0,5 % · C (trailing) PF 2,37 / exp +0,2 %. </w:t>
      </w:r>
      <w:r>
        <w:rPr>
          <w:b/>
        </w:rPr>
        <w:t>Solo A tiene expectancy positiva.</w:t>
      </w:r>
    </w:p>
    <w:p>
      <w:r>
        <w:rPr>
          <w:b/>
        </w:rPr>
        <w:t>Nota sobre deriva v1.7 → agosto:</w:t>
      </w:r>
      <w:r>
        <w:t xml:space="preserve"> el cierre de abril daba PF 2,74 / N=435 / 342 tickers. La diferencia se debe a: régimen ahora filtra señales (antes solo modulaba sizing), universo cambiado, +4 meses de datos. El centro (mediana, WR) es estable; </w:t>
      </w:r>
      <w:r>
        <w:rPr>
          <w:b/>
        </w:rPr>
        <w:t>el sistema no está congelado — conviene fijar una versión y un CSV de referencia.</w:t>
      </w:r>
    </w:p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pPr>
        <w:pStyle w:val="Heading2"/>
      </w:pPr>
      <w:r>
        <w:t>1.bis. Riesgo/retorno y descomposición alpha vs beta (NUEVO)</w:t>
      </w:r>
    </w:p>
    <w:p>
      <w:r>
        <w:rPr>
          <w:i/>
        </w:rPr>
        <w:t>Sobre la curva de equity **marcada a mercado real** (reconstrucción equal-weight semana a semana; `elliott</w:t>
      </w:r>
      <w:r>
        <w:t>equity</w:t>
      </w:r>
      <w:r>
        <w:rPr>
          <w:i/>
        </w:rPr>
        <w:t>real.py`). Es la métrica de riesgo fiable, a diferencia de la curva de P&amp;L acumulado del PNG del backtest.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CAGR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Sortino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maxDD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Underwater máx</w:t>
            </w:r>
          </w:p>
        </w:tc>
      </w:tr>
      <w:tr>
        <w:tc>
          <w:tcPr>
            <w:tcW w:type="dxa" w:w="1440"/>
          </w:tcPr>
          <w:p>
            <w:r>
              <w:t>Estrategia US</w:t>
            </w:r>
          </w:p>
        </w:tc>
        <w:tc>
          <w:tcPr>
            <w:tcW w:type="dxa" w:w="1440"/>
          </w:tcPr>
          <w:p>
            <w:r>
              <w:t>19,1 %</w:t>
            </w:r>
          </w:p>
        </w:tc>
        <w:tc>
          <w:tcPr>
            <w:tcW w:type="dxa" w:w="1440"/>
          </w:tcPr>
          <w:p>
            <w:r>
              <w:t>0,93</w:t>
            </w:r>
          </w:p>
        </w:tc>
        <w:tc>
          <w:tcPr>
            <w:tcW w:type="dxa" w:w="1440"/>
          </w:tcPr>
          <w:p>
            <w:r>
              <w:t>1,20</w:t>
            </w:r>
          </w:p>
        </w:tc>
        <w:tc>
          <w:tcPr>
            <w:tcW w:type="dxa" w:w="1440"/>
          </w:tcPr>
          <w:p>
            <w:r>
              <w:t>−44,3 %</w:t>
            </w:r>
          </w:p>
        </w:tc>
        <w:tc>
          <w:tcPr>
            <w:tcW w:type="dxa" w:w="1440"/>
          </w:tcPr>
          <w:p>
            <w:r>
              <w:t>23 meses (2022-01→2023-12)</w:t>
            </w:r>
          </w:p>
        </w:tc>
      </w:tr>
      <w:tr>
        <w:tc>
          <w:tcPr>
            <w:tcW w:type="dxa" w:w="1440"/>
          </w:tcPr>
          <w:p>
            <w:r>
              <w:t>Estrategia (todos)</w:t>
            </w:r>
          </w:p>
        </w:tc>
        <w:tc>
          <w:tcPr>
            <w:tcW w:type="dxa" w:w="1440"/>
          </w:tcPr>
          <w:p>
            <w:r>
              <w:t>17,1 %</w:t>
            </w:r>
          </w:p>
        </w:tc>
        <w:tc>
          <w:tcPr>
            <w:tcW w:type="dxa" w:w="1440"/>
          </w:tcPr>
          <w:p>
            <w:r>
              <w:t>0,88</w:t>
            </w:r>
          </w:p>
        </w:tc>
        <w:tc>
          <w:tcPr>
            <w:tcW w:type="dxa" w:w="1440"/>
          </w:tcPr>
          <w:p>
            <w:r>
              <w:t>1,11</w:t>
            </w:r>
          </w:p>
        </w:tc>
        <w:tc>
          <w:tcPr>
            <w:tcW w:type="dxa" w:w="1440"/>
          </w:tcPr>
          <w:p>
            <w:r>
              <w:t>−43,1 %</w:t>
            </w:r>
          </w:p>
        </w:tc>
        <w:tc>
          <w:tcPr>
            <w:tcW w:type="dxa" w:w="1440"/>
          </w:tcPr>
          <w:p>
            <w:r>
              <w:t>29 meses</w:t>
            </w:r>
          </w:p>
        </w:tc>
      </w:tr>
      <w:tr>
        <w:tc>
          <w:tcPr>
            <w:tcW w:type="dxa" w:w="1440"/>
          </w:tcPr>
          <w:p>
            <w:r>
              <w:t>S&amp;P 500 buy &amp; hold</w:t>
            </w:r>
          </w:p>
        </w:tc>
        <w:tc>
          <w:tcPr>
            <w:tcW w:type="dxa" w:w="1440"/>
          </w:tcPr>
          <w:p>
            <w:r>
              <w:t>12,6 %</w:t>
            </w:r>
          </w:p>
        </w:tc>
        <w:tc>
          <w:tcPr>
            <w:tcW w:type="dxa" w:w="1440"/>
          </w:tcPr>
          <w:p>
            <w:r>
              <w:t>0,82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−31,8 %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rPr>
          <w:b/>
        </w:rPr>
        <w:t>Regresión de factores Carhart 4F (sub-libro US, mensual, Newey-West, N=154 meses):</w:t>
      </w:r>
    </w:p>
    <w:p>
      <w:pPr>
        <w:pStyle w:val="ListBullet"/>
      </w:pPr>
      <w:r>
        <w:rPr>
          <w:b/>
        </w:rPr>
        <w:t>alpha ≈ 5,6 % anual, pero NO significativo (t=1,86, p=0,063).</w:t>
      </w:r>
      <w:r>
        <w:t xml:space="preserve"> Indicio, no prueba.</w:t>
      </w:r>
    </w:p>
    <w:p>
      <w:pPr>
        <w:pStyle w:val="ListBullet"/>
      </w:pPr>
      <w:r>
        <w:rPr>
          <w:b/>
        </w:rPr>
        <w:t>beta mercado = 1,12</w:t>
      </w:r>
      <w:r>
        <w:t xml:space="preserve"> (exposición plena, ligeramente apalancada).</w:t>
      </w:r>
    </w:p>
    <w:p>
      <w:pPr>
        <w:pStyle w:val="ListBullet"/>
      </w:pPr>
      <w:r>
        <w:rPr>
          <w:b/>
        </w:rPr>
        <w:t>SMB = +0,36 (p=0,001, SIGNIFICATIVO)</w:t>
      </w:r>
      <w:r>
        <w:t xml:space="preserve"> → sesgo small-cap: parte del "edge" es la prima de tamaño.</w:t>
      </w:r>
    </w:p>
    <w:p>
      <w:pPr>
        <w:pStyle w:val="ListBullet"/>
      </w:pPr>
      <w:r>
        <w:t xml:space="preserve">HML +0,14 (n.s.), Mom −0,03 (n.s.). </w:t>
      </w:r>
      <w:r>
        <w:rPr>
          <w:b/>
        </w:rPr>
        <w:t>R² = 0,67</w:t>
      </w:r>
      <w:r>
        <w:t xml:space="preserve"> (mercado+factores explican 2/3 del retorno).</w:t>
      </w:r>
    </w:p>
    <w:p>
      <w:r>
        <w:rPr>
          <w:b/>
        </w:rPr>
        <w:t>Lectura:</w:t>
      </w:r>
      <w:r>
        <w:t xml:space="preserve"> batió al SPX en bruto (19,1 % vs 12,6 %), pero </w:t>
      </w:r>
      <w:r>
        <w:rPr>
          <w:b/>
        </w:rPr>
        <w:t>mayormente por beta&gt;1 + small-cap</w:t>
      </w:r>
      <w:r>
        <w:t xml:space="preserve">; ajustado por riesgo la ventaja es modesta (Sharpe 0,93 vs 0,82) y con </w:t>
      </w:r>
      <w:r>
        <w:rPr>
          <w:b/>
        </w:rPr>
        <w:t>peor drawdown (−44 % vs −32 %)</w:t>
      </w:r>
      <w:r>
        <w:t>. El alpha genuino no queda demostrado.</w:t>
      </w:r>
    </w:p>
    <w:p>
      <w:r>
        <w:rPr>
          <w:i/>
        </w:rPr>
        <w:t>Caveat: la reconstrucción rebalancea equal-weight semanal sin costes → probablemente infla CAGR/alpha. Lo robusto es la descomposición y la comparación ajustada por riesgo, no el nivel exacto de CAGR.</w:t>
      </w:r>
    </w:p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pPr>
        <w:pStyle w:val="Heading2"/>
      </w:pPr>
      <w:r>
        <w:t>2. Parámetros del config.yaml</w:t>
      </w:r>
    </w:p>
    <w:p>
      <w:r>
        <w:rPr>
          <w:i/>
        </w:rPr>
        <w:t>Sin cambios respecto a v1.7 — coinciden con `config.yaml` verificado. Valores resultado de los sprints de auditoría; NO modificar sin justificación empírica.</w:t>
      </w:r>
    </w:p>
    <w:p>
      <w:pPr>
        <w:pStyle w:val="Heading3"/>
      </w:pPr>
      <w:r>
        <w:t>2.1 Detección Onda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wave1</w:t>
            </w:r>
            <w:r>
              <w:t>pct</w:t>
            </w:r>
          </w:p>
        </w:tc>
        <w:tc>
          <w:tcPr>
            <w:tcW w:type="dxa" w:w="2880"/>
          </w:tcPr>
          <w:p>
            <w:r>
              <w:t>0,20</w:t>
            </w:r>
          </w:p>
        </w:tc>
        <w:tc>
          <w:tcPr>
            <w:tcW w:type="dxa" w:w="2880"/>
          </w:tcPr>
          <w:p>
            <w:r>
              <w:t>Subida mínima Onda 1 (20 %).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wave1</w:t>
            </w:r>
            <w:r>
              <w:t>bars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Duración mínima (≈ 2,5 meses).</w:t>
            </w:r>
          </w:p>
        </w:tc>
      </w:tr>
      <w:tr>
        <w:tc>
          <w:tcPr>
            <w:tcW w:type="dxa" w:w="2880"/>
          </w:tcPr>
          <w:p>
            <w:r>
              <w:t>max</w:t>
            </w:r>
            <w:r>
              <w:rPr>
                <w:i/>
              </w:rPr>
              <w:t>wave1</w:t>
            </w:r>
            <w:r>
              <w:t>bars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Duración máxima (≈ 4 años).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subwave</w:t>
            </w:r>
            <w:r>
              <w:t>pct</w:t>
            </w:r>
          </w:p>
        </w:tc>
        <w:tc>
          <w:tcPr>
            <w:tcW w:type="dxa" w:w="2880"/>
          </w:tcPr>
          <w:p>
            <w:r>
              <w:t>0,03</w:t>
            </w:r>
          </w:p>
        </w:tc>
        <w:tc>
          <w:tcPr>
            <w:tcW w:type="dxa" w:w="2880"/>
          </w:tcPr>
          <w:p>
            <w:r>
              <w:t>Tamaño mínimo de cada sub-onda interna.</w:t>
            </w:r>
          </w:p>
        </w:tc>
      </w:tr>
      <w:tr>
        <w:tc>
          <w:tcPr>
            <w:tcW w:type="dxa" w:w="2880"/>
          </w:tcPr>
          <w:p>
            <w:r>
              <w:t>max</w:t>
            </w:r>
            <w:r>
              <w:rPr>
                <w:i/>
              </w:rPr>
              <w:t>internal</w:t>
            </w:r>
            <w:r>
              <w:t>pivots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Máx pivotes internos antes de descartar.</w:t>
            </w:r>
          </w:p>
        </w:tc>
      </w:tr>
    </w:tbl>
    <w:p/>
    <w:p>
      <w:pPr>
        <w:pStyle w:val="Heading3"/>
      </w:pPr>
      <w:r>
        <w:t>2.2 Onda 2 / Fibonacci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fib</w:t>
            </w:r>
            <w:r>
              <w:rPr>
                <w:i/>
              </w:rPr>
              <w:t>min / fib</w:t>
            </w:r>
            <w:r>
              <w:t>max</w:t>
            </w:r>
          </w:p>
        </w:tc>
        <w:tc>
          <w:tcPr>
            <w:tcW w:type="dxa" w:w="2880"/>
          </w:tcPr>
          <w:p>
            <w:r>
              <w:t>0,30 / 0,75</w:t>
            </w:r>
          </w:p>
        </w:tc>
        <w:tc>
          <w:tcPr>
            <w:tcW w:type="dxa" w:w="2880"/>
          </w:tcPr>
          <w:p>
            <w:r>
              <w:t xml:space="preserve">Rango de retroceso. </w:t>
            </w:r>
            <w:r>
              <w:rPr>
                <w:b/>
              </w:rPr>
              <w:t>Nota:</w:t>
            </w:r>
            <w:r>
              <w:t xml:space="preserve"> la segmentación por fib NO es predictiva (§4).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wave2</w:t>
            </w:r>
            <w:r>
              <w:t>bars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Duración mínima Onda 2.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w2</w:t>
            </w:r>
            <w:r>
              <w:t>w1</w:t>
            </w:r>
            <w:r>
              <w:rPr>
                <w:i/>
              </w:rPr>
              <w:t>duration</w:t>
            </w:r>
            <w:r>
              <w:t>ratio</w:t>
            </w:r>
          </w:p>
        </w:tc>
        <w:tc>
          <w:tcPr>
            <w:tcW w:type="dxa" w:w="2880"/>
          </w:tcPr>
          <w:p>
            <w:r>
              <w:t>0,15</w:t>
            </w:r>
          </w:p>
        </w:tc>
        <w:tc>
          <w:tcPr>
            <w:tcW w:type="dxa" w:w="2880"/>
          </w:tcPr>
          <w:p>
            <w:r>
              <w:t>Correcciones más rápidas = sospechosas.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abc</w:t>
            </w:r>
            <w:r>
              <w:t>leg_pct</w:t>
            </w:r>
          </w:p>
        </w:tc>
        <w:tc>
          <w:tcPr>
            <w:tcW w:type="dxa" w:w="2880"/>
          </w:tcPr>
          <w:p>
            <w:r>
              <w:t>0,05</w:t>
            </w:r>
          </w:p>
        </w:tc>
        <w:tc>
          <w:tcPr>
            <w:tcW w:type="dxa" w:w="2880"/>
          </w:tcPr>
          <w:p>
            <w:r>
              <w:t>Tamaño mínimo de cada tramo ABC.</w:t>
            </w:r>
          </w:p>
        </w:tc>
      </w:tr>
      <w:tr>
        <w:tc>
          <w:tcPr>
            <w:tcW w:type="dxa" w:w="2880"/>
          </w:tcPr>
          <w:p>
            <w:r>
              <w:t>max</w:t>
            </w:r>
            <w:r>
              <w:rPr>
                <w:i/>
              </w:rPr>
              <w:t>wave2</w:t>
            </w:r>
            <w:r>
              <w:t>search_bars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Máx velas tras P1 para buscar Onda 2 (≈ 2 años).</w:t>
            </w:r>
          </w:p>
        </w:tc>
      </w:tr>
      <w:tr>
        <w:tc>
          <w:tcPr>
            <w:tcW w:type="dxa" w:w="2880"/>
          </w:tcPr>
          <w:p>
            <w:r>
              <w:t>flat_tolerance</w:t>
            </w:r>
          </w:p>
        </w:tc>
        <w:tc>
          <w:tcPr>
            <w:tcW w:type="dxa" w:w="2880"/>
          </w:tcPr>
          <w:p>
            <w:r>
              <w:t>0,03</w:t>
            </w:r>
          </w:p>
        </w:tc>
        <w:tc>
          <w:tcPr>
            <w:tcW w:type="dxa" w:w="2880"/>
          </w:tcPr>
          <w:p>
            <w:r>
              <w:t>Tolerancia Onda 2 flat.</w:t>
            </w:r>
          </w:p>
        </w:tc>
      </w:tr>
    </w:tbl>
    <w:p/>
    <w:p>
      <w:pPr>
        <w:pStyle w:val="Heading3"/>
      </w:pPr>
      <w:r>
        <w:t>2.3 Ruptura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  <w:r>
              <w:rPr>
                <w:i/>
              </w:rPr>
              <w:t>breakout</w:t>
            </w:r>
            <w:r>
              <w:t>multiplier</w:t>
            </w:r>
          </w:p>
        </w:tc>
        <w:tc>
          <w:tcPr>
            <w:tcW w:type="dxa" w:w="2880"/>
          </w:tcPr>
          <w:p>
            <w:r>
              <w:t>1,30</w:t>
            </w:r>
          </w:p>
        </w:tc>
        <w:tc>
          <w:tcPr>
            <w:tcW w:type="dxa" w:w="2880"/>
          </w:tcPr>
          <w:p>
            <w:r>
              <w:t>Volumen ruptura ≥ 1,3× media W2.</w:t>
            </w:r>
          </w:p>
        </w:tc>
      </w:tr>
      <w:tr>
        <w:tc>
          <w:tcPr>
            <w:tcW w:type="dxa" w:w="2880"/>
          </w:tcPr>
          <w:p>
            <w:r>
              <w:t>max</w:t>
            </w:r>
            <w:r>
              <w:rPr>
                <w:i/>
              </w:rPr>
              <w:t>weeks</w:t>
            </w:r>
            <w:r>
              <w:t>after_C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Máx semanas tras C para ruptura válida.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breakout</w:t>
            </w:r>
            <w:r>
              <w:t>margin</w:t>
            </w:r>
          </w:p>
        </w:tc>
        <w:tc>
          <w:tcPr>
            <w:tcW w:type="dxa" w:w="2880"/>
          </w:tcPr>
          <w:p>
            <w:r>
              <w:t>0,010</w:t>
            </w:r>
          </w:p>
        </w:tc>
        <w:tc>
          <w:tcPr>
            <w:tcW w:type="dxa" w:w="2880"/>
          </w:tcPr>
          <w:p>
            <w:r>
              <w:t>Margen mínimo sobre línea 1-B (1,0 %).</w:t>
            </w:r>
          </w:p>
        </w:tc>
      </w:tr>
    </w:tbl>
    <w:p/>
    <w:p>
      <w:pPr>
        <w:pStyle w:val="Heading3"/>
      </w:pPr>
      <w:r>
        <w:t>2.4 Filtros de calidad (hard filters)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blacklist_bolsas</w:t>
            </w:r>
          </w:p>
        </w:tc>
        <w:tc>
          <w:tcPr>
            <w:tcW w:type="dxa" w:w="2880"/>
          </w:tcPr>
          <w:p>
            <w:r>
              <w:t>["HE","CO","DE"]</w:t>
            </w:r>
          </w:p>
        </w:tc>
        <w:tc>
          <w:tcPr>
            <w:tcW w:type="dxa" w:w="2880"/>
          </w:tcPr>
          <w:p>
            <w:r>
              <w:t>Bolsas con PF empírico &lt; 1,50 (n ≥ 10).</w:t>
            </w:r>
          </w:p>
        </w:tc>
      </w:tr>
      <w:tr>
        <w:tc>
          <w:tcPr>
            <w:tcW w:type="dxa" w:w="2880"/>
          </w:tcPr>
          <w:p>
            <w:r>
              <w:t>extension</w:t>
            </w:r>
            <w:r>
              <w:rPr>
                <w:i/>
              </w:rPr>
              <w:t>filter.dead</w:t>
            </w:r>
            <w:r>
              <w:t>zone</w:t>
            </w:r>
          </w:p>
        </w:tc>
        <w:tc>
          <w:tcPr>
            <w:tcW w:type="dxa" w:w="2880"/>
          </w:tcPr>
          <w:p>
            <w:r>
              <w:t>0,60–1,00</w:t>
            </w:r>
          </w:p>
        </w:tc>
        <w:tc>
          <w:tcPr>
            <w:tcW w:type="dxa" w:w="2880"/>
          </w:tcPr>
          <w:p>
            <w:r>
              <w:t>Zona muerta de extensión (entry − P0)/P0.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1b</w:t>
            </w:r>
            <w:r>
              <w:t>slope_pct</w:t>
            </w:r>
          </w:p>
        </w:tc>
        <w:tc>
          <w:tcPr>
            <w:tcW w:type="dxa" w:w="2880"/>
          </w:tcPr>
          <w:p>
            <w:r>
              <w:t>0,02</w:t>
            </w:r>
          </w:p>
        </w:tc>
        <w:tc>
          <w:tcPr>
            <w:tcW w:type="dxa" w:w="2880"/>
          </w:tcPr>
          <w:p>
            <w:r>
              <w:t>Separación mínima en precio entre P1 y B.</w:t>
            </w:r>
          </w:p>
        </w:tc>
      </w:tr>
      <w:tr>
        <w:tc>
          <w:tcPr>
            <w:tcW w:type="dxa" w:w="2880"/>
          </w:tcPr>
          <w:p>
            <w:r>
              <w:t>min</w:t>
            </w:r>
            <w:r>
              <w:rPr>
                <w:i/>
              </w:rPr>
              <w:t>avg</w:t>
            </w:r>
            <w:r>
              <w:t>weekly_volume</w:t>
            </w:r>
          </w:p>
        </w:tc>
        <w:tc>
          <w:tcPr>
            <w:tcW w:type="dxa" w:w="2880"/>
          </w:tcPr>
          <w:p>
            <w:r>
              <w:t>50 000</w:t>
            </w:r>
          </w:p>
        </w:tc>
        <w:tc>
          <w:tcPr>
            <w:tcW w:type="dxa" w:w="2880"/>
          </w:tcPr>
          <w:p>
            <w:r>
              <w:t>⚠️ Ver §4: se calcula sobre las últimas 52 sem → sesgo de selección.</w:t>
            </w:r>
          </w:p>
        </w:tc>
      </w:tr>
      <w:tr>
        <w:tc>
          <w:tcPr>
            <w:tcW w:type="dxa" w:w="2880"/>
          </w:tcPr>
          <w:p>
            <w:r>
              <w:t>max</w:t>
            </w:r>
            <w:r>
              <w:rPr>
                <w:i/>
              </w:rPr>
              <w:t>spike</w:t>
            </w:r>
            <w:r>
              <w:t>candles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⚠️ Ver §4: se evalúa sobre la serie completa → sesgo de selección.</w:t>
            </w:r>
          </w:p>
        </w:tc>
      </w:tr>
    </w:tbl>
    <w:p/>
    <w:p>
      <w:pPr>
        <w:pStyle w:val="Heading3"/>
      </w:pPr>
      <w:r>
        <w:t>2.5 Trailing dinámico (Esc.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trailing</w:t>
            </w:r>
            <w:r>
              <w:rPr>
                <w:i/>
              </w:rPr>
              <w:t>initial</w:t>
            </w:r>
            <w:r>
              <w:t>margin</w:t>
            </w:r>
          </w:p>
        </w:tc>
        <w:tc>
          <w:tcPr>
            <w:tcW w:type="dxa" w:w="4320"/>
          </w:tcPr>
          <w:p>
            <w:r>
              <w:t>0,05 (stop inicial C × 0,95)</w:t>
            </w:r>
          </w:p>
        </w:tc>
      </w:tr>
      <w:tr>
        <w:tc>
          <w:tcPr>
            <w:tcW w:type="dxa" w:w="4320"/>
          </w:tcPr>
          <w:p>
            <w:r>
              <w:t>trailing</w:t>
            </w:r>
            <w:r>
              <w:rPr>
                <w:i/>
              </w:rPr>
              <w:t>breakeven</w:t>
            </w:r>
            <w:r>
              <w:t>pct</w:t>
            </w:r>
          </w:p>
        </w:tc>
        <w:tc>
          <w:tcPr>
            <w:tcW w:type="dxa" w:w="4320"/>
          </w:tcPr>
          <w:p>
            <w:r>
              <w:t>0,15 (breakeven al +15 %)</w:t>
            </w:r>
          </w:p>
        </w:tc>
      </w:tr>
      <w:tr>
        <w:tc>
          <w:tcPr>
            <w:tcW w:type="dxa" w:w="4320"/>
          </w:tcPr>
          <w:p>
            <w:r>
              <w:t>trailing</w:t>
            </w:r>
            <w:r>
              <w:rPr>
                <w:i/>
              </w:rPr>
              <w:t>trail</w:t>
            </w:r>
            <w:r>
              <w:t>pct</w:t>
            </w:r>
          </w:p>
        </w:tc>
        <w:tc>
          <w:tcPr>
            <w:tcW w:type="dxa" w:w="4320"/>
          </w:tcPr>
          <w:p>
            <w:r>
              <w:t>0,12 (trailing 12 % tras extensión 1,0×)</w:t>
            </w:r>
          </w:p>
        </w:tc>
      </w:tr>
    </w:tbl>
    <w:p/>
    <w:p>
      <w:pPr>
        <w:pStyle w:val="Heading3"/>
      </w:pPr>
      <w:r>
        <w:t>2.6 Régimen de mercado (filtro activo)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regime_filter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regime</w:t>
            </w:r>
            <w:r>
              <w:rPr>
                <w:i/>
              </w:rPr>
              <w:t>sma</w:t>
            </w:r>
            <w:r>
              <w:t>period</w:t>
            </w:r>
          </w:p>
        </w:tc>
        <w:tc>
          <w:tcPr>
            <w:tcW w:type="dxa" w:w="4320"/>
          </w:tcPr>
          <w:p>
            <w:r>
              <w:t>40 (≈ SMA200 diaria)</w:t>
            </w:r>
          </w:p>
        </w:tc>
      </w:tr>
      <w:tr>
        <w:tc>
          <w:tcPr>
            <w:tcW w:type="dxa" w:w="4320"/>
          </w:tcPr>
          <w:p>
            <w:r>
              <w:t>regime</w:t>
            </w:r>
            <w:r>
              <w:rPr>
                <w:i/>
              </w:rPr>
              <w:t>crash</w:t>
            </w:r>
            <w:r>
              <w:t>threshold</w:t>
            </w:r>
          </w:p>
        </w:tc>
        <w:tc>
          <w:tcPr>
            <w:tcW w:type="dxa" w:w="4320"/>
          </w:tcPr>
          <w:p>
            <w:r>
              <w:t>0,20 (caída &gt;20 % desde máx 52w → descartar)</w:t>
            </w:r>
          </w:p>
        </w:tc>
      </w:tr>
      <w:tr>
        <w:tc>
          <w:tcPr>
            <w:tcW w:type="dxa" w:w="4320"/>
          </w:tcPr>
          <w:p>
            <w:r>
              <w:t>regime</w:t>
            </w:r>
            <w:r>
              <w:rPr>
                <w:i/>
              </w:rPr>
              <w:t>bearish</w:t>
            </w:r>
            <w:r>
              <w:t>margin</w:t>
            </w:r>
          </w:p>
        </w:tc>
        <w:tc>
          <w:tcPr>
            <w:tcW w:type="dxa" w:w="4320"/>
          </w:tcPr>
          <w:p>
            <w:r>
              <w:t>0,05 (bearish descarta si &gt;5 % debajo SMA)</w:t>
            </w:r>
          </w:p>
        </w:tc>
      </w:tr>
    </w:tbl>
    <w:p/>
    <w:p>
      <w:pPr>
        <w:pStyle w:val="Heading3"/>
      </w:pPr>
      <w:r>
        <w:t>2.7 Backtest / walk-forward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walkforward_enabled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</w:t>
            </w:r>
            <w:r>
              <w:t xml:space="preserve"> (verificado; las métricas son forward-safe)</w:t>
            </w:r>
          </w:p>
        </w:tc>
      </w:tr>
      <w:tr>
        <w:tc>
          <w:tcPr>
            <w:tcW w:type="dxa" w:w="4320"/>
          </w:tcPr>
          <w:p>
            <w:r>
              <w:t>walkforward</w:t>
            </w:r>
            <w:r>
              <w:rPr>
                <w:i/>
              </w:rPr>
              <w:t>dedup</w:t>
            </w:r>
            <w:r>
              <w:t>weeks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max</w:t>
            </w:r>
            <w:r>
              <w:rPr>
                <w:i/>
              </w:rPr>
              <w:t>holding</w:t>
            </w:r>
            <w:r>
              <w:t>weeks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data</w:t>
            </w:r>
            <w:r>
              <w:rPr>
                <w:i/>
              </w:rPr>
              <w:t>years</w:t>
            </w:r>
            <w:r>
              <w:t>backtest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use</w:t>
            </w:r>
            <w:r>
              <w:rPr>
                <w:i/>
              </w:rPr>
              <w:t>rolling</w:t>
            </w:r>
            <w:r>
              <w:t>atr</w:t>
            </w:r>
          </w:p>
        </w:tc>
        <w:tc>
          <w:tcPr>
            <w:tcW w:type="dxa" w:w="4320"/>
          </w:tcPr>
          <w:p>
            <w:r>
              <w:t>false (ruta escalar; forward-safe por el troceo)</w:t>
            </w:r>
          </w:p>
        </w:tc>
      </w:tr>
      <w:tr>
        <w:tc>
          <w:tcPr>
            <w:tcW w:type="dxa" w:w="4320"/>
          </w:tcPr>
          <w:p>
            <w:r>
              <w:t>wave_mode</w:t>
            </w:r>
          </w:p>
        </w:tc>
        <w:tc>
          <w:tcPr>
            <w:tcW w:type="dxa" w:w="4320"/>
          </w:tcPr>
          <w:p>
            <w:r>
              <w:t xml:space="preserve">dual (standard 5y + long_cycle 15y) — </w:t>
            </w:r>
            <w:r>
              <w:rPr>
                <w:b/>
              </w:rPr>
              <w:t>ver §4: divergencia backtest↔live</w:t>
            </w:r>
          </w:p>
        </w:tc>
      </w:tr>
    </w:tbl>
    <w:p/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pPr>
        <w:pStyle w:val="Heading2"/>
      </w:pPr>
      <w:r>
        <w:t>3. Auditoría</w:t>
      </w:r>
    </w:p>
    <w:p>
      <w:pPr>
        <w:pStyle w:val="Heading3"/>
      </w:pPr>
      <w:r>
        <w:t>3.1 Sesgos ELIMINADOS (verificados en código, agosto 2026)</w:t>
      </w:r>
    </w:p>
    <w:p>
      <w:pPr>
        <w:pStyle w:val="ListBullet"/>
      </w:pPr>
      <w:r>
        <w:rPr>
          <w:b/>
        </w:rPr>
        <w:t>Look-ahead del zigzag batch</w:t>
      </w:r>
      <w:r>
        <w:t xml:space="preserve"> → resuelto con walk-forward: </w:t>
      </w:r>
      <w:r>
        <w:rPr>
          <w:rFonts w:ascii="Consolas" w:hAnsi="Consolas"/>
          <w:sz w:val="19"/>
        </w:rPr>
        <w:t>run_phase1_walkforward</w:t>
      </w:r>
      <w:r>
        <w:t xml:space="preserve"> trocea </w:t>
      </w:r>
      <w:r>
        <w:rPr>
          <w:rFonts w:ascii="Consolas" w:hAnsi="Consolas"/>
          <w:sz w:val="19"/>
        </w:rPr>
        <w:t>df.iloc[:t+1]</w:t>
      </w:r>
      <w:r>
        <w:t xml:space="preserve"> (backtester.py:387); toda la detección consume el df recortado. </w:t>
      </w:r>
      <w:r>
        <w:rPr>
          <w:b/>
        </w:rPr>
        <w:t>Verificado a mano + sub-agente adversarial + config (`walkforward_enabled: true`).</w:t>
      </w:r>
      <w:r>
        <w:t xml:space="preserve"> El PF cayó 3,87 → 2,74/2,95 (el real).</w:t>
      </w:r>
    </w:p>
    <w:p>
      <w:pPr>
        <w:pStyle w:val="ListBullet"/>
      </w:pPr>
      <w:r>
        <w:rPr>
          <w:b/>
        </w:rPr>
        <w:t>Sesgo intra-vela del trailing</w:t>
      </w:r>
      <w:r>
        <w:t xml:space="preserve"> → resuelto con snapshot: </w:t>
      </w:r>
      <w:r>
        <w:rPr>
          <w:rFonts w:ascii="Consolas" w:hAnsi="Consolas"/>
          <w:sz w:val="19"/>
        </w:rPr>
        <w:t>stop_at_open</w:t>
      </w:r>
      <w:r>
        <w:t xml:space="preserve"> se congela antes de actualizar con el High; el Low se compara contra el stop viejo (backtester.py:1000-1024). Verificado.</w:t>
      </w:r>
    </w:p>
    <w:p>
      <w:pPr>
        <w:pStyle w:val="ListBullet"/>
      </w:pPr>
      <w:r>
        <w:rPr>
          <w:b/>
        </w:rPr>
        <w:t>Salidas conservadoras</w:t>
      </w:r>
      <w:r>
        <w:t>: el stop (Low) se comprueba antes que el target (High); si coinciden en una vela, gana el stop (backtester.py:855-862). Verificado.</w:t>
      </w:r>
    </w:p>
    <w:p>
      <w:pPr>
        <w:pStyle w:val="ListBullet"/>
      </w:pPr>
      <w:r>
        <w:rPr>
          <w:b/>
        </w:rPr>
        <w:t>ATR causal</w:t>
      </w:r>
      <w:r>
        <w:t xml:space="preserve">: Wilder con </w:t>
      </w:r>
      <w:r>
        <w:rPr>
          <w:rFonts w:ascii="Consolas" w:hAnsi="Consolas"/>
          <w:sz w:val="19"/>
        </w:rPr>
        <w:t>close.shift(1)</w:t>
      </w:r>
      <w:r>
        <w:t>, sin bfill ni ventana centrada (data_fetcher.py). Precomputar y trocear no filtra futuro. Verificado.</w:t>
      </w:r>
    </w:p>
    <w:p>
      <w:pPr>
        <w:pStyle w:val="ListBullet"/>
      </w:pPr>
      <w:r>
        <w:rPr>
          <w:b/>
        </w:rPr>
        <w:t>Filtro de régimen causal</w:t>
      </w:r>
      <w:r>
        <w:t xml:space="preserve">: </w:t>
      </w:r>
      <w:r>
        <w:rPr>
          <w:rFonts w:ascii="Consolas" w:hAnsi="Consolas"/>
          <w:sz w:val="19"/>
        </w:rPr>
        <w:t>check_regime</w:t>
      </w:r>
      <w:r>
        <w:t xml:space="preserve"> usa </w:t>
      </w:r>
      <w:r>
        <w:rPr>
          <w:rFonts w:ascii="Consolas" w:hAnsi="Consolas"/>
          <w:sz w:val="19"/>
        </w:rPr>
        <w:t>idx_df.index &lt;= eval_date</w:t>
      </w:r>
      <w:r>
        <w:t xml:space="preserve"> (market_regime.py:123). No usa futuro. Verificado.</w:t>
      </w:r>
    </w:p>
    <w:p>
      <w:pPr>
        <w:pStyle w:val="ListBullet"/>
      </w:pPr>
      <w:r>
        <w:rPr>
          <w:b/>
        </w:rPr>
        <w:t>Blacklist centralizado</w:t>
      </w:r>
      <w:r>
        <w:t xml:space="preserve">: </w:t>
      </w:r>
      <w:r>
        <w:rPr>
          <w:rFonts w:ascii="Consolas" w:hAnsi="Consolas"/>
          <w:sz w:val="19"/>
        </w:rPr>
        <w:t>is_blacklisted</w:t>
      </w:r>
      <w:r>
        <w:t>/</w:t>
      </w:r>
      <w:r>
        <w:rPr>
          <w:rFonts w:ascii="Consolas" w:hAnsi="Consolas"/>
          <w:sz w:val="19"/>
        </w:rPr>
        <w:t>_get_bolsa</w:t>
      </w:r>
      <w:r>
        <w:t xml:space="preserve"> = misma función (blacklist.py). Consistente backtest↔watchlist.</w:t>
      </w:r>
    </w:p>
    <w:p>
      <w:pPr>
        <w:pStyle w:val="Heading3"/>
      </w:pPr>
      <w:r>
        <w:t>3.2 SESGOS RESIDUALES que quedan (inflan el backtest — el PF real es menor)</w:t>
      </w:r>
    </w:p>
    <w:p>
      <w:pPr>
        <w:pStyle w:val="ListBullet"/>
      </w:pPr>
      <w:r>
        <w:rPr>
          <w:b/>
        </w:rPr>
        <w:t>[ALTO] Selección de universo con datos de fin de muestra.</w:t>
      </w:r>
      <w:r>
        <w:t xml:space="preserve"> El filtro de liquidez usa las últimas 52 semanas (data</w:t>
      </w:r>
      <w:r>
        <w:rPr>
          <w:i/>
        </w:rPr>
        <w:t xml:space="preserve">fetcher.py:340) y el de spikes la serie completa (:347-358) para decidir si un ticker entra — y luego se backtestea desde 2013. Sumado a que el universo son listas `tickers/*.txt` actuales → **look-ahead de selección + supervivencia**. </w:t>
      </w:r>
      <w:r>
        <w:t>Fix: recalcular liquidez/spikes de forma rolling/causal dentro del walk-forward._</w:t>
      </w:r>
    </w:p>
    <w:p>
      <w:pPr>
        <w:pStyle w:val="ListBullet"/>
      </w:pPr>
      <w:r>
        <w:rPr>
          <w:b/>
        </w:rPr>
        <w:t>[MEDIO] Fills perfectos.</w:t>
      </w:r>
      <w:r>
        <w:t xml:space="preserve"> Las salidas asumen ejecución exacta al stop/target sin slippage ni gaps; en velas semanales el rango intra-vela es enorme → infla el PF.</w:t>
      </w:r>
    </w:p>
    <w:p>
      <w:pPr>
        <w:pStyle w:val="ListBullet"/>
      </w:pPr>
      <w:r>
        <w:rPr>
          <w:b/>
        </w:rPr>
        <w:t>[MEDIO/divergencia] Backtest ≠ live.</w:t>
      </w:r>
      <w:r>
        <w:t xml:space="preserve"> En vivo </w:t>
      </w:r>
      <w:r>
        <w:rPr>
          <w:rFonts w:ascii="Consolas" w:hAnsi="Consolas"/>
          <w:sz w:val="19"/>
        </w:rPr>
        <w:t>wave_mode: dual</w:t>
      </w:r>
      <w:r>
        <w:t xml:space="preserve"> fusiona dos perfiles (5y+15y) y toma un ganador por ticker; el backtest usa un solo config y evalúa todos los pares. </w:t>
      </w:r>
      <w:r>
        <w:rPr>
          <w:b/>
        </w:rPr>
        <w:t>Parte de lo que ve el usuario en la watchlist nunca se backtesteó.</w:t>
      </w:r>
    </w:p>
    <w:p>
      <w:pPr>
        <w:pStyle w:val="Heading3"/>
      </w:pPr>
      <w:r>
        <w:t>3.3 Filtros que SÍ aportan</w:t>
      </w:r>
    </w:p>
    <w:p>
      <w:pPr>
        <w:pStyle w:val="ListBullet"/>
      </w:pPr>
      <w:r>
        <w:t>Blacklist empírico (HE, CO, DE), extension dead zone (0,60–1,00), rango fibonacci 0,30–0,75.</w:t>
      </w:r>
    </w:p>
    <w:p>
      <w:pPr>
        <w:pStyle w:val="Heading3"/>
      </w:pPr>
      <w:r>
        <w:t>3.4 Filtros que NO aportan (rechazados con disciplina)</w:t>
      </w:r>
    </w:p>
    <w:p>
      <w:pPr>
        <w:pStyle w:val="ListBullet"/>
      </w:pPr>
      <w:r>
        <w:t>Momentum 6M del índice (eliminaba más ganadoras que perdedoras). Conservado inactivo.</w:t>
      </w:r>
    </w:p>
    <w:p>
      <w:pPr>
        <w:pStyle w:val="ListBullet"/>
      </w:pPr>
      <w:r>
        <w:t>Scoring por regresión logística (Spearman OOS &lt; umbral). Conservado desactivado.</w:t>
      </w:r>
    </w:p>
    <w:p>
      <w:pPr>
        <w:pStyle w:val="Heading3"/>
      </w:pPr>
      <w:r>
        <w:t>3.5 Bugs de REPORTE (no afectan a los trades, sí a lo que se muestra)</w:t>
      </w:r>
    </w:p>
    <w:p>
      <w:pPr>
        <w:pStyle w:val="ListBullet"/>
      </w:pPr>
      <w:r>
        <w:rPr>
          <w:b/>
        </w:rPr>
        <w:t>"Max drawdown"</w:t>
      </w:r>
      <w:r>
        <w:t xml:space="preserve"> en el informe = </w:t>
      </w:r>
      <w:r>
        <w:rPr>
          <w:rFonts w:ascii="Consolas" w:hAnsi="Consolas"/>
          <w:sz w:val="19"/>
        </w:rPr>
        <w:t>min()</w:t>
      </w:r>
      <w:r>
        <w:t xml:space="preserve"> del peor drawdown *intra-trade* de UNA operación (p.ej. −78 % de RCL 2019), </w:t>
      </w:r>
      <w:r>
        <w:rPr>
          <w:b/>
        </w:rPr>
        <w:t>NO el drawdown de cartera</w:t>
      </w:r>
      <w:r>
        <w:t xml:space="preserve">. Renombrar a </w:t>
      </w:r>
      <w:r>
        <w:rPr>
          <w:rFonts w:ascii="Consolas" w:hAnsi="Consolas"/>
          <w:sz w:val="19"/>
        </w:rPr>
        <w:t>peor_drawdown_intratrade</w:t>
      </w:r>
      <w:r>
        <w:t>. El drawdown de cartera real es ≈ −44 % (§1.bis).</w:t>
      </w:r>
    </w:p>
    <w:p>
      <w:pPr>
        <w:pStyle w:val="ListBullet"/>
      </w:pPr>
      <w:r>
        <w:rPr>
          <w:b/>
        </w:rPr>
        <w:t>`recovery_factor`</w:t>
      </w:r>
      <w:r>
        <w:t xml:space="preserve"> mezcla numerador agregado con denominador de un solo trade → sin sentido. Quitar.</w:t>
      </w:r>
    </w:p>
    <w:p>
      <w:pPr>
        <w:pStyle w:val="ListBullet"/>
      </w:pPr>
      <w:r>
        <w:rPr>
          <w:b/>
        </w:rPr>
        <w:t>`win_rate_t1` / `TARGET_1`</w:t>
      </w:r>
      <w:r>
        <w:t xml:space="preserve">: </w:t>
      </w:r>
      <w:r>
        <w:rPr>
          <w:rFonts w:ascii="Consolas" w:hAnsi="Consolas"/>
          <w:sz w:val="19"/>
        </w:rPr>
        <w:t>exit_reason="TARGET_1"</w:t>
      </w:r>
      <w:r>
        <w:t xml:space="preserve"> nunca se emite; </w:t>
      </w:r>
      <w:r>
        <w:rPr>
          <w:rFonts w:ascii="Consolas" w:hAnsi="Consolas"/>
          <w:sz w:val="19"/>
        </w:rPr>
        <w:t>win_rate_t1</w:t>
      </w:r>
      <w:r>
        <w:t xml:space="preserve"> agrega en realidad TIMEOUT_T1+T2. Renombrar.</w:t>
      </w:r>
    </w:p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pPr>
        <w:pStyle w:val="Heading2"/>
      </w:pPr>
      <w:r>
        <w:t>4. Limitaciones conocidas (actualizadas)</w:t>
      </w:r>
    </w:p>
    <w:p>
      <w:pPr>
        <w:pStyle w:val="ListBullet"/>
      </w:pPr>
      <w:r>
        <w:rPr>
          <w:b/>
        </w:rPr>
        <w:t>Mayormente beta + small-cap; alpha no demostrado</w:t>
      </w:r>
      <w:r>
        <w:t xml:space="preserve"> (§1.bis). El sistema captura, sobre todo, exposición al mercado US y a la prima de tamaño.</w:t>
      </w:r>
    </w:p>
    <w:p>
      <w:pPr>
        <w:pStyle w:val="ListBullet"/>
      </w:pPr>
      <w:r>
        <w:rPr>
          <w:b/>
        </w:rPr>
        <w:t>PF reportado = techo optimista</w:t>
      </w:r>
      <w:r>
        <w:t xml:space="preserve"> por selección de universo y fills perfectos (§3.2).</w:t>
      </w:r>
    </w:p>
    <w:p>
      <w:pPr>
        <w:pStyle w:val="ListBullet"/>
      </w:pPr>
      <w:r>
        <w:rPr>
          <w:b/>
        </w:rPr>
        <w:t>Sesgo de supervivencia y de selección de universo</w:t>
      </w:r>
      <w:r>
        <w:t xml:space="preserve"> sin cuantificar del todo (listas actuales + filtros de fin de muestra).</w:t>
      </w:r>
    </w:p>
    <w:p>
      <w:pPr>
        <w:pStyle w:val="ListBullet"/>
      </w:pPr>
      <w:r>
        <w:rPr>
          <w:b/>
        </w:rPr>
        <w:t>Régimen-dependencia fuerte</w:t>
      </w:r>
      <w:r>
        <w:t>: PF por año entre 0,23 (2021) y &gt;20 (2016). Años perdedores: 2015, 2018, 2019, 2021. No es estacionario. Notable: 2019 y 2021 (años ALCISTAS del SPX) fueron perdedores → no es beta simple, pero tampoco alpha limpio.</w:t>
      </w:r>
    </w:p>
    <w:p>
      <w:pPr>
        <w:pStyle w:val="ListBullet"/>
      </w:pPr>
      <w:r>
        <w:rPr>
          <w:b/>
        </w:rPr>
        <w:t>Drawdown real ≈ −44 % y ~2 años underwater (2022-23)</w:t>
      </w:r>
      <w:r>
        <w:t>: operarlo exige tolerar un drawdown mayor que el del índice y largos periodos planos.</w:t>
      </w:r>
    </w:p>
    <w:p>
      <w:pPr>
        <w:pStyle w:val="ListBullet"/>
      </w:pPr>
      <w:r>
        <w:rPr>
          <w:b/>
        </w:rPr>
        <w:t>Sistema lento</w:t>
      </w:r>
      <w:r>
        <w:t>: 47 sem de holding; 74 % termina por TIMEOUT.</w:t>
      </w:r>
    </w:p>
    <w:p>
      <w:pPr>
        <w:pStyle w:val="ListBullet"/>
      </w:pPr>
      <w:r>
        <w:rPr>
          <w:b/>
        </w:rPr>
        <w:t>Score sin valor predictivo</w:t>
      </w:r>
      <w:r>
        <w:t xml:space="preserve"> (ver corrección abajo).</w:t>
      </w:r>
    </w:p>
    <w:p>
      <w:pPr>
        <w:pStyle w:val="ListBullet"/>
      </w:pPr>
      <w:r>
        <w:rPr>
          <w:b/>
        </w:rPr>
        <w:t>Concentración</w:t>
      </w:r>
      <w:r>
        <w:t>: US = 77 % de las señales; top-10 tickers = 46 % del P&amp;L; el tramo reciente (2023-25) se apoya en semis/industriales/financieras US.</w:t>
      </w:r>
    </w:p>
    <w:p>
      <w:pPr>
        <w:pStyle w:val="ListBullet"/>
      </w:pPr>
      <w:r>
        <w:rPr>
          <w:b/>
        </w:rPr>
        <w:t>Falsos positivos por catalizadores</w:t>
      </w:r>
      <w:r>
        <w:t>: no distingue movimientos orgánicos de noticias (IPO, fusiones, etc.).</w:t>
      </w:r>
    </w:p>
    <w:p>
      <w:pPr>
        <w:pStyle w:val="Heading3"/>
      </w:pPr>
      <w:r>
        <w:t>CORRECCIÓN vs v1.7 — el "cluster premium" de score NO existe</w:t>
      </w:r>
    </w:p>
    <w:p>
      <w:r>
        <w:t xml:space="preserve">La v1.7 afirmaba en el resumen que "trades con score ≥ 70 tienen PF 13,4 y E[r] +25 % (n=21)". </w:t>
      </w:r>
      <w:r>
        <w:rPr>
          <w:b/>
        </w:rPr>
        <w:t>Esto era engañoso y se retira.</w:t>
      </w:r>
      <w:r>
        <w:t xml:space="preserve"> El score </w:t>
      </w:r>
      <w:r>
        <w:rPr>
          <w:b/>
        </w:rPr>
        <w:t>no tiene poder predictivo</w:t>
      </w:r>
      <w:r>
        <w:t xml:space="preserve">: Spearman(score, retorno) = +0,012 (abril) / +0,025 (agosto), esencialmente cero. El PF alto del bucket "score ≥ 70" (13,4 → 9,31 en agosto, n≈20) es un </w:t>
      </w:r>
      <w:r>
        <w:rPr>
          <w:b/>
        </w:rPr>
        <w:t>artefacto de muestra minúscula + cola derecha</w:t>
      </w:r>
      <w:r>
        <w:t xml:space="preserve">, no una regla operativa. El ranking del watchlist debe ser por </w:t>
      </w:r>
      <w:r>
        <w:rPr>
          <w:b/>
        </w:rPr>
        <w:t>distancia al breakout</w:t>
      </w:r>
      <w:r>
        <w:t>, no por "calidad" del score. (Igual ocurre con la segmentación por Fibonacci: Spearman ≈ −0,03, sin señal.)</w:t>
      </w:r>
    </w:p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pPr>
        <w:pStyle w:val="Heading2"/>
      </w:pPr>
      <w:r>
        <w:t>5. Stack técnico</w:t>
      </w:r>
    </w:p>
    <w:p>
      <w:r>
        <w:t>Python 3.11+ · yfinance (semanal, ~957 tickers + ^GSPC/^VIX/^TNX) · caché parquet · zigzag ATR (Wilder 14; multiplicadores 4,0/2,0/2,5) · matplotlib (charts PNG) · pytest.</w:t>
      </w:r>
    </w:p>
    <w:p>
      <w:pPr>
        <w:jc w:val="center"/>
      </w:pPr>
      <w:r>
        <w:rPr>
          <w:color w:val="BBBBBB"/>
        </w:rPr>
        <w:t>――――――――――――――――――――――――――――――</w:t>
      </w:r>
    </w:p>
    <w:p>
      <w:r>
        <w:rPr>
          <w:i/>
        </w:rPr>
        <w:t>Documento de referencia técnica. v1.8 generado el 28-ago-2026 tras la auditoría de agosto (métricas, factores y código). Ver artefactos: `context/elliott-analisis-run-agosto2026.md`, `context/elliott-code-review.md`, `context/elliott-exhibits-resultados.md`.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