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1939A1" w14:textId="513B040A" w:rsidR="00D00CA6" w:rsidRDefault="00D00CA6" w:rsidP="00D00CA6">
      <w:pPr>
        <w:pStyle w:val="author"/>
        <w:rPr>
          <w:b/>
          <w:sz w:val="28"/>
        </w:rPr>
      </w:pPr>
      <w:r>
        <w:rPr>
          <w:b/>
          <w:sz w:val="28"/>
        </w:rPr>
        <w:t>Assignment 1</w:t>
      </w:r>
    </w:p>
    <w:p w14:paraId="0AC4A032" w14:textId="50977670" w:rsidR="00D00CA6" w:rsidRPr="00EE426C" w:rsidRDefault="00D00CA6" w:rsidP="00D00CA6">
      <w:pPr>
        <w:pStyle w:val="author"/>
      </w:pPr>
      <w:r>
        <w:t>Omar A. Shakir Al-Faiadh</w:t>
      </w:r>
      <w:r w:rsidRPr="00EE426C">
        <w:rPr>
          <w:vertAlign w:val="superscript"/>
        </w:rPr>
        <w:t>1</w:t>
      </w:r>
      <w:r>
        <w:rPr>
          <w:rStyle w:val="ORCID"/>
        </w:rPr>
        <w:t>[201735167]</w:t>
      </w:r>
    </w:p>
    <w:p w14:paraId="34425550" w14:textId="3A7E2AE5" w:rsidR="00D00CA6" w:rsidRPr="00EE426C" w:rsidRDefault="00D00CA6" w:rsidP="00D00CA6">
      <w:pPr>
        <w:pStyle w:val="address"/>
      </w:pPr>
      <w:r w:rsidRPr="00EE426C">
        <w:rPr>
          <w:vertAlign w:val="superscript"/>
        </w:rPr>
        <w:t>1</w:t>
      </w:r>
      <w:r w:rsidRPr="00EE426C">
        <w:t xml:space="preserve"> </w:t>
      </w:r>
      <w:r>
        <w:t>UAE University</w:t>
      </w:r>
      <w:r w:rsidRPr="00EE426C">
        <w:t xml:space="preserve">, </w:t>
      </w:r>
      <w:r>
        <w:t>UAE</w:t>
      </w:r>
    </w:p>
    <w:p w14:paraId="0D02FF49" w14:textId="3397CD51" w:rsidR="00D00CA6" w:rsidRDefault="00D00CA6" w:rsidP="00EF1EB0">
      <w:pPr>
        <w:overflowPunct/>
        <w:autoSpaceDE/>
        <w:autoSpaceDN/>
        <w:adjustRightInd/>
        <w:spacing w:line="240" w:lineRule="auto"/>
        <w:ind w:firstLine="0"/>
        <w:jc w:val="left"/>
        <w:textAlignment w:val="auto"/>
      </w:pPr>
      <w:r w:rsidRPr="00EF1EB0">
        <w:rPr>
          <w:b/>
          <w:bCs/>
        </w:rPr>
        <w:t xml:space="preserve">Abstract. </w:t>
      </w:r>
      <w:r w:rsidR="00EF1EB0" w:rsidRPr="00EF1EB0">
        <w:t xml:space="preserve">In this assignment, Online retail sales price dataset was used for some marketing analytics. The data acquisition and characteristics </w:t>
      </w:r>
      <w:r w:rsidR="008A1B57" w:rsidRPr="00EF1EB0">
        <w:t>were</w:t>
      </w:r>
      <w:r w:rsidR="00EF1EB0" w:rsidRPr="00EF1EB0">
        <w:t xml:space="preserve"> explained in the first part of this report. In the second part of the report, some pivot tables and pivot charts were applied and used to acquire insights about the data. Lastly, this report gives some recommendations based on </w:t>
      </w:r>
      <w:r w:rsidR="008A1B57" w:rsidRPr="00EF1EB0">
        <w:t>insights</w:t>
      </w:r>
      <w:r w:rsidR="00EF1EB0" w:rsidRPr="00EF1EB0">
        <w:t xml:space="preserve"> to enhance the marketing techniques and strategies.</w:t>
      </w:r>
    </w:p>
    <w:p w14:paraId="7565E035" w14:textId="77777777" w:rsidR="00EF1EB0" w:rsidRPr="00EF1EB0" w:rsidRDefault="00EF1EB0" w:rsidP="00EF1EB0">
      <w:pPr>
        <w:overflowPunct/>
        <w:autoSpaceDE/>
        <w:autoSpaceDN/>
        <w:adjustRightInd/>
        <w:spacing w:line="240" w:lineRule="auto"/>
        <w:ind w:firstLine="0"/>
        <w:jc w:val="left"/>
        <w:textAlignment w:val="auto"/>
      </w:pPr>
    </w:p>
    <w:p w14:paraId="2B98475C" w14:textId="605747DD" w:rsidR="00EF1EB0" w:rsidRDefault="00D00CA6" w:rsidP="00EF1EB0">
      <w:pPr>
        <w:overflowPunct/>
        <w:autoSpaceDE/>
        <w:autoSpaceDN/>
        <w:adjustRightInd/>
        <w:spacing w:line="240" w:lineRule="auto"/>
        <w:ind w:firstLine="0"/>
        <w:jc w:val="left"/>
        <w:textAlignment w:val="auto"/>
      </w:pPr>
      <w:r w:rsidRPr="00EF1EB0">
        <w:rPr>
          <w:b/>
          <w:bCs/>
        </w:rPr>
        <w:t>Keywords:</w:t>
      </w:r>
      <w:r w:rsidRPr="00EF1EB0">
        <w:t xml:space="preserve"> </w:t>
      </w:r>
      <w:r w:rsidR="00EF1EB0" w:rsidRPr="00EF1EB0">
        <w:t>Online Retail, Marketing Analytics, Pivot Tables, Pivot Charts, UK.</w:t>
      </w:r>
    </w:p>
    <w:p w14:paraId="4C4D9C07" w14:textId="4228A03E" w:rsidR="00D00CA6" w:rsidRPr="004A7057" w:rsidRDefault="00D00CA6" w:rsidP="00EF1EB0">
      <w:pPr>
        <w:pStyle w:val="heading1"/>
      </w:pPr>
      <w:r w:rsidRPr="004A7057">
        <w:t>About Data</w:t>
      </w:r>
    </w:p>
    <w:p w14:paraId="5A5BD39D" w14:textId="77777777" w:rsidR="00D266F4" w:rsidRDefault="00D00CA6" w:rsidP="00D266F4">
      <w:pPr>
        <w:pStyle w:val="heading2"/>
        <w:spacing w:before="0"/>
      </w:pPr>
      <w:r>
        <w:t>Data acquisition process</w:t>
      </w:r>
    </w:p>
    <w:p w14:paraId="4DD8D52D" w14:textId="13E197F9" w:rsidR="00D266F4" w:rsidRPr="00D266F4" w:rsidRDefault="00D266F4" w:rsidP="00D266F4">
      <w:pPr>
        <w:pStyle w:val="NoSpacing"/>
      </w:pPr>
      <w:r w:rsidRPr="00D266F4">
        <w:t xml:space="preserve">The data was collected from an online retail company based in the UK. The dataset shows all purchases made in that online retail company during 8 months. The data was released on Kaggle by Vijaykumar </w:t>
      </w:r>
      <w:proofErr w:type="spellStart"/>
      <w:r w:rsidRPr="00D266F4">
        <w:t>Ummadisetty</w:t>
      </w:r>
      <w:proofErr w:type="spellEnd"/>
      <w:r w:rsidRPr="00D266F4">
        <w:t>.</w:t>
      </w:r>
    </w:p>
    <w:p w14:paraId="6B3B6FD7" w14:textId="0C46FC60" w:rsidR="00C615FC" w:rsidRPr="00C615FC" w:rsidRDefault="00C615FC" w:rsidP="00C615FC">
      <w:pPr>
        <w:pStyle w:val="p1a"/>
      </w:pPr>
    </w:p>
    <w:p w14:paraId="09BE4B16" w14:textId="347F5F41" w:rsidR="00C615FC" w:rsidRDefault="00C615FC" w:rsidP="00C615FC">
      <w:pPr>
        <w:pStyle w:val="heading2"/>
      </w:pPr>
      <w:r w:rsidRPr="00C615FC">
        <w:t>Characteristics of the data</w:t>
      </w:r>
    </w:p>
    <w:p w14:paraId="66460F86" w14:textId="56C6FC12" w:rsidR="00D266F4" w:rsidRPr="00D266F4" w:rsidRDefault="00D266F4" w:rsidP="00D266F4">
      <w:pPr>
        <w:pStyle w:val="NoSpacing"/>
      </w:pPr>
      <w:r w:rsidRPr="00D266F4">
        <w:t>The dataset contains 910 records and 8 attributes (columns). These are the 8 different attributes that we have in this dataset:</w:t>
      </w:r>
    </w:p>
    <w:p w14:paraId="28CE7274" w14:textId="77777777" w:rsidR="00D266F4" w:rsidRPr="00D266F4" w:rsidRDefault="00D266F4" w:rsidP="00D266F4">
      <w:pPr>
        <w:pStyle w:val="NoSpacing"/>
      </w:pPr>
      <w:r w:rsidRPr="00D266F4">
        <w:t>-</w:t>
      </w:r>
      <w:proofErr w:type="spellStart"/>
      <w:r w:rsidRPr="00D266F4">
        <w:t>InvoiceNo</w:t>
      </w:r>
      <w:proofErr w:type="spellEnd"/>
      <w:r w:rsidRPr="00D266F4">
        <w:t>:</w:t>
      </w:r>
    </w:p>
    <w:p w14:paraId="13099FC3" w14:textId="77777777" w:rsidR="00D266F4" w:rsidRPr="00D266F4" w:rsidRDefault="00D266F4" w:rsidP="00D266F4">
      <w:pPr>
        <w:pStyle w:val="NoSpacing"/>
      </w:pPr>
      <w:r w:rsidRPr="00D266F4">
        <w:t>Type: Categorical</w:t>
      </w:r>
    </w:p>
    <w:p w14:paraId="7342CA96" w14:textId="77777777" w:rsidR="00D266F4" w:rsidRPr="00D266F4" w:rsidRDefault="00D266F4" w:rsidP="00D266F4">
      <w:pPr>
        <w:pStyle w:val="NoSpacing"/>
      </w:pPr>
      <w:r w:rsidRPr="00D266F4">
        <w:t xml:space="preserve">Description: it is a unique identifier of each transaction. It has 25,900 unique values, no missing values, no mismatches. "573585" is the most common </w:t>
      </w:r>
      <w:proofErr w:type="spellStart"/>
      <w:r w:rsidRPr="00D266F4">
        <w:t>InvoiceNo</w:t>
      </w:r>
      <w:proofErr w:type="spellEnd"/>
      <w:r w:rsidRPr="00D266F4">
        <w:t>.</w:t>
      </w:r>
    </w:p>
    <w:p w14:paraId="6462D905" w14:textId="77777777" w:rsidR="00D266F4" w:rsidRPr="00D266F4" w:rsidRDefault="00D266F4" w:rsidP="00D266F4">
      <w:pPr>
        <w:pStyle w:val="NoSpacing"/>
      </w:pPr>
    </w:p>
    <w:p w14:paraId="3F2C90D3" w14:textId="77777777" w:rsidR="00D266F4" w:rsidRPr="00D266F4" w:rsidRDefault="00D266F4" w:rsidP="00D266F4">
      <w:pPr>
        <w:pStyle w:val="NoSpacing"/>
      </w:pPr>
      <w:r w:rsidRPr="00D266F4">
        <w:t>-</w:t>
      </w:r>
      <w:proofErr w:type="spellStart"/>
      <w:r w:rsidRPr="00D266F4">
        <w:t>StockCode</w:t>
      </w:r>
      <w:proofErr w:type="spellEnd"/>
      <w:r w:rsidRPr="00D266F4">
        <w:t>:</w:t>
      </w:r>
    </w:p>
    <w:p w14:paraId="2BBCB9BB" w14:textId="77777777" w:rsidR="00D266F4" w:rsidRPr="00D266F4" w:rsidRDefault="00D266F4" w:rsidP="00D266F4">
      <w:pPr>
        <w:pStyle w:val="NoSpacing"/>
      </w:pPr>
      <w:r w:rsidRPr="00D266F4">
        <w:t> Type: Categorical</w:t>
      </w:r>
    </w:p>
    <w:p w14:paraId="022E14ED" w14:textId="77777777" w:rsidR="00D266F4" w:rsidRPr="00D266F4" w:rsidRDefault="00D266F4" w:rsidP="00D266F4">
      <w:pPr>
        <w:pStyle w:val="NoSpacing"/>
      </w:pPr>
      <w:r w:rsidRPr="00D266F4">
        <w:t xml:space="preserve">Description: it is a code or a number that represents or identifies the purchased items. There are 4,070 unique values, no missing values, and no mismatched values. "85123A" is the most common value in </w:t>
      </w:r>
      <w:proofErr w:type="spellStart"/>
      <w:r w:rsidRPr="00D266F4">
        <w:t>StockCode</w:t>
      </w:r>
      <w:proofErr w:type="spellEnd"/>
      <w:r w:rsidRPr="00D266F4">
        <w:t>.</w:t>
      </w:r>
    </w:p>
    <w:p w14:paraId="3CE58158" w14:textId="77777777" w:rsidR="00D266F4" w:rsidRPr="00D266F4" w:rsidRDefault="00D266F4" w:rsidP="00D266F4">
      <w:pPr>
        <w:pStyle w:val="NoSpacing"/>
      </w:pPr>
    </w:p>
    <w:p w14:paraId="4B9FDE1E" w14:textId="77777777" w:rsidR="00D266F4" w:rsidRPr="00D266F4" w:rsidRDefault="00D266F4" w:rsidP="00D266F4">
      <w:pPr>
        <w:pStyle w:val="NoSpacing"/>
      </w:pPr>
      <w:r w:rsidRPr="00D266F4">
        <w:t>-Description:</w:t>
      </w:r>
    </w:p>
    <w:p w14:paraId="4F190AE0" w14:textId="77777777" w:rsidR="00D266F4" w:rsidRPr="00D266F4" w:rsidRDefault="00D266F4" w:rsidP="00D266F4">
      <w:pPr>
        <w:pStyle w:val="NoSpacing"/>
      </w:pPr>
      <w:r w:rsidRPr="00D266F4">
        <w:t>Type: Categorical</w:t>
      </w:r>
    </w:p>
    <w:p w14:paraId="0EC31562" w14:textId="77777777" w:rsidR="00D266F4" w:rsidRPr="00D266F4" w:rsidRDefault="00D266F4" w:rsidP="00D266F4">
      <w:pPr>
        <w:pStyle w:val="NoSpacing"/>
      </w:pPr>
      <w:r w:rsidRPr="00D266F4">
        <w:t> Description: it shows a description of the purchased item. There is 4,224 unique values, 1,454 missing values, and no mismatched values. "WHITE HANGING HEART T-LIGHT HOLDER" is the most common value in Description.</w:t>
      </w:r>
    </w:p>
    <w:p w14:paraId="6D181A8E" w14:textId="77777777" w:rsidR="00D266F4" w:rsidRPr="00D266F4" w:rsidRDefault="00D266F4" w:rsidP="00D266F4">
      <w:pPr>
        <w:pStyle w:val="NoSpacing"/>
      </w:pPr>
    </w:p>
    <w:p w14:paraId="50BF9E24" w14:textId="77777777" w:rsidR="00D266F4" w:rsidRPr="00D266F4" w:rsidRDefault="00D266F4" w:rsidP="00D266F4">
      <w:pPr>
        <w:pStyle w:val="NoSpacing"/>
      </w:pPr>
      <w:r w:rsidRPr="00D266F4">
        <w:t>-Quantity:</w:t>
      </w:r>
    </w:p>
    <w:p w14:paraId="62229BED" w14:textId="77777777" w:rsidR="00D266F4" w:rsidRPr="00D266F4" w:rsidRDefault="00D266F4" w:rsidP="00D266F4">
      <w:pPr>
        <w:pStyle w:val="NoSpacing"/>
      </w:pPr>
      <w:r w:rsidRPr="00D266F4">
        <w:lastRenderedPageBreak/>
        <w:t>Type: Numerical</w:t>
      </w:r>
    </w:p>
    <w:p w14:paraId="64C4AC8F" w14:textId="77777777" w:rsidR="00D266F4" w:rsidRPr="00D266F4" w:rsidRDefault="00D266F4" w:rsidP="00D266F4">
      <w:pPr>
        <w:pStyle w:val="NoSpacing"/>
      </w:pPr>
      <w:r w:rsidRPr="00D266F4">
        <w:t>Description: it shows how many units was purchased in each transaction. Values range from -80,995 to 81,000. The mean is 9.55 and the standard deviation is 218.</w:t>
      </w:r>
    </w:p>
    <w:p w14:paraId="681CE581" w14:textId="77777777" w:rsidR="00D266F4" w:rsidRPr="00D266F4" w:rsidRDefault="00D266F4" w:rsidP="00D266F4">
      <w:pPr>
        <w:pStyle w:val="NoSpacing"/>
      </w:pPr>
    </w:p>
    <w:p w14:paraId="379D73DC" w14:textId="77777777" w:rsidR="00D266F4" w:rsidRPr="00D266F4" w:rsidRDefault="00D266F4" w:rsidP="00D266F4">
      <w:pPr>
        <w:pStyle w:val="NoSpacing"/>
      </w:pPr>
      <w:r w:rsidRPr="00D266F4">
        <w:t>-</w:t>
      </w:r>
      <w:proofErr w:type="spellStart"/>
      <w:r w:rsidRPr="00D266F4">
        <w:t>InvoiceDate</w:t>
      </w:r>
      <w:proofErr w:type="spellEnd"/>
      <w:r w:rsidRPr="00D266F4">
        <w:t>:</w:t>
      </w:r>
    </w:p>
    <w:p w14:paraId="2E728B46" w14:textId="28CAE18E" w:rsidR="00D266F4" w:rsidRPr="00D266F4" w:rsidRDefault="00D266F4" w:rsidP="00D266F4">
      <w:pPr>
        <w:pStyle w:val="NoSpacing"/>
      </w:pPr>
      <w:r w:rsidRPr="00D266F4">
        <w:t xml:space="preserve">Type: Date </w:t>
      </w:r>
      <w:r w:rsidR="00672974" w:rsidRPr="00D266F4">
        <w:t>and Time</w:t>
      </w:r>
    </w:p>
    <w:p w14:paraId="7B55D9C9" w14:textId="77777777" w:rsidR="00D266F4" w:rsidRPr="00D266F4" w:rsidRDefault="00D266F4" w:rsidP="00D266F4">
      <w:pPr>
        <w:pStyle w:val="NoSpacing"/>
      </w:pPr>
      <w:r w:rsidRPr="00D266F4">
        <w:t xml:space="preserve">Description: it shows the date and time of </w:t>
      </w:r>
      <w:proofErr w:type="spellStart"/>
      <w:r w:rsidRPr="00D266F4">
        <w:t>he</w:t>
      </w:r>
      <w:proofErr w:type="spellEnd"/>
      <w:r w:rsidRPr="00D266F4">
        <w:t xml:space="preserve"> transaction. The </w:t>
      </w:r>
      <w:proofErr w:type="spellStart"/>
      <w:r w:rsidRPr="00D266F4">
        <w:t>InvoiceDate</w:t>
      </w:r>
      <w:proofErr w:type="spellEnd"/>
      <w:r w:rsidRPr="00D266F4">
        <w:t xml:space="preserve"> ranges from "1Dec10" to "9Dec11", which means from 1st of December 2010 to 9th of December 2011. There is no missing value, and no mismatched values.</w:t>
      </w:r>
    </w:p>
    <w:p w14:paraId="279100A9" w14:textId="77777777" w:rsidR="00D266F4" w:rsidRPr="00D266F4" w:rsidRDefault="00D266F4" w:rsidP="00D266F4">
      <w:pPr>
        <w:pStyle w:val="NoSpacing"/>
      </w:pPr>
    </w:p>
    <w:p w14:paraId="00D32AFD" w14:textId="77777777" w:rsidR="00D266F4" w:rsidRPr="00D266F4" w:rsidRDefault="00D266F4" w:rsidP="00D266F4">
      <w:pPr>
        <w:pStyle w:val="NoSpacing"/>
      </w:pPr>
      <w:r w:rsidRPr="00D266F4">
        <w:t>-</w:t>
      </w:r>
      <w:proofErr w:type="spellStart"/>
      <w:r w:rsidRPr="00D266F4">
        <w:t>UnitPrice</w:t>
      </w:r>
      <w:proofErr w:type="spellEnd"/>
      <w:r w:rsidRPr="00D266F4">
        <w:t>:</w:t>
      </w:r>
    </w:p>
    <w:p w14:paraId="4024EC59" w14:textId="77777777" w:rsidR="00D266F4" w:rsidRPr="00D266F4" w:rsidRDefault="00D266F4" w:rsidP="00D266F4">
      <w:pPr>
        <w:pStyle w:val="NoSpacing"/>
      </w:pPr>
      <w:r w:rsidRPr="00D266F4">
        <w:t>Type: Numerical</w:t>
      </w:r>
    </w:p>
    <w:p w14:paraId="638BF443" w14:textId="77777777" w:rsidR="00D266F4" w:rsidRPr="00D266F4" w:rsidRDefault="00D266F4" w:rsidP="00D266F4">
      <w:pPr>
        <w:pStyle w:val="NoSpacing"/>
      </w:pPr>
      <w:r w:rsidRPr="00D266F4">
        <w:t>Description: it shows the price per unit of each item. This attribute ranges from -11,100 to 39,000. The mean is 4.61 and the standard deviation is 96.8.</w:t>
      </w:r>
    </w:p>
    <w:p w14:paraId="0B26A328" w14:textId="77777777" w:rsidR="00D266F4" w:rsidRPr="00D266F4" w:rsidRDefault="00D266F4" w:rsidP="00D266F4">
      <w:pPr>
        <w:pStyle w:val="NoSpacing"/>
      </w:pPr>
    </w:p>
    <w:p w14:paraId="644DEFD3" w14:textId="77777777" w:rsidR="00D266F4" w:rsidRPr="00D266F4" w:rsidRDefault="00D266F4" w:rsidP="00D266F4">
      <w:pPr>
        <w:pStyle w:val="NoSpacing"/>
      </w:pPr>
      <w:r w:rsidRPr="00D266F4">
        <w:t>-</w:t>
      </w:r>
      <w:proofErr w:type="spellStart"/>
      <w:r w:rsidRPr="00D266F4">
        <w:t>CustomerID</w:t>
      </w:r>
      <w:proofErr w:type="spellEnd"/>
      <w:r w:rsidRPr="00D266F4">
        <w:t>:</w:t>
      </w:r>
    </w:p>
    <w:p w14:paraId="1CF657A2" w14:textId="77777777" w:rsidR="00D266F4" w:rsidRPr="00D266F4" w:rsidRDefault="00D266F4" w:rsidP="00D266F4">
      <w:pPr>
        <w:pStyle w:val="NoSpacing"/>
      </w:pPr>
      <w:r w:rsidRPr="00D266F4">
        <w:t>Type: Categorical</w:t>
      </w:r>
    </w:p>
    <w:p w14:paraId="318C9D7F" w14:textId="77777777" w:rsidR="00D266F4" w:rsidRPr="00D266F4" w:rsidRDefault="00D266F4" w:rsidP="00D266F4">
      <w:pPr>
        <w:pStyle w:val="NoSpacing"/>
      </w:pPr>
      <w:r w:rsidRPr="00D266F4">
        <w:t>Description: it shows a unique ID or number of each customer. There are 407,000 valid values, 135,00 missing values, and no mismatched values. It ranges from 12,300 to 18,300.</w:t>
      </w:r>
    </w:p>
    <w:p w14:paraId="7A82DB16" w14:textId="77777777" w:rsidR="00D266F4" w:rsidRPr="00D266F4" w:rsidRDefault="00D266F4" w:rsidP="00D266F4">
      <w:pPr>
        <w:pStyle w:val="NoSpacing"/>
      </w:pPr>
    </w:p>
    <w:p w14:paraId="091BE5EA" w14:textId="77777777" w:rsidR="00D266F4" w:rsidRPr="00D266F4" w:rsidRDefault="00D266F4" w:rsidP="00D266F4">
      <w:pPr>
        <w:pStyle w:val="NoSpacing"/>
      </w:pPr>
      <w:r w:rsidRPr="00D266F4">
        <w:t>-Country:</w:t>
      </w:r>
    </w:p>
    <w:p w14:paraId="0E4FEC7F" w14:textId="77777777" w:rsidR="00D266F4" w:rsidRPr="00D266F4" w:rsidRDefault="00D266F4" w:rsidP="00D266F4">
      <w:pPr>
        <w:pStyle w:val="NoSpacing"/>
      </w:pPr>
      <w:r w:rsidRPr="00D266F4">
        <w:t>Type: Categorical</w:t>
      </w:r>
    </w:p>
    <w:p w14:paraId="2B30773D" w14:textId="77777777" w:rsidR="00D266F4" w:rsidRPr="00D266F4" w:rsidRDefault="00D266F4" w:rsidP="00D266F4">
      <w:pPr>
        <w:pStyle w:val="NoSpacing"/>
      </w:pPr>
      <w:r w:rsidRPr="00D266F4">
        <w:t>Description: it shows the country of the customer. There are 38 unique values. The Uak is the most common value, where there is 91% of purchases were from the UK. There is no missing values and no mismatched values.</w:t>
      </w:r>
    </w:p>
    <w:p w14:paraId="26C5EB61" w14:textId="7D5B345A" w:rsidR="00C615FC" w:rsidRDefault="00C615FC" w:rsidP="00C615FC">
      <w:pPr>
        <w:pStyle w:val="p1a"/>
      </w:pPr>
    </w:p>
    <w:p w14:paraId="31C4A327" w14:textId="1C70B16F" w:rsidR="004A7057" w:rsidRDefault="004A7057" w:rsidP="004A7057">
      <w:pPr>
        <w:pStyle w:val="heading1"/>
      </w:pPr>
      <w:r>
        <w:t>Insights of The Analytics</w:t>
      </w:r>
    </w:p>
    <w:p w14:paraId="663A8645" w14:textId="177ED83C" w:rsidR="009843D2" w:rsidRPr="009843D2" w:rsidRDefault="009843D2" w:rsidP="009843D2">
      <w:pPr>
        <w:pStyle w:val="p1a"/>
        <w:jc w:val="center"/>
      </w:pPr>
      <w:r>
        <w:rPr>
          <w:noProof/>
        </w:rPr>
        <w:drawing>
          <wp:inline distT="0" distB="0" distL="0" distR="0" wp14:anchorId="5D57F6D0" wp14:editId="4DB7993F">
            <wp:extent cx="2468880" cy="1447800"/>
            <wp:effectExtent l="0" t="0" r="7620" b="0"/>
            <wp:docPr id="31143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8880" cy="1447800"/>
                    </a:xfrm>
                    <a:prstGeom prst="rect">
                      <a:avLst/>
                    </a:prstGeom>
                    <a:noFill/>
                    <a:ln>
                      <a:noFill/>
                    </a:ln>
                  </pic:spPr>
                </pic:pic>
              </a:graphicData>
            </a:graphic>
          </wp:inline>
        </w:drawing>
      </w:r>
    </w:p>
    <w:p w14:paraId="7B30777C" w14:textId="77777777" w:rsidR="00D266F4" w:rsidRPr="00D266F4" w:rsidRDefault="009843D2" w:rsidP="00E51BBB">
      <w:pPr>
        <w:pStyle w:val="figurecaption"/>
      </w:pPr>
      <w:r w:rsidRPr="009843D2">
        <w:rPr>
          <w:b/>
          <w:bCs/>
        </w:rPr>
        <w:t>Fig.1</w:t>
      </w:r>
      <w:r>
        <w:rPr>
          <w:b/>
          <w:bCs/>
        </w:rPr>
        <w:t xml:space="preserve">.a. </w:t>
      </w:r>
      <w:r>
        <w:rPr>
          <w:b/>
          <w:bCs/>
        </w:rPr>
        <w:tab/>
      </w:r>
      <w:r w:rsidR="00D266F4" w:rsidRPr="00D266F4">
        <w:t>Pivot Table of Top 4 Countries Based on The Percentage of The Total Unit Prices.</w:t>
      </w:r>
    </w:p>
    <w:p w14:paraId="1A7F98A1" w14:textId="0D64D1E7" w:rsidR="009843D2" w:rsidRDefault="009843D2" w:rsidP="009843D2">
      <w:pPr>
        <w:pStyle w:val="figurecaption"/>
        <w:rPr>
          <w:b/>
          <w:bCs/>
        </w:rPr>
      </w:pPr>
    </w:p>
    <w:p w14:paraId="5A01BEE4" w14:textId="11C61D2A" w:rsidR="009843D2" w:rsidRDefault="009843D2" w:rsidP="009843D2">
      <w:pPr>
        <w:jc w:val="center"/>
      </w:pPr>
      <w:r>
        <w:rPr>
          <w:noProof/>
        </w:rPr>
        <w:lastRenderedPageBreak/>
        <w:drawing>
          <wp:inline distT="0" distB="0" distL="0" distR="0" wp14:anchorId="195B62F4" wp14:editId="31590EDA">
            <wp:extent cx="4036488" cy="2416175"/>
            <wp:effectExtent l="0" t="0" r="2540" b="3175"/>
            <wp:docPr id="285254388" name="Picture 2" descr="A blue circle with a number of colored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54388" name="Picture 2" descr="A blue circle with a number of colored triangl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5649" cy="2421659"/>
                    </a:xfrm>
                    <a:prstGeom prst="rect">
                      <a:avLst/>
                    </a:prstGeom>
                    <a:noFill/>
                    <a:ln>
                      <a:noFill/>
                    </a:ln>
                  </pic:spPr>
                </pic:pic>
              </a:graphicData>
            </a:graphic>
          </wp:inline>
        </w:drawing>
      </w:r>
    </w:p>
    <w:p w14:paraId="563BA658" w14:textId="4D7621A0" w:rsidR="009843D2" w:rsidRPr="00D266F4" w:rsidRDefault="009843D2" w:rsidP="00397F52">
      <w:pPr>
        <w:pStyle w:val="figurecaption"/>
      </w:pPr>
      <w:r w:rsidRPr="009843D2">
        <w:rPr>
          <w:b/>
          <w:bCs/>
        </w:rPr>
        <w:t>Fig.1.</w:t>
      </w:r>
      <w:r w:rsidR="00FE5F7C">
        <w:rPr>
          <w:b/>
          <w:bCs/>
        </w:rPr>
        <w:t>b</w:t>
      </w:r>
      <w:r w:rsidRPr="009843D2">
        <w:rPr>
          <w:b/>
          <w:bCs/>
        </w:rPr>
        <w:t xml:space="preserve">. </w:t>
      </w:r>
      <w:r w:rsidR="00D266F4">
        <w:rPr>
          <w:b/>
          <w:bCs/>
        </w:rPr>
        <w:t xml:space="preserve"> </w:t>
      </w:r>
      <w:r w:rsidR="00D266F4" w:rsidRPr="00D266F4">
        <w:t>Pie Chart of Top 4 Countries Based on The Percentage of The Total Unit Prices.</w:t>
      </w:r>
    </w:p>
    <w:p w14:paraId="3FD274C8" w14:textId="6933457D" w:rsidR="00FE5F7C" w:rsidRDefault="00FE5F7C" w:rsidP="00FE5F7C">
      <w:pPr>
        <w:jc w:val="center"/>
      </w:pPr>
      <w:r>
        <w:rPr>
          <w:noProof/>
        </w:rPr>
        <w:drawing>
          <wp:inline distT="0" distB="0" distL="0" distR="0" wp14:anchorId="3C0D16BC" wp14:editId="4000FF6D">
            <wp:extent cx="2110051" cy="3528060"/>
            <wp:effectExtent l="0" t="0" r="5080" b="0"/>
            <wp:docPr id="128832000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20002" name="Picture 3"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2640" cy="3532388"/>
                    </a:xfrm>
                    <a:prstGeom prst="rect">
                      <a:avLst/>
                    </a:prstGeom>
                    <a:noFill/>
                    <a:ln>
                      <a:noFill/>
                    </a:ln>
                  </pic:spPr>
                </pic:pic>
              </a:graphicData>
            </a:graphic>
          </wp:inline>
        </w:drawing>
      </w:r>
    </w:p>
    <w:p w14:paraId="4A99D2F0" w14:textId="77777777" w:rsidR="00D266F4" w:rsidRPr="00D266F4" w:rsidRDefault="00FE5F7C" w:rsidP="00397F52">
      <w:pPr>
        <w:pStyle w:val="figurecaption"/>
      </w:pPr>
      <w:r w:rsidRPr="00FE5F7C">
        <w:rPr>
          <w:b/>
          <w:bCs/>
        </w:rPr>
        <w:t>Fig.2</w:t>
      </w:r>
      <w:r>
        <w:rPr>
          <w:b/>
          <w:bCs/>
        </w:rPr>
        <w:t>.</w:t>
      </w:r>
      <w:r w:rsidRPr="00FE5F7C">
        <w:rPr>
          <w:b/>
          <w:bCs/>
        </w:rPr>
        <w:t>a.</w:t>
      </w:r>
      <w:r w:rsidR="00D266F4">
        <w:rPr>
          <w:b/>
          <w:bCs/>
        </w:rPr>
        <w:t xml:space="preserve"> </w:t>
      </w:r>
      <w:r w:rsidR="00D266F4" w:rsidRPr="00D266F4">
        <w:t xml:space="preserve">Pivot Table of The </w:t>
      </w:r>
      <w:proofErr w:type="spellStart"/>
      <w:r w:rsidR="00D266F4" w:rsidRPr="00D266F4">
        <w:t>InvoiceDate</w:t>
      </w:r>
      <w:proofErr w:type="spellEnd"/>
      <w:r w:rsidR="00D266F4" w:rsidRPr="00D266F4">
        <w:t xml:space="preserve"> Based on The Sum of The Unit Prices.</w:t>
      </w:r>
    </w:p>
    <w:p w14:paraId="59013F10" w14:textId="0A3E2080" w:rsidR="00FE5F7C" w:rsidRDefault="00FE5F7C" w:rsidP="00FE5F7C">
      <w:pPr>
        <w:pStyle w:val="figurecaption"/>
        <w:rPr>
          <w:b/>
          <w:bCs/>
        </w:rPr>
      </w:pPr>
    </w:p>
    <w:p w14:paraId="07D6DA34" w14:textId="2041751E" w:rsidR="00FE5F7C" w:rsidRDefault="00C23E5C" w:rsidP="00FE5F7C">
      <w:r>
        <w:rPr>
          <w:noProof/>
        </w:rPr>
        <w:lastRenderedPageBreak/>
        <w:drawing>
          <wp:inline distT="0" distB="0" distL="0" distR="0" wp14:anchorId="618D92F2" wp14:editId="4861CF43">
            <wp:extent cx="4392930" cy="1909445"/>
            <wp:effectExtent l="0" t="0" r="7620" b="0"/>
            <wp:docPr id="208817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2930" cy="1909445"/>
                    </a:xfrm>
                    <a:prstGeom prst="rect">
                      <a:avLst/>
                    </a:prstGeom>
                    <a:noFill/>
                    <a:ln>
                      <a:noFill/>
                    </a:ln>
                  </pic:spPr>
                </pic:pic>
              </a:graphicData>
            </a:graphic>
          </wp:inline>
        </w:drawing>
      </w:r>
    </w:p>
    <w:p w14:paraId="12ACC493" w14:textId="77777777" w:rsidR="00D266F4" w:rsidRPr="00D266F4" w:rsidRDefault="00FE5F7C" w:rsidP="00397F52">
      <w:pPr>
        <w:pStyle w:val="figurecaption"/>
      </w:pPr>
      <w:r w:rsidRPr="00FE5F7C">
        <w:rPr>
          <w:b/>
          <w:bCs/>
        </w:rPr>
        <w:t>Fig.2</w:t>
      </w:r>
      <w:r>
        <w:rPr>
          <w:b/>
          <w:bCs/>
        </w:rPr>
        <w:t>.</w:t>
      </w:r>
      <w:r w:rsidRPr="00FE5F7C">
        <w:rPr>
          <w:b/>
          <w:bCs/>
        </w:rPr>
        <w:t>b.</w:t>
      </w:r>
      <w:r w:rsidR="00D266F4">
        <w:rPr>
          <w:b/>
          <w:bCs/>
        </w:rPr>
        <w:t xml:space="preserve"> </w:t>
      </w:r>
      <w:r w:rsidR="00D266F4" w:rsidRPr="00D266F4">
        <w:t xml:space="preserve">Line Chart of The </w:t>
      </w:r>
      <w:proofErr w:type="spellStart"/>
      <w:r w:rsidR="00D266F4" w:rsidRPr="00D266F4">
        <w:t>InvoiceDate</w:t>
      </w:r>
      <w:proofErr w:type="spellEnd"/>
      <w:r w:rsidR="00D266F4" w:rsidRPr="00D266F4">
        <w:t xml:space="preserve"> Based on The Sum of The Unit Prices.</w:t>
      </w:r>
    </w:p>
    <w:p w14:paraId="548CCCDF" w14:textId="08FDEF08" w:rsidR="00FE5F7C" w:rsidRDefault="00FE5F7C" w:rsidP="00FE5F7C">
      <w:pPr>
        <w:pStyle w:val="figurecaption"/>
        <w:rPr>
          <w:b/>
          <w:bCs/>
        </w:rPr>
      </w:pPr>
    </w:p>
    <w:p w14:paraId="0D694777" w14:textId="68086EF6" w:rsidR="00FE5F7C" w:rsidRDefault="00FE5F7C" w:rsidP="00FE5F7C">
      <w:r>
        <w:rPr>
          <w:noProof/>
        </w:rPr>
        <w:lastRenderedPageBreak/>
        <w:drawing>
          <wp:inline distT="0" distB="0" distL="0" distR="0" wp14:anchorId="77993392" wp14:editId="1453A5B3">
            <wp:extent cx="3154680" cy="5562600"/>
            <wp:effectExtent l="0" t="0" r="7620" b="0"/>
            <wp:docPr id="1581871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4680" cy="5562600"/>
                    </a:xfrm>
                    <a:prstGeom prst="rect">
                      <a:avLst/>
                    </a:prstGeom>
                    <a:noFill/>
                    <a:ln>
                      <a:noFill/>
                    </a:ln>
                  </pic:spPr>
                </pic:pic>
              </a:graphicData>
            </a:graphic>
          </wp:inline>
        </w:drawing>
      </w:r>
    </w:p>
    <w:p w14:paraId="769F918F" w14:textId="77777777" w:rsidR="00D266F4" w:rsidRPr="00D266F4" w:rsidRDefault="00FE5F7C" w:rsidP="00397F52">
      <w:pPr>
        <w:pStyle w:val="figurecaption"/>
      </w:pPr>
      <w:r w:rsidRPr="00FE5F7C">
        <w:rPr>
          <w:b/>
          <w:bCs/>
        </w:rPr>
        <w:t>Fig.3.a.</w:t>
      </w:r>
      <w:r w:rsidR="00D266F4">
        <w:rPr>
          <w:b/>
          <w:bCs/>
        </w:rPr>
        <w:t xml:space="preserve"> </w:t>
      </w:r>
      <w:bookmarkStart w:id="0" w:name="_Hlk181713546"/>
      <w:r w:rsidR="00D266F4" w:rsidRPr="00D266F4">
        <w:t>Pivot Table of The Top Countries Based on The Average of The Unit Prices.</w:t>
      </w:r>
    </w:p>
    <w:bookmarkEnd w:id="0"/>
    <w:p w14:paraId="5798769F" w14:textId="62A0215E" w:rsidR="00FE5F7C" w:rsidRPr="00FE5F7C" w:rsidRDefault="00FE5F7C" w:rsidP="00FE5F7C">
      <w:pPr>
        <w:pStyle w:val="figurecaption"/>
        <w:rPr>
          <w:b/>
          <w:bCs/>
        </w:rPr>
      </w:pPr>
    </w:p>
    <w:p w14:paraId="261E2977" w14:textId="3B5D7469" w:rsidR="00FE5F7C" w:rsidRDefault="00FE5F7C" w:rsidP="00FE5F7C">
      <w:pPr>
        <w:jc w:val="center"/>
      </w:pPr>
      <w:r>
        <w:rPr>
          <w:noProof/>
        </w:rPr>
        <w:lastRenderedPageBreak/>
        <w:drawing>
          <wp:inline distT="0" distB="0" distL="0" distR="0" wp14:anchorId="7F849B57" wp14:editId="0B47A768">
            <wp:extent cx="3131820" cy="3733800"/>
            <wp:effectExtent l="0" t="0" r="0" b="0"/>
            <wp:docPr id="189615120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51205" name="Picture 6"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1820" cy="3733800"/>
                    </a:xfrm>
                    <a:prstGeom prst="rect">
                      <a:avLst/>
                    </a:prstGeom>
                    <a:noFill/>
                    <a:ln>
                      <a:noFill/>
                    </a:ln>
                  </pic:spPr>
                </pic:pic>
              </a:graphicData>
            </a:graphic>
          </wp:inline>
        </w:drawing>
      </w:r>
    </w:p>
    <w:p w14:paraId="00420ADA" w14:textId="17340775" w:rsidR="00FE5F7C" w:rsidRPr="00C366B2" w:rsidRDefault="00FE5F7C" w:rsidP="00C366B2">
      <w:pPr>
        <w:pStyle w:val="figurecaption"/>
      </w:pPr>
      <w:r w:rsidRPr="00FE5F7C">
        <w:rPr>
          <w:b/>
          <w:bCs/>
        </w:rPr>
        <w:t>Fig.3.b.</w:t>
      </w:r>
      <w:r w:rsidR="00D266F4">
        <w:rPr>
          <w:b/>
          <w:bCs/>
        </w:rPr>
        <w:t xml:space="preserve"> </w:t>
      </w:r>
      <w:r w:rsidR="00397F52" w:rsidRPr="00D266F4">
        <w:t>Pivot Table of The Top Countries Based on The Average of The Unit Prices.</w:t>
      </w:r>
    </w:p>
    <w:p w14:paraId="1B5029B4" w14:textId="7DEB3682" w:rsidR="00FE5F7C" w:rsidRDefault="00FE5F7C" w:rsidP="00FE5F7C">
      <w:pPr>
        <w:jc w:val="center"/>
      </w:pPr>
      <w:r>
        <w:rPr>
          <w:noProof/>
        </w:rPr>
        <w:drawing>
          <wp:inline distT="0" distB="0" distL="0" distR="0" wp14:anchorId="599982D5" wp14:editId="2F1C4279">
            <wp:extent cx="4904740" cy="2246765"/>
            <wp:effectExtent l="0" t="0" r="0" b="1270"/>
            <wp:docPr id="38121591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15913" name="Picture 7"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8124" cy="2257477"/>
                    </a:xfrm>
                    <a:prstGeom prst="rect">
                      <a:avLst/>
                    </a:prstGeom>
                    <a:noFill/>
                    <a:ln>
                      <a:noFill/>
                    </a:ln>
                  </pic:spPr>
                </pic:pic>
              </a:graphicData>
            </a:graphic>
          </wp:inline>
        </w:drawing>
      </w:r>
    </w:p>
    <w:p w14:paraId="46E5B977" w14:textId="6019972F" w:rsidR="00FE5F7C" w:rsidRPr="00397F52" w:rsidRDefault="00FE5F7C" w:rsidP="00397F52">
      <w:pPr>
        <w:pStyle w:val="figurecaption"/>
      </w:pPr>
      <w:r w:rsidRPr="00397F52">
        <w:t>Fig.3.c</w:t>
      </w:r>
      <w:r w:rsidR="00397F52" w:rsidRPr="00397F52">
        <w:t xml:space="preserve">. </w:t>
      </w:r>
      <w:r w:rsidR="00D266F4" w:rsidRPr="00397F52">
        <w:t>Column Chart of The Top Countries Based on The Average of The Unit Prices</w:t>
      </w:r>
      <w:r w:rsidR="00397F52" w:rsidRPr="00397F52">
        <w:t>.</w:t>
      </w:r>
    </w:p>
    <w:p w14:paraId="3B1670A9" w14:textId="4323E3FF" w:rsidR="002E2544" w:rsidRDefault="002E2544" w:rsidP="002E2544">
      <w:pPr>
        <w:jc w:val="center"/>
      </w:pPr>
      <w:r>
        <w:rPr>
          <w:noProof/>
        </w:rPr>
        <w:lastRenderedPageBreak/>
        <w:drawing>
          <wp:inline distT="0" distB="0" distL="0" distR="0" wp14:anchorId="0D03369F" wp14:editId="52EE7F15">
            <wp:extent cx="2537460" cy="4503420"/>
            <wp:effectExtent l="0" t="0" r="0" b="0"/>
            <wp:docPr id="143194725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47251" name="Picture 8"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37460" cy="4503420"/>
                    </a:xfrm>
                    <a:prstGeom prst="rect">
                      <a:avLst/>
                    </a:prstGeom>
                    <a:noFill/>
                    <a:ln>
                      <a:noFill/>
                    </a:ln>
                  </pic:spPr>
                </pic:pic>
              </a:graphicData>
            </a:graphic>
          </wp:inline>
        </w:drawing>
      </w:r>
    </w:p>
    <w:p w14:paraId="6D3D61DB" w14:textId="77777777" w:rsidR="00D266F4" w:rsidRPr="00D266F4" w:rsidRDefault="002E2544" w:rsidP="00397F52">
      <w:pPr>
        <w:pStyle w:val="figurecaption"/>
      </w:pPr>
      <w:r w:rsidRPr="002E2544">
        <w:rPr>
          <w:b/>
          <w:bCs/>
        </w:rPr>
        <w:t>Fig.4.a.</w:t>
      </w:r>
      <w:r w:rsidR="00D266F4">
        <w:rPr>
          <w:b/>
          <w:bCs/>
        </w:rPr>
        <w:t xml:space="preserve"> </w:t>
      </w:r>
      <w:r w:rsidR="00D266F4" w:rsidRPr="00D266F4">
        <w:t xml:space="preserve">Pivot Table of The </w:t>
      </w:r>
      <w:proofErr w:type="spellStart"/>
      <w:r w:rsidR="00D266F4" w:rsidRPr="00D266F4">
        <w:t>InvoiceDate</w:t>
      </w:r>
      <w:proofErr w:type="spellEnd"/>
      <w:r w:rsidR="00D266F4" w:rsidRPr="00D266F4">
        <w:t xml:space="preserve"> in UK Based on The Sum of The Unit Prices.</w:t>
      </w:r>
    </w:p>
    <w:p w14:paraId="4459A9E9" w14:textId="66DFED44" w:rsidR="002E2544" w:rsidRDefault="002E2544" w:rsidP="002E2544">
      <w:pPr>
        <w:pStyle w:val="figurecaption"/>
        <w:rPr>
          <w:b/>
          <w:bCs/>
        </w:rPr>
      </w:pPr>
    </w:p>
    <w:p w14:paraId="36B2963B" w14:textId="760A413D" w:rsidR="002E2544" w:rsidRDefault="00C23E5C" w:rsidP="002E2544">
      <w:pPr>
        <w:jc w:val="center"/>
      </w:pPr>
      <w:r>
        <w:rPr>
          <w:noProof/>
        </w:rPr>
        <w:lastRenderedPageBreak/>
        <w:drawing>
          <wp:inline distT="0" distB="0" distL="0" distR="0" wp14:anchorId="6A03C0CD" wp14:editId="6268684B">
            <wp:extent cx="4392930" cy="2289810"/>
            <wp:effectExtent l="0" t="0" r="7620" b="0"/>
            <wp:docPr id="905794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92930" cy="2289810"/>
                    </a:xfrm>
                    <a:prstGeom prst="rect">
                      <a:avLst/>
                    </a:prstGeom>
                    <a:noFill/>
                    <a:ln>
                      <a:noFill/>
                    </a:ln>
                  </pic:spPr>
                </pic:pic>
              </a:graphicData>
            </a:graphic>
          </wp:inline>
        </w:drawing>
      </w:r>
    </w:p>
    <w:p w14:paraId="44BB977D" w14:textId="77777777" w:rsidR="00397F52" w:rsidRPr="00397F52" w:rsidRDefault="002E2544" w:rsidP="00397F52">
      <w:pPr>
        <w:pStyle w:val="figurecaption"/>
      </w:pPr>
      <w:r w:rsidRPr="002E2544">
        <w:rPr>
          <w:b/>
          <w:bCs/>
        </w:rPr>
        <w:t>Fig.4.b.</w:t>
      </w:r>
      <w:r w:rsidR="00397F52">
        <w:rPr>
          <w:b/>
          <w:bCs/>
        </w:rPr>
        <w:t xml:space="preserve"> </w:t>
      </w:r>
      <w:r w:rsidR="00397F52" w:rsidRPr="00397F52">
        <w:t xml:space="preserve">Line Chart of The </w:t>
      </w:r>
      <w:proofErr w:type="spellStart"/>
      <w:r w:rsidR="00397F52" w:rsidRPr="00397F52">
        <w:t>InvoiceDate</w:t>
      </w:r>
      <w:proofErr w:type="spellEnd"/>
      <w:r w:rsidR="00397F52" w:rsidRPr="00397F52">
        <w:t xml:space="preserve"> in UK Based on The Sum of The Unit Prices.</w:t>
      </w:r>
    </w:p>
    <w:p w14:paraId="60E1CB31" w14:textId="6BAF8155" w:rsidR="002E2544" w:rsidRDefault="002E2544" w:rsidP="002E2544">
      <w:pPr>
        <w:pStyle w:val="figurecaption"/>
        <w:rPr>
          <w:b/>
          <w:bCs/>
        </w:rPr>
      </w:pPr>
    </w:p>
    <w:p w14:paraId="575B3C50" w14:textId="22A391C1" w:rsidR="002C707C" w:rsidRDefault="002C707C" w:rsidP="002C707C">
      <w:pPr>
        <w:jc w:val="center"/>
      </w:pPr>
      <w:r>
        <w:rPr>
          <w:noProof/>
        </w:rPr>
        <w:lastRenderedPageBreak/>
        <w:drawing>
          <wp:inline distT="0" distB="0" distL="0" distR="0" wp14:anchorId="4FD0034F" wp14:editId="129614AB">
            <wp:extent cx="2918460" cy="5585460"/>
            <wp:effectExtent l="0" t="0" r="0" b="0"/>
            <wp:docPr id="1571715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18460" cy="5585460"/>
                    </a:xfrm>
                    <a:prstGeom prst="rect">
                      <a:avLst/>
                    </a:prstGeom>
                    <a:noFill/>
                    <a:ln>
                      <a:noFill/>
                    </a:ln>
                  </pic:spPr>
                </pic:pic>
              </a:graphicData>
            </a:graphic>
          </wp:inline>
        </w:drawing>
      </w:r>
    </w:p>
    <w:p w14:paraId="1E3500CA" w14:textId="642AE603" w:rsidR="00397F52" w:rsidRPr="00397F52" w:rsidRDefault="002C707C" w:rsidP="00397F52">
      <w:pPr>
        <w:pStyle w:val="figurecaption"/>
      </w:pPr>
      <w:r w:rsidRPr="002C707C">
        <w:rPr>
          <w:b/>
          <w:bCs/>
        </w:rPr>
        <w:t>Fig.5.a.</w:t>
      </w:r>
      <w:r w:rsidR="00397F52">
        <w:rPr>
          <w:b/>
          <w:bCs/>
        </w:rPr>
        <w:t xml:space="preserve"> </w:t>
      </w:r>
      <w:bookmarkStart w:id="1" w:name="_Hlk181713750"/>
      <w:r w:rsidR="00397F52">
        <w:t>P</w:t>
      </w:r>
      <w:r w:rsidR="00397F52" w:rsidRPr="00397F52">
        <w:t>ivot Table of The Top Countries Based on The Sum of Quantities.</w:t>
      </w:r>
    </w:p>
    <w:bookmarkEnd w:id="1"/>
    <w:p w14:paraId="4DE54588" w14:textId="726C10B8" w:rsidR="002C707C" w:rsidRDefault="002C707C" w:rsidP="002C707C">
      <w:pPr>
        <w:pStyle w:val="figurecaption"/>
        <w:rPr>
          <w:b/>
          <w:bCs/>
        </w:rPr>
      </w:pPr>
    </w:p>
    <w:p w14:paraId="39AF2A89" w14:textId="34819257" w:rsidR="002C707C" w:rsidRDefault="002C707C" w:rsidP="002C707C">
      <w:pPr>
        <w:jc w:val="center"/>
      </w:pPr>
      <w:r>
        <w:rPr>
          <w:noProof/>
        </w:rPr>
        <w:lastRenderedPageBreak/>
        <w:drawing>
          <wp:inline distT="0" distB="0" distL="0" distR="0" wp14:anchorId="46DB7968" wp14:editId="23535599">
            <wp:extent cx="2613177" cy="3398520"/>
            <wp:effectExtent l="0" t="0" r="0" b="0"/>
            <wp:docPr id="1400955159"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55159" name="Picture 11"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8890" cy="3405950"/>
                    </a:xfrm>
                    <a:prstGeom prst="rect">
                      <a:avLst/>
                    </a:prstGeom>
                    <a:noFill/>
                    <a:ln>
                      <a:noFill/>
                    </a:ln>
                  </pic:spPr>
                </pic:pic>
              </a:graphicData>
            </a:graphic>
          </wp:inline>
        </w:drawing>
      </w:r>
    </w:p>
    <w:p w14:paraId="544684CA" w14:textId="4F079AB5" w:rsidR="002C707C" w:rsidRPr="00C366B2" w:rsidRDefault="002C707C" w:rsidP="00C366B2">
      <w:pPr>
        <w:pStyle w:val="figurecaption"/>
      </w:pPr>
      <w:r w:rsidRPr="002C707C">
        <w:rPr>
          <w:b/>
          <w:bCs/>
        </w:rPr>
        <w:t>Fig.5.b.</w:t>
      </w:r>
      <w:r w:rsidR="00397F52">
        <w:rPr>
          <w:b/>
          <w:bCs/>
        </w:rPr>
        <w:t xml:space="preserve"> </w:t>
      </w:r>
      <w:r w:rsidR="00397F52">
        <w:t>P</w:t>
      </w:r>
      <w:r w:rsidR="00397F52" w:rsidRPr="00397F52">
        <w:t>ivot Table of The Top Countries Based on The Sum of Quantities.</w:t>
      </w:r>
    </w:p>
    <w:p w14:paraId="343A8973" w14:textId="620B97A0" w:rsidR="002C707C" w:rsidRDefault="002C707C" w:rsidP="002C707C">
      <w:pPr>
        <w:jc w:val="center"/>
      </w:pPr>
      <w:r>
        <w:rPr>
          <w:noProof/>
        </w:rPr>
        <w:drawing>
          <wp:inline distT="0" distB="0" distL="0" distR="0" wp14:anchorId="6D0CEA1F" wp14:editId="1F7640C6">
            <wp:extent cx="4815840" cy="2544362"/>
            <wp:effectExtent l="0" t="0" r="3810" b="8890"/>
            <wp:docPr id="392501926"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01926" name="Picture 12"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26131" cy="2549799"/>
                    </a:xfrm>
                    <a:prstGeom prst="rect">
                      <a:avLst/>
                    </a:prstGeom>
                    <a:noFill/>
                    <a:ln>
                      <a:noFill/>
                    </a:ln>
                  </pic:spPr>
                </pic:pic>
              </a:graphicData>
            </a:graphic>
          </wp:inline>
        </w:drawing>
      </w:r>
    </w:p>
    <w:p w14:paraId="371D4D4D" w14:textId="77777777" w:rsidR="00397F52" w:rsidRPr="00397F52" w:rsidRDefault="002C707C" w:rsidP="00397F52">
      <w:pPr>
        <w:pStyle w:val="figurecaption"/>
      </w:pPr>
      <w:r w:rsidRPr="002C707C">
        <w:rPr>
          <w:b/>
          <w:bCs/>
        </w:rPr>
        <w:t>Fig.5.c.</w:t>
      </w:r>
      <w:r w:rsidR="00397F52">
        <w:rPr>
          <w:b/>
          <w:bCs/>
        </w:rPr>
        <w:t xml:space="preserve"> </w:t>
      </w:r>
      <w:r w:rsidR="00397F52" w:rsidRPr="00397F52">
        <w:t>Column Chart of The Top Countries Based on The Sum of Quantities.</w:t>
      </w:r>
    </w:p>
    <w:p w14:paraId="04AA8AD8" w14:textId="7A2B6221" w:rsidR="002C707C" w:rsidRDefault="002C707C" w:rsidP="002C707C">
      <w:pPr>
        <w:pStyle w:val="figurecaption"/>
        <w:rPr>
          <w:b/>
          <w:bCs/>
        </w:rPr>
      </w:pPr>
    </w:p>
    <w:p w14:paraId="6ADB33C1" w14:textId="62E22927" w:rsidR="002C707C" w:rsidRDefault="002C707C" w:rsidP="002C707C">
      <w:pPr>
        <w:jc w:val="center"/>
      </w:pPr>
      <w:r>
        <w:rPr>
          <w:noProof/>
        </w:rPr>
        <w:lastRenderedPageBreak/>
        <w:drawing>
          <wp:inline distT="0" distB="0" distL="0" distR="0" wp14:anchorId="11CB4858" wp14:editId="7A31CCAC">
            <wp:extent cx="2220285" cy="3695700"/>
            <wp:effectExtent l="0" t="0" r="8890" b="0"/>
            <wp:docPr id="31276120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61200" name="Picture 13"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24771" cy="3703166"/>
                    </a:xfrm>
                    <a:prstGeom prst="rect">
                      <a:avLst/>
                    </a:prstGeom>
                    <a:noFill/>
                    <a:ln>
                      <a:noFill/>
                    </a:ln>
                  </pic:spPr>
                </pic:pic>
              </a:graphicData>
            </a:graphic>
          </wp:inline>
        </w:drawing>
      </w:r>
    </w:p>
    <w:p w14:paraId="530C7106" w14:textId="71C70092" w:rsidR="002C707C" w:rsidRPr="00C366B2" w:rsidRDefault="002C707C" w:rsidP="00C366B2">
      <w:pPr>
        <w:pStyle w:val="figurecaption"/>
      </w:pPr>
      <w:r w:rsidRPr="00B63B0D">
        <w:rPr>
          <w:b/>
          <w:bCs/>
        </w:rPr>
        <w:t>Fig.6.a.</w:t>
      </w:r>
      <w:r w:rsidR="00397F52">
        <w:rPr>
          <w:b/>
          <w:bCs/>
        </w:rPr>
        <w:t xml:space="preserve"> </w:t>
      </w:r>
      <w:r w:rsidR="00397F52" w:rsidRPr="00397F52">
        <w:t xml:space="preserve">Pivot Table of The </w:t>
      </w:r>
      <w:proofErr w:type="spellStart"/>
      <w:r w:rsidR="00397F52" w:rsidRPr="00397F52">
        <w:t>InvoiceDate</w:t>
      </w:r>
      <w:proofErr w:type="spellEnd"/>
      <w:r w:rsidR="00397F52" w:rsidRPr="00397F52">
        <w:t xml:space="preserve"> Based on The Sum of Quantities.</w:t>
      </w:r>
    </w:p>
    <w:p w14:paraId="6191D1CF" w14:textId="04CF7538" w:rsidR="00B63B0D" w:rsidRDefault="001E73A2" w:rsidP="00B63B0D">
      <w:pPr>
        <w:jc w:val="center"/>
      </w:pPr>
      <w:r>
        <w:rPr>
          <w:noProof/>
        </w:rPr>
        <w:drawing>
          <wp:inline distT="0" distB="0" distL="0" distR="0" wp14:anchorId="5EE0B6E0" wp14:editId="1204EF98">
            <wp:extent cx="4392930" cy="2362835"/>
            <wp:effectExtent l="0" t="0" r="7620" b="0"/>
            <wp:docPr id="902028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92930" cy="2362835"/>
                    </a:xfrm>
                    <a:prstGeom prst="rect">
                      <a:avLst/>
                    </a:prstGeom>
                    <a:noFill/>
                    <a:ln>
                      <a:noFill/>
                    </a:ln>
                  </pic:spPr>
                </pic:pic>
              </a:graphicData>
            </a:graphic>
          </wp:inline>
        </w:drawing>
      </w:r>
    </w:p>
    <w:p w14:paraId="6D898815" w14:textId="77777777" w:rsidR="00397F52" w:rsidRPr="00397F52" w:rsidRDefault="00B63B0D" w:rsidP="00397F52">
      <w:pPr>
        <w:pStyle w:val="figurecaption"/>
      </w:pPr>
      <w:r w:rsidRPr="00B63B0D">
        <w:rPr>
          <w:b/>
          <w:bCs/>
        </w:rPr>
        <w:t>Fig.6.b.</w:t>
      </w:r>
      <w:r w:rsidR="00397F52">
        <w:rPr>
          <w:b/>
          <w:bCs/>
        </w:rPr>
        <w:t xml:space="preserve"> </w:t>
      </w:r>
      <w:r w:rsidR="00397F52" w:rsidRPr="00397F52">
        <w:t xml:space="preserve">Line Chart of The </w:t>
      </w:r>
      <w:proofErr w:type="spellStart"/>
      <w:r w:rsidR="00397F52" w:rsidRPr="00397F52">
        <w:t>InvoiceDate</w:t>
      </w:r>
      <w:proofErr w:type="spellEnd"/>
      <w:r w:rsidR="00397F52" w:rsidRPr="00397F52">
        <w:t xml:space="preserve"> Based on The Sum of Quantities.</w:t>
      </w:r>
    </w:p>
    <w:p w14:paraId="53F0D313" w14:textId="50368FA1" w:rsidR="00B63B0D" w:rsidRDefault="00B63B0D" w:rsidP="00397F52">
      <w:pPr>
        <w:pStyle w:val="figurecaption"/>
        <w:rPr>
          <w:b/>
          <w:bCs/>
        </w:rPr>
      </w:pPr>
    </w:p>
    <w:p w14:paraId="3F35A12D" w14:textId="37034AFD" w:rsidR="00B63B0D" w:rsidRDefault="007C3BC3" w:rsidP="00B63B0D">
      <w:pPr>
        <w:jc w:val="center"/>
      </w:pPr>
      <w:r>
        <w:rPr>
          <w:noProof/>
        </w:rPr>
        <w:lastRenderedPageBreak/>
        <w:drawing>
          <wp:inline distT="0" distB="0" distL="0" distR="0" wp14:anchorId="0EA5F771" wp14:editId="14609485">
            <wp:extent cx="2522220" cy="3337560"/>
            <wp:effectExtent l="0" t="0" r="0" b="0"/>
            <wp:docPr id="14191253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25322" name="Picture 1"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22220" cy="3337560"/>
                    </a:xfrm>
                    <a:prstGeom prst="rect">
                      <a:avLst/>
                    </a:prstGeom>
                    <a:noFill/>
                    <a:ln>
                      <a:noFill/>
                    </a:ln>
                  </pic:spPr>
                </pic:pic>
              </a:graphicData>
            </a:graphic>
          </wp:inline>
        </w:drawing>
      </w:r>
    </w:p>
    <w:p w14:paraId="7E5B92A5" w14:textId="6385DFC3" w:rsidR="00B63B0D" w:rsidRPr="00C366B2" w:rsidRDefault="00B63B0D" w:rsidP="00C366B2">
      <w:pPr>
        <w:pStyle w:val="figurecaption"/>
      </w:pPr>
      <w:r w:rsidRPr="00B63B0D">
        <w:rPr>
          <w:b/>
          <w:bCs/>
        </w:rPr>
        <w:t>Fig.7.a.</w:t>
      </w:r>
      <w:r w:rsidR="00397F52">
        <w:rPr>
          <w:b/>
          <w:bCs/>
        </w:rPr>
        <w:t xml:space="preserve"> </w:t>
      </w:r>
      <w:r w:rsidR="00397F52" w:rsidRPr="00397F52">
        <w:t xml:space="preserve">Pivot Table of The Top 10 </w:t>
      </w:r>
      <w:proofErr w:type="spellStart"/>
      <w:r w:rsidR="00397F52" w:rsidRPr="00397F52">
        <w:t>InvoiceNo</w:t>
      </w:r>
      <w:proofErr w:type="spellEnd"/>
      <w:r w:rsidR="00397F52" w:rsidRPr="00397F52">
        <w:t xml:space="preserve"> in UK Based on The Sum of Quantities.</w:t>
      </w:r>
    </w:p>
    <w:p w14:paraId="67152B20" w14:textId="77777777" w:rsidR="00B63B0D" w:rsidRPr="00B63B0D" w:rsidRDefault="00B63B0D" w:rsidP="00B63B0D"/>
    <w:p w14:paraId="4C54667A" w14:textId="377EBE9F" w:rsidR="002C707C" w:rsidRDefault="00B63B0D" w:rsidP="00B63B0D">
      <w:pPr>
        <w:jc w:val="center"/>
      </w:pPr>
      <w:r>
        <w:rPr>
          <w:noProof/>
        </w:rPr>
        <w:drawing>
          <wp:inline distT="0" distB="0" distL="0" distR="0" wp14:anchorId="6CEBAD9C" wp14:editId="0C074DA3">
            <wp:extent cx="4392930" cy="2641600"/>
            <wp:effectExtent l="0" t="0" r="7620" b="6350"/>
            <wp:docPr id="675463623" name="Picture 16"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63623" name="Picture 16" descr="A graph with numbers and a ba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92930" cy="2641600"/>
                    </a:xfrm>
                    <a:prstGeom prst="rect">
                      <a:avLst/>
                    </a:prstGeom>
                    <a:noFill/>
                    <a:ln>
                      <a:noFill/>
                    </a:ln>
                  </pic:spPr>
                </pic:pic>
              </a:graphicData>
            </a:graphic>
          </wp:inline>
        </w:drawing>
      </w:r>
    </w:p>
    <w:p w14:paraId="47F077F0" w14:textId="77777777" w:rsidR="00397F52" w:rsidRDefault="00B63B0D" w:rsidP="00397F52">
      <w:pPr>
        <w:pStyle w:val="figurecaption"/>
      </w:pPr>
      <w:r w:rsidRPr="00B63B0D">
        <w:rPr>
          <w:b/>
          <w:bCs/>
        </w:rPr>
        <w:t>Fig.7.b.</w:t>
      </w:r>
      <w:r w:rsidR="00397F52">
        <w:rPr>
          <w:b/>
          <w:bCs/>
        </w:rPr>
        <w:t xml:space="preserve"> </w:t>
      </w:r>
      <w:r w:rsidR="00397F52" w:rsidRPr="00397F52">
        <w:t xml:space="preserve">Bar Chart of The Top 10 </w:t>
      </w:r>
      <w:proofErr w:type="spellStart"/>
      <w:r w:rsidR="00397F52" w:rsidRPr="00397F52">
        <w:t>InvoiceNo</w:t>
      </w:r>
      <w:proofErr w:type="spellEnd"/>
      <w:r w:rsidR="00397F52" w:rsidRPr="00397F52">
        <w:t xml:space="preserve"> in UK Based on The Sum of Quantities.</w:t>
      </w:r>
    </w:p>
    <w:p w14:paraId="60C1C3DD" w14:textId="380A9479"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r w:rsidRPr="00E02205">
        <w:rPr>
          <w:rFonts w:asciiTheme="majorBidi" w:eastAsiaTheme="minorEastAsia" w:hAnsiTheme="majorBidi" w:cstheme="majorBidi"/>
          <w:kern w:val="2"/>
          <w14:ligatures w14:val="standardContextual"/>
        </w:rPr>
        <w:lastRenderedPageBreak/>
        <w:t xml:space="preserve">Figure 1.a shows a pivot table of the top 4 countries based on the percentage of the total unit price. Figure 1.b shows a pie chart that visualizes the results of the pivot table (figure 1.a). I have chosen the pie chart because it shows the percentage in an appealing and easy-to-understand way.  Figures 1.a and 1.b show that the UK has the highest percentage of total unit price among the top 4 countries, which is 94.56%. This is, as we can see in figure 1.b, is the majority of the grand total unit price. The second highest country based on the total unit price is EIRE with 2.04% of the top 4 countries’ </w:t>
      </w:r>
      <w:r w:rsidR="007C3BC3" w:rsidRPr="00E02205">
        <w:rPr>
          <w:rFonts w:asciiTheme="majorBidi" w:eastAsiaTheme="minorEastAsia" w:hAnsiTheme="majorBidi" w:cstheme="majorBidi"/>
          <w:kern w:val="2"/>
          <w14:ligatures w14:val="standardContextual"/>
        </w:rPr>
        <w:t>grand</w:t>
      </w:r>
      <w:r w:rsidRPr="00E02205">
        <w:rPr>
          <w:rFonts w:asciiTheme="majorBidi" w:eastAsiaTheme="minorEastAsia" w:hAnsiTheme="majorBidi" w:cstheme="majorBidi"/>
          <w:kern w:val="2"/>
          <w14:ligatures w14:val="standardContextual"/>
        </w:rPr>
        <w:t xml:space="preserve"> total. There is a huge difference in the percentage between the first (UK) and the second (EIRE), which shows that UK is the country that most of the company’s profit and sells come from.   Third comes France with 1.81%of the grand total unit profit of the top 4 countries. Fourth comes Germany with 1.59% of the grand total unit profit of the top 4 countries.</w:t>
      </w:r>
    </w:p>
    <w:p w14:paraId="0483D9FE" w14:textId="77777777"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p>
    <w:p w14:paraId="514E9D8B" w14:textId="496A6194"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r w:rsidRPr="00E02205">
        <w:rPr>
          <w:rFonts w:asciiTheme="majorBidi" w:eastAsiaTheme="minorEastAsia" w:hAnsiTheme="majorBidi" w:cstheme="majorBidi"/>
          <w:kern w:val="2"/>
          <w14:ligatures w14:val="standardContextual"/>
        </w:rPr>
        <w:t>The pivot table In Figure 2.a shows how much is the total unit price within each month of 2 years, starting from December 2010 to December 2011 (total of 13 months). Figure 2.b shows a line chart that visualizes the pivot table of Figure 2.a. Line chart is a good option to visualize this pivot table because we have a continuous variable (time) and it show us the change of total unit price over this time (grouped as months and years). The line chart also shows the trends and when the total unit price increase/decrease. The line chart shows seasonality. As we can see in Figure 2.b, the total unit price decreased from December 2010 to February 2011. In February 2011, the total unit price reaches the lowest record of the total unit price over the 13 months. From February 2011 to August 2011, the total unit price start increasing and decreasing without a major change or specific pattern. In September 2011, the total unit price starts to increase almost constantly up until November 2</w:t>
      </w:r>
      <w:r w:rsidR="007C3BC3">
        <w:rPr>
          <w:rFonts w:asciiTheme="majorBidi" w:eastAsiaTheme="minorEastAsia" w:hAnsiTheme="majorBidi" w:cstheme="majorBidi"/>
          <w:kern w:val="2"/>
          <w14:ligatures w14:val="standardContextual"/>
        </w:rPr>
        <w:t>0</w:t>
      </w:r>
      <w:r w:rsidRPr="00E02205">
        <w:rPr>
          <w:rFonts w:asciiTheme="majorBidi" w:eastAsiaTheme="minorEastAsia" w:hAnsiTheme="majorBidi" w:cstheme="majorBidi"/>
          <w:kern w:val="2"/>
          <w14:ligatures w14:val="standardContextual"/>
        </w:rPr>
        <w:t>11, where it reached a peak of 327,149.85 total unit price, which is the highest total unit price over the 13 months. We can see the almost straight increasing line from August 2011 to November 2011 that show that people start increasingly buy more of this online retail. The increase of total unit price stops in November 2011, where in December 2011, the total unit price drops sharply into 133,915.66 total unit price (it dropped more than half of the total unit price of November 2011).</w:t>
      </w:r>
    </w:p>
    <w:p w14:paraId="4FFEC725" w14:textId="77777777"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p>
    <w:p w14:paraId="7C2AB49F" w14:textId="77777777"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p>
    <w:p w14:paraId="0D604455" w14:textId="50AAFC5A"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r w:rsidRPr="00E02205">
        <w:rPr>
          <w:rFonts w:asciiTheme="majorBidi" w:eastAsiaTheme="minorEastAsia" w:hAnsiTheme="majorBidi" w:cstheme="majorBidi"/>
          <w:kern w:val="2"/>
          <w14:ligatures w14:val="standardContextual"/>
        </w:rPr>
        <w:t xml:space="preserve">The pivot table in Figure 3.a and 3.b show the ranking of countries based on the average of the unit price on the online retail. Figure 3.c shows a column chart that visualizes the ranking of the countries with the highest average of unit price to the lowest from left to right. As we can see in these figures, people in Singapore have the highest average of unit price among all other countries, which means that people in </w:t>
      </w:r>
      <w:r w:rsidRPr="00E02205">
        <w:rPr>
          <w:rFonts w:asciiTheme="majorBidi" w:eastAsiaTheme="minorEastAsia" w:hAnsiTheme="majorBidi" w:cstheme="majorBidi"/>
          <w:kern w:val="2"/>
          <w14:ligatures w14:val="standardContextual"/>
        </w:rPr>
        <w:lastRenderedPageBreak/>
        <w:t>Singapore tend to buy much more expensive items than people from other countries with an average unit price of 109.65. Second comes Hong Kong with an average unit price of 42.51, which is more than half of Singapore’s average unit price. As we can see in Figure 3.c, there is a big gap in the average of unit price between these two countries and the rest of the world, where third comes Portugal with an average unit price of 8.58, which is less than quarter of Hong Kong’s average unit price. The most important insights that we can get from this pivot table are that people in Singapore and Hong Kong buy much more expensive things than the rest of the world and the ranking of to” countries based on the average unit price. We can see that UK has one of the lowest averages of unit price comparing to the rest of the world, even though they had the highest total unit price in the first pivot table. This show that the total unit price in UK is high because of the huge number of transactions, not how much expensive/cheap are the items. We can go later into more details about the Quantity within each transaction based on the country to show this point clearer.</w:t>
      </w:r>
    </w:p>
    <w:p w14:paraId="412A1B10" w14:textId="77777777"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p>
    <w:p w14:paraId="075D18C5" w14:textId="77777777"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p>
    <w:p w14:paraId="198BFCE2" w14:textId="5738611B" w:rsidR="00E02205" w:rsidRPr="00E02205" w:rsidRDefault="00E02205" w:rsidP="0063062B">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r w:rsidRPr="00E02205">
        <w:rPr>
          <w:rFonts w:asciiTheme="majorBidi" w:eastAsiaTheme="minorEastAsia" w:hAnsiTheme="majorBidi" w:cstheme="majorBidi"/>
          <w:kern w:val="2"/>
          <w14:ligatures w14:val="standardContextual"/>
        </w:rPr>
        <w:t xml:space="preserve">The pivot table In Figure 4.a shows the total unit price in UK within each month of 2 years, starting from December 2010 to December 2011 (total of 13 months). Figure 4.b shows a line chart that visualizes the pivot table of Figure 4.a. Line chart is a good choice to visualize this pivot table because we have a continuous variable (time) and it show us the change of total unit price in UK over this time (grouped as months and years). The line chart also shows the trends and when the total unit price increase/decreases in UK. The line chart shows seasonality. As we can see in Figure 2.b, the total unit price in UK decreased from December 2010 to February 2011. From February 2011 to August 2011, the total unit price in UK start increasing and decreasing without a major change or specific pattern. </w:t>
      </w:r>
      <w:r w:rsidR="0063062B" w:rsidRPr="00E02205">
        <w:rPr>
          <w:rFonts w:asciiTheme="majorBidi" w:eastAsiaTheme="minorEastAsia" w:hAnsiTheme="majorBidi" w:cstheme="majorBidi"/>
          <w:kern w:val="2"/>
          <w14:ligatures w14:val="standardContextual"/>
        </w:rPr>
        <w:t xml:space="preserve">In </w:t>
      </w:r>
      <w:r w:rsidR="0063062B">
        <w:rPr>
          <w:rFonts w:asciiTheme="majorBidi" w:eastAsiaTheme="minorEastAsia" w:hAnsiTheme="majorBidi" w:cstheme="majorBidi"/>
          <w:kern w:val="2"/>
          <w14:ligatures w14:val="standardContextual"/>
        </w:rPr>
        <w:t>April</w:t>
      </w:r>
      <w:r w:rsidR="0063062B" w:rsidRPr="00E02205">
        <w:rPr>
          <w:rFonts w:asciiTheme="majorBidi" w:eastAsiaTheme="minorEastAsia" w:hAnsiTheme="majorBidi" w:cstheme="majorBidi"/>
          <w:kern w:val="2"/>
          <w14:ligatures w14:val="standardContextual"/>
        </w:rPr>
        <w:t xml:space="preserve"> 2011, the total unit price in UK reaches the lowest record of the total unit price over the 13 months.</w:t>
      </w:r>
      <w:r w:rsidR="0063062B">
        <w:rPr>
          <w:rFonts w:asciiTheme="majorBidi" w:eastAsiaTheme="minorEastAsia" w:hAnsiTheme="majorBidi" w:cstheme="majorBidi"/>
          <w:kern w:val="2"/>
          <w14:ligatures w14:val="standardContextual"/>
        </w:rPr>
        <w:t xml:space="preserve"> </w:t>
      </w:r>
      <w:r w:rsidRPr="00E02205">
        <w:rPr>
          <w:rFonts w:asciiTheme="majorBidi" w:eastAsiaTheme="minorEastAsia" w:hAnsiTheme="majorBidi" w:cstheme="majorBidi"/>
          <w:kern w:val="2"/>
          <w14:ligatures w14:val="standardContextual"/>
        </w:rPr>
        <w:t xml:space="preserve">In September 2011, the total unit price in UK start to increase almost constantly up until November 2011, </w:t>
      </w:r>
      <w:r w:rsidR="007B2C45" w:rsidRPr="00E02205">
        <w:rPr>
          <w:rFonts w:asciiTheme="majorBidi" w:eastAsiaTheme="minorEastAsia" w:hAnsiTheme="majorBidi" w:cstheme="majorBidi"/>
          <w:kern w:val="2"/>
          <w14:ligatures w14:val="standardContextual"/>
        </w:rPr>
        <w:t>where</w:t>
      </w:r>
      <w:r w:rsidRPr="00E02205">
        <w:rPr>
          <w:rFonts w:asciiTheme="majorBidi" w:eastAsiaTheme="minorEastAsia" w:hAnsiTheme="majorBidi" w:cstheme="majorBidi"/>
          <w:kern w:val="2"/>
          <w14:ligatures w14:val="standardContextual"/>
        </w:rPr>
        <w:t xml:space="preserve"> it reached a peak of 301,640.98 total unit price in UK, which is the </w:t>
      </w:r>
      <w:r w:rsidR="007B2C45" w:rsidRPr="00E02205">
        <w:rPr>
          <w:rFonts w:asciiTheme="majorBidi" w:eastAsiaTheme="minorEastAsia" w:hAnsiTheme="majorBidi" w:cstheme="majorBidi"/>
          <w:kern w:val="2"/>
          <w14:ligatures w14:val="standardContextual"/>
        </w:rPr>
        <w:t>highest</w:t>
      </w:r>
      <w:r w:rsidRPr="00E02205">
        <w:rPr>
          <w:rFonts w:asciiTheme="majorBidi" w:eastAsiaTheme="minorEastAsia" w:hAnsiTheme="majorBidi" w:cstheme="majorBidi"/>
          <w:kern w:val="2"/>
          <w14:ligatures w14:val="standardContextual"/>
        </w:rPr>
        <w:t xml:space="preserve"> total unit price in UK over the 13 </w:t>
      </w:r>
      <w:r w:rsidR="007B2C45" w:rsidRPr="00E02205">
        <w:rPr>
          <w:rFonts w:asciiTheme="majorBidi" w:eastAsiaTheme="minorEastAsia" w:hAnsiTheme="majorBidi" w:cstheme="majorBidi"/>
          <w:kern w:val="2"/>
          <w14:ligatures w14:val="standardContextual"/>
        </w:rPr>
        <w:t>months</w:t>
      </w:r>
      <w:r w:rsidRPr="00E02205">
        <w:rPr>
          <w:rFonts w:asciiTheme="majorBidi" w:eastAsiaTheme="minorEastAsia" w:hAnsiTheme="majorBidi" w:cstheme="majorBidi"/>
          <w:kern w:val="2"/>
          <w14:ligatures w14:val="standardContextual"/>
        </w:rPr>
        <w:t>. The increasing of total unit price in UK stops at November 2011, where in December 2011, the total unit price drops sharply into 128,259.67 total unit price in UK (it dropped more than half of the total unit price in UK of November 2011). The similarity between Figure 4.b and Figure 2.b show that UK is truly the country with the major impact on the total unit price as the pie chart in Figure 1.b showed us earlier.</w:t>
      </w:r>
    </w:p>
    <w:p w14:paraId="2A71303C" w14:textId="77777777"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p>
    <w:p w14:paraId="5354483C" w14:textId="77777777"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p>
    <w:p w14:paraId="636408DA" w14:textId="7348E15D"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r w:rsidRPr="00E02205">
        <w:rPr>
          <w:rFonts w:asciiTheme="majorBidi" w:eastAsiaTheme="minorEastAsia" w:hAnsiTheme="majorBidi" w:cstheme="majorBidi"/>
          <w:kern w:val="2"/>
          <w14:ligatures w14:val="standardContextual"/>
        </w:rPr>
        <w:lastRenderedPageBreak/>
        <w:t xml:space="preserve">The pivot table In Figure 5.a and 5.b show the total quantity of units bought from each country. The column chart in Figure 5.c visualized the results of this pivot table from the country with the highest total quantity at left to the country with the lowest total quantity at right. The column chart shows that UK has the highest total quantity of units bought, where it had a total of 4,263,829 units bought. And after a huge difference, Netherlands comes as the second highest country with a total of 200,128 units </w:t>
      </w:r>
      <w:r w:rsidR="007B2C45" w:rsidRPr="00E02205">
        <w:rPr>
          <w:rFonts w:asciiTheme="majorBidi" w:eastAsiaTheme="minorEastAsia" w:hAnsiTheme="majorBidi" w:cstheme="majorBidi"/>
          <w:kern w:val="2"/>
          <w14:ligatures w14:val="standardContextual"/>
        </w:rPr>
        <w:t>bought</w:t>
      </w:r>
      <w:r w:rsidRPr="00E02205">
        <w:rPr>
          <w:rFonts w:asciiTheme="majorBidi" w:eastAsiaTheme="minorEastAsia" w:hAnsiTheme="majorBidi" w:cstheme="majorBidi"/>
          <w:kern w:val="2"/>
          <w14:ligatures w14:val="standardContextual"/>
        </w:rPr>
        <w:t xml:space="preserve">.  Then, EIRE, Germany, and France come as third, fourth and fifth, respectively, where they almost had a similar total quantity that </w:t>
      </w:r>
      <w:r w:rsidR="007B2C45" w:rsidRPr="00E02205">
        <w:rPr>
          <w:rFonts w:asciiTheme="majorBidi" w:eastAsiaTheme="minorEastAsia" w:hAnsiTheme="majorBidi" w:cstheme="majorBidi"/>
          <w:kern w:val="2"/>
          <w14:ligatures w14:val="standardContextual"/>
        </w:rPr>
        <w:t>ranged</w:t>
      </w:r>
      <w:r w:rsidRPr="00E02205">
        <w:rPr>
          <w:rFonts w:asciiTheme="majorBidi" w:eastAsiaTheme="minorEastAsia" w:hAnsiTheme="majorBidi" w:cstheme="majorBidi"/>
          <w:kern w:val="2"/>
          <w14:ligatures w14:val="standardContextual"/>
        </w:rPr>
        <w:t xml:space="preserve"> from 110,480 to 142,637. The grand total quantity of units bought from all over the world was 5,176,450 units.</w:t>
      </w:r>
    </w:p>
    <w:p w14:paraId="0FB471FC" w14:textId="77777777"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p>
    <w:p w14:paraId="18857B69" w14:textId="77777777"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p>
    <w:p w14:paraId="7E6CBBD1" w14:textId="3CE3BEB5" w:rsidR="00366034" w:rsidRPr="003F0D2C" w:rsidRDefault="00E02205" w:rsidP="00366034">
      <w:pPr>
        <w:shd w:val="clear" w:color="auto" w:fill="FFFFFF"/>
        <w:spacing w:line="240" w:lineRule="auto"/>
        <w:rPr>
          <w:rFonts w:ascii="Segoe UI" w:hAnsi="Segoe UI" w:cs="Segoe UI"/>
          <w:color w:val="242424"/>
          <w:sz w:val="23"/>
          <w:szCs w:val="23"/>
        </w:rPr>
      </w:pPr>
      <w:r w:rsidRPr="00E02205">
        <w:rPr>
          <w:rFonts w:asciiTheme="majorBidi" w:eastAsiaTheme="minorEastAsia" w:hAnsiTheme="majorBidi" w:cstheme="majorBidi"/>
          <w:kern w:val="2"/>
          <w14:ligatures w14:val="standardContextual"/>
        </w:rPr>
        <w:t>The pivot table In Figure 6.a shows the total quantity of units bought in each month of 2 years, where we start with December 2</w:t>
      </w:r>
      <w:r w:rsidR="007C3BC3">
        <w:rPr>
          <w:rFonts w:asciiTheme="majorBidi" w:eastAsiaTheme="minorEastAsia" w:hAnsiTheme="majorBidi" w:cstheme="majorBidi"/>
          <w:kern w:val="2"/>
          <w14:ligatures w14:val="standardContextual"/>
        </w:rPr>
        <w:t>0</w:t>
      </w:r>
      <w:r w:rsidRPr="00E02205">
        <w:rPr>
          <w:rFonts w:asciiTheme="majorBidi" w:eastAsiaTheme="minorEastAsia" w:hAnsiTheme="majorBidi" w:cstheme="majorBidi"/>
          <w:kern w:val="2"/>
          <w14:ligatures w14:val="standardContextual"/>
        </w:rPr>
        <w:t xml:space="preserve">10 to December 2011 (total of 13 </w:t>
      </w:r>
      <w:r w:rsidR="007B2C45" w:rsidRPr="00E02205">
        <w:rPr>
          <w:rFonts w:asciiTheme="majorBidi" w:eastAsiaTheme="minorEastAsia" w:hAnsiTheme="majorBidi" w:cstheme="majorBidi"/>
          <w:kern w:val="2"/>
          <w14:ligatures w14:val="standardContextual"/>
        </w:rPr>
        <w:t>months</w:t>
      </w:r>
      <w:r w:rsidRPr="00E02205">
        <w:rPr>
          <w:rFonts w:asciiTheme="majorBidi" w:eastAsiaTheme="minorEastAsia" w:hAnsiTheme="majorBidi" w:cstheme="majorBidi"/>
          <w:kern w:val="2"/>
          <w14:ligatures w14:val="standardContextual"/>
        </w:rPr>
        <w:t xml:space="preserve">). The line chart in Figure 6.b visualizes the pivot table. As we can </w:t>
      </w:r>
      <w:r w:rsidRPr="00366034">
        <w:rPr>
          <w:rFonts w:asciiTheme="majorBidi" w:eastAsiaTheme="minorEastAsia" w:hAnsiTheme="majorBidi" w:cstheme="majorBidi"/>
          <w:kern w:val="2"/>
          <w14:ligatures w14:val="standardContextual"/>
        </w:rPr>
        <w:t xml:space="preserve">see, </w:t>
      </w:r>
      <w:r w:rsidR="00366034" w:rsidRPr="00366034">
        <w:rPr>
          <w:rFonts w:asciiTheme="majorBidi" w:hAnsiTheme="majorBidi" w:cstheme="majorBidi"/>
          <w:color w:val="242424"/>
        </w:rPr>
        <w:t>the</w:t>
      </w:r>
      <w:r w:rsidR="00366034" w:rsidRPr="003F0D2C">
        <w:rPr>
          <w:rFonts w:asciiTheme="majorBidi" w:hAnsiTheme="majorBidi" w:cstheme="majorBidi"/>
          <w:color w:val="242424"/>
        </w:rPr>
        <w:t xml:space="preserve"> sum of quantities from December 2010 to July 2011 don't have an increasing or decreasing pattern, where it was increasing then </w:t>
      </w:r>
      <w:r w:rsidR="00366034" w:rsidRPr="00366034">
        <w:rPr>
          <w:rFonts w:asciiTheme="majorBidi" w:hAnsiTheme="majorBidi" w:cstheme="majorBidi"/>
          <w:color w:val="242424"/>
        </w:rPr>
        <w:t>decreasing</w:t>
      </w:r>
      <w:r w:rsidR="00366034" w:rsidRPr="003F0D2C">
        <w:rPr>
          <w:rFonts w:asciiTheme="majorBidi" w:hAnsiTheme="majorBidi" w:cstheme="majorBidi"/>
          <w:color w:val="242424"/>
        </w:rPr>
        <w:t xml:space="preserve"> then increasing and so on. From July 2011 to November 2011, the sum of quantities was increasing until it reached a peak of 740,286 quantities in November 2011, which is the highest amount of sum of quantity at it is shown in Figure 6.b. Then, in December 2011, the sum of quantities drops into the lowest amount of sum of quantities within the period of December 2010 to December 2011, where in December 2011 it dropped to 226,333 quantities (which is the lowest at it is shown in </w:t>
      </w:r>
      <w:r w:rsidR="00366034" w:rsidRPr="00366034">
        <w:rPr>
          <w:rFonts w:asciiTheme="majorBidi" w:hAnsiTheme="majorBidi" w:cstheme="majorBidi"/>
          <w:color w:val="242424"/>
        </w:rPr>
        <w:t>Figure</w:t>
      </w:r>
      <w:r w:rsidR="00366034" w:rsidRPr="003F0D2C">
        <w:rPr>
          <w:rFonts w:asciiTheme="majorBidi" w:hAnsiTheme="majorBidi" w:cstheme="majorBidi"/>
          <w:color w:val="242424"/>
        </w:rPr>
        <w:t xml:space="preserve"> 6.b).</w:t>
      </w:r>
    </w:p>
    <w:p w14:paraId="53DC1AB9" w14:textId="2C6E3239"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p>
    <w:p w14:paraId="3DFA1229" w14:textId="77777777"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p>
    <w:p w14:paraId="3D977866" w14:textId="77777777"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p>
    <w:p w14:paraId="76F2C229" w14:textId="263F1E45"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r w:rsidRPr="00E02205">
        <w:rPr>
          <w:rFonts w:asciiTheme="majorBidi" w:eastAsiaTheme="minorEastAsia" w:hAnsiTheme="majorBidi" w:cstheme="majorBidi"/>
          <w:kern w:val="2"/>
          <w14:ligatures w14:val="standardContextual"/>
        </w:rPr>
        <w:t xml:space="preserve">The pivot table in Figure 7.a shows the ranking of </w:t>
      </w:r>
      <w:r w:rsidR="005C7D91" w:rsidRPr="00E02205">
        <w:rPr>
          <w:rFonts w:asciiTheme="majorBidi" w:eastAsiaTheme="minorEastAsia" w:hAnsiTheme="majorBidi" w:cstheme="majorBidi"/>
          <w:kern w:val="2"/>
          <w14:ligatures w14:val="standardContextual"/>
        </w:rPr>
        <w:t>the top</w:t>
      </w:r>
      <w:r w:rsidRPr="00E02205">
        <w:rPr>
          <w:rFonts w:asciiTheme="majorBidi" w:eastAsiaTheme="minorEastAsia" w:hAnsiTheme="majorBidi" w:cstheme="majorBidi"/>
          <w:kern w:val="2"/>
          <w14:ligatures w14:val="standardContextual"/>
        </w:rPr>
        <w:t xml:space="preserve"> 10 </w:t>
      </w:r>
      <w:r w:rsidR="007B2C45" w:rsidRPr="00E02205">
        <w:rPr>
          <w:rFonts w:asciiTheme="majorBidi" w:eastAsiaTheme="minorEastAsia" w:hAnsiTheme="majorBidi" w:cstheme="majorBidi"/>
          <w:kern w:val="2"/>
          <w14:ligatures w14:val="standardContextual"/>
        </w:rPr>
        <w:t>Invoice</w:t>
      </w:r>
      <w:r w:rsidRPr="00E02205">
        <w:rPr>
          <w:rFonts w:asciiTheme="majorBidi" w:eastAsiaTheme="minorEastAsia" w:hAnsiTheme="majorBidi" w:cstheme="majorBidi"/>
          <w:kern w:val="2"/>
          <w14:ligatures w14:val="standardContextual"/>
        </w:rPr>
        <w:t xml:space="preserve"> Numbers based on their total quantity (number of units bought). The bar chart in Figure 7.b </w:t>
      </w:r>
      <w:r w:rsidR="007B2C45" w:rsidRPr="00E02205">
        <w:rPr>
          <w:rFonts w:asciiTheme="majorBidi" w:eastAsiaTheme="minorEastAsia" w:hAnsiTheme="majorBidi" w:cstheme="majorBidi"/>
          <w:kern w:val="2"/>
          <w14:ligatures w14:val="standardContextual"/>
        </w:rPr>
        <w:t>shows</w:t>
      </w:r>
      <w:r w:rsidRPr="00E02205">
        <w:rPr>
          <w:rFonts w:asciiTheme="majorBidi" w:eastAsiaTheme="minorEastAsia" w:hAnsiTheme="majorBidi" w:cstheme="majorBidi"/>
          <w:kern w:val="2"/>
          <w14:ligatures w14:val="standardContextual"/>
        </w:rPr>
        <w:t xml:space="preserve"> this pivot table where it shows the Invoice Number with </w:t>
      </w:r>
      <w:r w:rsidR="007B2C45" w:rsidRPr="00E02205">
        <w:rPr>
          <w:rFonts w:asciiTheme="majorBidi" w:eastAsiaTheme="minorEastAsia" w:hAnsiTheme="majorBidi" w:cstheme="majorBidi"/>
          <w:kern w:val="2"/>
          <w14:ligatures w14:val="standardContextual"/>
        </w:rPr>
        <w:t>the</w:t>
      </w:r>
      <w:r w:rsidRPr="00E02205">
        <w:rPr>
          <w:rFonts w:asciiTheme="majorBidi" w:eastAsiaTheme="minorEastAsia" w:hAnsiTheme="majorBidi" w:cstheme="majorBidi"/>
          <w:kern w:val="2"/>
          <w14:ligatures w14:val="standardContextual"/>
        </w:rPr>
        <w:t xml:space="preserve"> </w:t>
      </w:r>
      <w:r w:rsidR="007B2C45" w:rsidRPr="00E02205">
        <w:rPr>
          <w:rFonts w:asciiTheme="majorBidi" w:eastAsiaTheme="minorEastAsia" w:hAnsiTheme="majorBidi" w:cstheme="majorBidi"/>
          <w:kern w:val="2"/>
          <w14:ligatures w14:val="standardContextual"/>
        </w:rPr>
        <w:t>highest</w:t>
      </w:r>
      <w:r w:rsidRPr="00E02205">
        <w:rPr>
          <w:rFonts w:asciiTheme="majorBidi" w:eastAsiaTheme="minorEastAsia" w:hAnsiTheme="majorBidi" w:cstheme="majorBidi"/>
          <w:kern w:val="2"/>
          <w14:ligatures w14:val="standardContextual"/>
        </w:rPr>
        <w:t xml:space="preserve"> quantity at the top while the Invoice Number </w:t>
      </w:r>
      <w:r w:rsidR="007B2C45" w:rsidRPr="00E02205">
        <w:rPr>
          <w:rFonts w:asciiTheme="majorBidi" w:eastAsiaTheme="minorEastAsia" w:hAnsiTheme="majorBidi" w:cstheme="majorBidi"/>
          <w:kern w:val="2"/>
          <w14:ligatures w14:val="standardContextual"/>
        </w:rPr>
        <w:t>with</w:t>
      </w:r>
      <w:r w:rsidRPr="00E02205">
        <w:rPr>
          <w:rFonts w:asciiTheme="majorBidi" w:eastAsiaTheme="minorEastAsia" w:hAnsiTheme="majorBidi" w:cstheme="majorBidi"/>
          <w:kern w:val="2"/>
          <w14:ligatures w14:val="standardContextual"/>
        </w:rPr>
        <w:t xml:space="preserve"> the lowest quantity at the bottom.</w:t>
      </w:r>
      <w:r w:rsidR="00366034">
        <w:rPr>
          <w:rFonts w:asciiTheme="majorBidi" w:eastAsiaTheme="minorEastAsia" w:hAnsiTheme="majorBidi" w:cstheme="majorBidi"/>
          <w:kern w:val="2"/>
          <w14:ligatures w14:val="standardContextual"/>
        </w:rPr>
        <w:t xml:space="preserve"> </w:t>
      </w:r>
      <w:r w:rsidR="00366034" w:rsidRPr="00366034">
        <w:rPr>
          <w:rFonts w:asciiTheme="majorBidi" w:eastAsiaTheme="minorEastAsia" w:hAnsiTheme="majorBidi" w:cstheme="majorBidi"/>
          <w:kern w:val="2"/>
          <w14:ligatures w14:val="standardContextual"/>
        </w:rPr>
        <w:t>As we can see, 581483 had the highest sum of quantity in UK with a total of 80995, at second comes 541431 with a total of 74215, and then comes 574941 with a total of 14149 quantity.</w:t>
      </w:r>
    </w:p>
    <w:p w14:paraId="5A0F8851" w14:textId="77777777" w:rsidR="00E02205" w:rsidRPr="00E02205" w:rsidRDefault="00E02205" w:rsidP="00E02205">
      <w:pPr>
        <w:overflowPunct/>
        <w:autoSpaceDE/>
        <w:autoSpaceDN/>
        <w:adjustRightInd/>
        <w:spacing w:after="160" w:line="278" w:lineRule="auto"/>
        <w:ind w:firstLine="0"/>
        <w:jc w:val="left"/>
        <w:textAlignment w:val="auto"/>
        <w:rPr>
          <w:rFonts w:asciiTheme="majorBidi" w:eastAsiaTheme="minorEastAsia" w:hAnsiTheme="majorBidi" w:cstheme="majorBidi"/>
          <w:kern w:val="2"/>
          <w14:ligatures w14:val="standardContextual"/>
        </w:rPr>
      </w:pPr>
    </w:p>
    <w:p w14:paraId="2EB512E7" w14:textId="77777777" w:rsidR="00E02205" w:rsidRPr="00E02205" w:rsidRDefault="00E02205" w:rsidP="00E02205"/>
    <w:p w14:paraId="7ECF605E" w14:textId="43609272" w:rsidR="004A7057" w:rsidRPr="004A7057" w:rsidRDefault="004A7057" w:rsidP="004A7057">
      <w:pPr>
        <w:pStyle w:val="p1a"/>
      </w:pPr>
    </w:p>
    <w:p w14:paraId="101A9E03" w14:textId="77777777" w:rsidR="00D00CA6" w:rsidRDefault="00D00CA6" w:rsidP="00D00CA6">
      <w:pPr>
        <w:pStyle w:val="heading1"/>
        <w:numPr>
          <w:ilvl w:val="0"/>
          <w:numId w:val="0"/>
        </w:numPr>
        <w:ind w:left="567" w:hanging="567"/>
      </w:pPr>
      <w:r>
        <w:lastRenderedPageBreak/>
        <w:t>References</w:t>
      </w:r>
    </w:p>
    <w:p w14:paraId="5D9FD09A" w14:textId="4DFD6AC5" w:rsidR="00EF1EB0" w:rsidRDefault="00D85D46" w:rsidP="00EF1EB0">
      <w:pPr>
        <w:pStyle w:val="referenceitem"/>
      </w:pPr>
      <w:r>
        <w:t xml:space="preserve">Kaggle, </w:t>
      </w:r>
      <w:hyperlink r:id="rId23" w:history="1">
        <w:r w:rsidRPr="00326BED">
          <w:rPr>
            <w:rStyle w:val="Hyperlink"/>
          </w:rPr>
          <w:t>https://www.kaggle.com/datasets/vijayuv/onlineretail?resource=download</w:t>
        </w:r>
      </w:hyperlink>
      <w:r>
        <w:t>, last accessed2024/11/5.</w:t>
      </w:r>
    </w:p>
    <w:p w14:paraId="7E842F8E" w14:textId="28B90D9B" w:rsidR="00EF1EB0" w:rsidRPr="00EF1EB0" w:rsidRDefault="00D85D46" w:rsidP="00EF1EB0">
      <w:pPr>
        <w:pStyle w:val="referenceitem"/>
      </w:pPr>
      <w:r>
        <w:t xml:space="preserve">ChatGPT, </w:t>
      </w:r>
      <w:hyperlink r:id="rId24" w:history="1">
        <w:r w:rsidRPr="00326BED">
          <w:rPr>
            <w:rStyle w:val="Hyperlink"/>
          </w:rPr>
          <w:t>https://chatgpt.com/share/6725e426-2d78-8002-8906-e6e8fea69a10</w:t>
        </w:r>
      </w:hyperlink>
      <w:r>
        <w:t>, last accessed 2024/11/2.</w:t>
      </w:r>
    </w:p>
    <w:p w14:paraId="0144D9EE" w14:textId="77777777" w:rsidR="00D00CA6" w:rsidRDefault="00D00CA6"/>
    <w:sectPr w:rsidR="00D00CA6" w:rsidSect="00D00CA6">
      <w:headerReference w:type="even" r:id="rId25"/>
      <w:headerReference w:type="default" r:id="rId2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D7C5E2" w14:textId="77777777" w:rsidR="00116EAA" w:rsidRDefault="00116EAA">
      <w:pPr>
        <w:spacing w:line="240" w:lineRule="auto"/>
      </w:pPr>
      <w:r>
        <w:separator/>
      </w:r>
    </w:p>
  </w:endnote>
  <w:endnote w:type="continuationSeparator" w:id="0">
    <w:p w14:paraId="3F787CD7" w14:textId="77777777" w:rsidR="00116EAA" w:rsidRDefault="00116E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B1B42F" w14:textId="77777777" w:rsidR="00116EAA" w:rsidRDefault="00116EAA">
      <w:pPr>
        <w:spacing w:line="240" w:lineRule="auto"/>
      </w:pPr>
      <w:r>
        <w:separator/>
      </w:r>
    </w:p>
  </w:footnote>
  <w:footnote w:type="continuationSeparator" w:id="0">
    <w:p w14:paraId="1AE32AC1" w14:textId="77777777" w:rsidR="00116EAA" w:rsidRDefault="00116E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8289C" w14:textId="77777777" w:rsidR="0094602D" w:rsidRDefault="00000000" w:rsidP="00F321B4">
    <w:pPr>
      <w:pStyle w:val="Header"/>
    </w:pPr>
    <w:r>
      <w:fldChar w:fldCharType="begin"/>
    </w:r>
    <w:r>
      <w:instrText>PAGE   \* MERGEFORMAT</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C8577" w14:textId="77777777" w:rsidR="0094602D" w:rsidRDefault="00000000" w:rsidP="002D48C5">
    <w:pPr>
      <w:pStyle w:val="Header"/>
      <w:jc w:val="right"/>
    </w:pPr>
    <w:r>
      <w:fldChar w:fldCharType="begin"/>
    </w:r>
    <w:r>
      <w:instrText>PAGE   \* MERGEFORMAT</w:instrText>
    </w:r>
    <w:r>
      <w:fldChar w:fldCharType="separate"/>
    </w:r>
    <w:r>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845705658">
    <w:abstractNumId w:val="0"/>
  </w:num>
  <w:num w:numId="2" w16cid:durableId="2140568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CA6"/>
    <w:rsid w:val="0005351E"/>
    <w:rsid w:val="000B5D3E"/>
    <w:rsid w:val="00116EAA"/>
    <w:rsid w:val="001366DA"/>
    <w:rsid w:val="001E73A2"/>
    <w:rsid w:val="002C22B0"/>
    <w:rsid w:val="002C707C"/>
    <w:rsid w:val="002E2544"/>
    <w:rsid w:val="00366034"/>
    <w:rsid w:val="00397F52"/>
    <w:rsid w:val="004A7057"/>
    <w:rsid w:val="005C7D91"/>
    <w:rsid w:val="0063062B"/>
    <w:rsid w:val="00641D2C"/>
    <w:rsid w:val="00672974"/>
    <w:rsid w:val="006B1EA9"/>
    <w:rsid w:val="007B2C45"/>
    <w:rsid w:val="007C3BC3"/>
    <w:rsid w:val="008A1B57"/>
    <w:rsid w:val="0094602D"/>
    <w:rsid w:val="00966926"/>
    <w:rsid w:val="009843D2"/>
    <w:rsid w:val="00B5101C"/>
    <w:rsid w:val="00B63B0D"/>
    <w:rsid w:val="00C23E5C"/>
    <w:rsid w:val="00C366B2"/>
    <w:rsid w:val="00C615FC"/>
    <w:rsid w:val="00D00CA6"/>
    <w:rsid w:val="00D266F4"/>
    <w:rsid w:val="00D85D46"/>
    <w:rsid w:val="00DC0B09"/>
    <w:rsid w:val="00E02205"/>
    <w:rsid w:val="00E51BBB"/>
    <w:rsid w:val="00EF1EB0"/>
    <w:rsid w:val="00FE5F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3E9B"/>
  <w15:chartTrackingRefBased/>
  <w15:docId w15:val="{BE18E748-1712-4247-9783-7BD5B651E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CA6"/>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kern w:val="0"/>
      <w:sz w:val="20"/>
      <w:szCs w:val="20"/>
      <w14:ligatures w14:val="none"/>
    </w:rPr>
  </w:style>
  <w:style w:type="paragraph" w:styleId="Heading10">
    <w:name w:val="heading 1"/>
    <w:basedOn w:val="Normal"/>
    <w:next w:val="Normal"/>
    <w:link w:val="Heading1Char"/>
    <w:uiPriority w:val="9"/>
    <w:qFormat/>
    <w:rsid w:val="00D00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0">
    <w:name w:val="heading 2"/>
    <w:basedOn w:val="Normal"/>
    <w:next w:val="Normal"/>
    <w:link w:val="Heading2Char"/>
    <w:uiPriority w:val="9"/>
    <w:semiHidden/>
    <w:unhideWhenUsed/>
    <w:qFormat/>
    <w:rsid w:val="00D00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00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00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C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C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C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C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D00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0"/>
    <w:uiPriority w:val="9"/>
    <w:semiHidden/>
    <w:rsid w:val="00D00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CA6"/>
    <w:rPr>
      <w:rFonts w:eastAsiaTheme="majorEastAsia" w:cstheme="majorBidi"/>
      <w:color w:val="272727" w:themeColor="text1" w:themeTint="D8"/>
    </w:rPr>
  </w:style>
  <w:style w:type="paragraph" w:styleId="Title">
    <w:name w:val="Title"/>
    <w:basedOn w:val="Normal"/>
    <w:next w:val="Normal"/>
    <w:link w:val="TitleChar"/>
    <w:uiPriority w:val="10"/>
    <w:qFormat/>
    <w:rsid w:val="00D00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CA6"/>
    <w:pPr>
      <w:numPr>
        <w:ilvl w:val="1"/>
      </w:numPr>
      <w:ind w:firstLine="22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CA6"/>
    <w:pPr>
      <w:spacing w:before="160"/>
      <w:jc w:val="center"/>
    </w:pPr>
    <w:rPr>
      <w:i/>
      <w:iCs/>
      <w:color w:val="404040" w:themeColor="text1" w:themeTint="BF"/>
    </w:rPr>
  </w:style>
  <w:style w:type="character" w:customStyle="1" w:styleId="QuoteChar">
    <w:name w:val="Quote Char"/>
    <w:basedOn w:val="DefaultParagraphFont"/>
    <w:link w:val="Quote"/>
    <w:uiPriority w:val="29"/>
    <w:rsid w:val="00D00CA6"/>
    <w:rPr>
      <w:i/>
      <w:iCs/>
      <w:color w:val="404040" w:themeColor="text1" w:themeTint="BF"/>
    </w:rPr>
  </w:style>
  <w:style w:type="paragraph" w:styleId="ListParagraph">
    <w:name w:val="List Paragraph"/>
    <w:basedOn w:val="Normal"/>
    <w:uiPriority w:val="34"/>
    <w:qFormat/>
    <w:rsid w:val="00D00CA6"/>
    <w:pPr>
      <w:ind w:left="720"/>
      <w:contextualSpacing/>
    </w:pPr>
  </w:style>
  <w:style w:type="character" w:styleId="IntenseEmphasis">
    <w:name w:val="Intense Emphasis"/>
    <w:basedOn w:val="DefaultParagraphFont"/>
    <w:uiPriority w:val="21"/>
    <w:qFormat/>
    <w:rsid w:val="00D00CA6"/>
    <w:rPr>
      <w:i/>
      <w:iCs/>
      <w:color w:val="0F4761" w:themeColor="accent1" w:themeShade="BF"/>
    </w:rPr>
  </w:style>
  <w:style w:type="paragraph" w:styleId="IntenseQuote">
    <w:name w:val="Intense Quote"/>
    <w:basedOn w:val="Normal"/>
    <w:next w:val="Normal"/>
    <w:link w:val="IntenseQuoteChar"/>
    <w:uiPriority w:val="30"/>
    <w:qFormat/>
    <w:rsid w:val="00D00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CA6"/>
    <w:rPr>
      <w:i/>
      <w:iCs/>
      <w:color w:val="0F4761" w:themeColor="accent1" w:themeShade="BF"/>
    </w:rPr>
  </w:style>
  <w:style w:type="character" w:styleId="IntenseReference">
    <w:name w:val="Intense Reference"/>
    <w:basedOn w:val="DefaultParagraphFont"/>
    <w:uiPriority w:val="32"/>
    <w:qFormat/>
    <w:rsid w:val="00D00CA6"/>
    <w:rPr>
      <w:b/>
      <w:bCs/>
      <w:smallCaps/>
      <w:color w:val="0F4761" w:themeColor="accent1" w:themeShade="BF"/>
      <w:spacing w:val="5"/>
    </w:rPr>
  </w:style>
  <w:style w:type="paragraph" w:customStyle="1" w:styleId="abstract">
    <w:name w:val="abstract"/>
    <w:basedOn w:val="Normal"/>
    <w:rsid w:val="00D00CA6"/>
    <w:pPr>
      <w:spacing w:before="600" w:after="360" w:line="220" w:lineRule="atLeast"/>
      <w:ind w:left="567" w:right="567"/>
      <w:contextualSpacing/>
    </w:pPr>
    <w:rPr>
      <w:sz w:val="18"/>
    </w:rPr>
  </w:style>
  <w:style w:type="paragraph" w:customStyle="1" w:styleId="address">
    <w:name w:val="address"/>
    <w:basedOn w:val="Normal"/>
    <w:rsid w:val="00D00CA6"/>
    <w:pPr>
      <w:spacing w:after="200" w:line="220" w:lineRule="atLeast"/>
      <w:ind w:firstLine="0"/>
      <w:contextualSpacing/>
      <w:jc w:val="center"/>
    </w:pPr>
    <w:rPr>
      <w:sz w:val="18"/>
    </w:rPr>
  </w:style>
  <w:style w:type="paragraph" w:customStyle="1" w:styleId="author">
    <w:name w:val="author"/>
    <w:basedOn w:val="Normal"/>
    <w:next w:val="address"/>
    <w:rsid w:val="00D00CA6"/>
    <w:pPr>
      <w:spacing w:after="200" w:line="220" w:lineRule="atLeast"/>
      <w:ind w:firstLine="0"/>
      <w:jc w:val="center"/>
    </w:pPr>
  </w:style>
  <w:style w:type="character" w:customStyle="1" w:styleId="e-mail">
    <w:name w:val="e-mail"/>
    <w:basedOn w:val="DefaultParagraphFont"/>
    <w:rsid w:val="00D00CA6"/>
    <w:rPr>
      <w:rFonts w:ascii="Courier" w:hAnsi="Courier"/>
      <w:noProof/>
    </w:rPr>
  </w:style>
  <w:style w:type="paragraph" w:customStyle="1" w:styleId="equation">
    <w:name w:val="equation"/>
    <w:basedOn w:val="Normal"/>
    <w:next w:val="Normal"/>
    <w:rsid w:val="00D00CA6"/>
    <w:pPr>
      <w:tabs>
        <w:tab w:val="center" w:pos="3289"/>
        <w:tab w:val="right" w:pos="6917"/>
      </w:tabs>
      <w:spacing w:before="160" w:after="160"/>
      <w:ind w:firstLine="0"/>
    </w:pPr>
  </w:style>
  <w:style w:type="paragraph" w:customStyle="1" w:styleId="figurecaption">
    <w:name w:val="figurecaption"/>
    <w:basedOn w:val="Normal"/>
    <w:next w:val="Normal"/>
    <w:rsid w:val="00D00CA6"/>
    <w:pPr>
      <w:keepLines/>
      <w:spacing w:before="120" w:after="240" w:line="220" w:lineRule="atLeast"/>
      <w:ind w:firstLine="0"/>
      <w:jc w:val="center"/>
    </w:pPr>
    <w:rPr>
      <w:sz w:val="18"/>
    </w:rPr>
  </w:style>
  <w:style w:type="paragraph" w:customStyle="1" w:styleId="heading1">
    <w:name w:val="heading1"/>
    <w:basedOn w:val="Normal"/>
    <w:next w:val="p1a"/>
    <w:qFormat/>
    <w:rsid w:val="00D00CA6"/>
    <w:pPr>
      <w:keepNext/>
      <w:keepLines/>
      <w:numPr>
        <w:numId w:val="1"/>
      </w:numPr>
      <w:suppressAutoHyphens/>
      <w:spacing w:before="360" w:after="240" w:line="300" w:lineRule="atLeast"/>
      <w:jc w:val="left"/>
      <w:outlineLvl w:val="0"/>
    </w:pPr>
    <w:rPr>
      <w:b/>
      <w:sz w:val="24"/>
    </w:rPr>
  </w:style>
  <w:style w:type="paragraph" w:customStyle="1" w:styleId="heading2">
    <w:name w:val="heading2"/>
    <w:basedOn w:val="Normal"/>
    <w:next w:val="p1a"/>
    <w:qFormat/>
    <w:rsid w:val="00D00CA6"/>
    <w:pPr>
      <w:keepNext/>
      <w:keepLines/>
      <w:numPr>
        <w:ilvl w:val="1"/>
        <w:numId w:val="1"/>
      </w:numPr>
      <w:suppressAutoHyphens/>
      <w:spacing w:before="360" w:after="160"/>
      <w:jc w:val="left"/>
      <w:outlineLvl w:val="1"/>
    </w:pPr>
    <w:rPr>
      <w:b/>
    </w:rPr>
  </w:style>
  <w:style w:type="character" w:customStyle="1" w:styleId="heading30">
    <w:name w:val="heading3"/>
    <w:basedOn w:val="DefaultParagraphFont"/>
    <w:rsid w:val="00D00CA6"/>
    <w:rPr>
      <w:b/>
    </w:rPr>
  </w:style>
  <w:style w:type="character" w:customStyle="1" w:styleId="heading40">
    <w:name w:val="heading4"/>
    <w:basedOn w:val="DefaultParagraphFont"/>
    <w:rsid w:val="00D00CA6"/>
    <w:rPr>
      <w:i/>
    </w:rPr>
  </w:style>
  <w:style w:type="numbering" w:customStyle="1" w:styleId="headings">
    <w:name w:val="headings"/>
    <w:basedOn w:val="NoList"/>
    <w:rsid w:val="00D00CA6"/>
    <w:pPr>
      <w:numPr>
        <w:numId w:val="1"/>
      </w:numPr>
    </w:pPr>
  </w:style>
  <w:style w:type="character" w:styleId="Hyperlink">
    <w:name w:val="Hyperlink"/>
    <w:basedOn w:val="DefaultParagraphFont"/>
    <w:unhideWhenUsed/>
    <w:rsid w:val="00D00CA6"/>
    <w:rPr>
      <w:color w:val="auto"/>
      <w:u w:val="none"/>
    </w:rPr>
  </w:style>
  <w:style w:type="paragraph" w:customStyle="1" w:styleId="keywords">
    <w:name w:val="keywords"/>
    <w:basedOn w:val="abstract"/>
    <w:next w:val="heading1"/>
    <w:rsid w:val="00D00CA6"/>
    <w:pPr>
      <w:spacing w:before="220"/>
      <w:ind w:firstLine="0"/>
      <w:contextualSpacing w:val="0"/>
      <w:jc w:val="left"/>
    </w:pPr>
  </w:style>
  <w:style w:type="paragraph" w:styleId="Header">
    <w:name w:val="header"/>
    <w:basedOn w:val="Normal"/>
    <w:link w:val="HeaderChar"/>
    <w:unhideWhenUsed/>
    <w:rsid w:val="00D00CA6"/>
    <w:pPr>
      <w:tabs>
        <w:tab w:val="center" w:pos="4536"/>
        <w:tab w:val="right" w:pos="9072"/>
      </w:tabs>
      <w:ind w:firstLine="0"/>
    </w:pPr>
    <w:rPr>
      <w:sz w:val="18"/>
      <w:szCs w:val="18"/>
    </w:rPr>
  </w:style>
  <w:style w:type="character" w:customStyle="1" w:styleId="HeaderChar">
    <w:name w:val="Header Char"/>
    <w:basedOn w:val="DefaultParagraphFont"/>
    <w:link w:val="Header"/>
    <w:rsid w:val="00D00CA6"/>
    <w:rPr>
      <w:rFonts w:ascii="Times New Roman" w:eastAsia="Times New Roman" w:hAnsi="Times New Roman" w:cs="Times New Roman"/>
      <w:kern w:val="0"/>
      <w:sz w:val="18"/>
      <w:szCs w:val="18"/>
      <w14:ligatures w14:val="none"/>
    </w:rPr>
  </w:style>
  <w:style w:type="paragraph" w:customStyle="1" w:styleId="p1a">
    <w:name w:val="p1a"/>
    <w:basedOn w:val="Normal"/>
    <w:next w:val="Normal"/>
    <w:rsid w:val="00D00CA6"/>
    <w:pPr>
      <w:ind w:firstLine="0"/>
    </w:pPr>
  </w:style>
  <w:style w:type="paragraph" w:customStyle="1" w:styleId="referenceitem">
    <w:name w:val="referenceitem"/>
    <w:basedOn w:val="Normal"/>
    <w:rsid w:val="00D00CA6"/>
    <w:pPr>
      <w:numPr>
        <w:numId w:val="2"/>
      </w:numPr>
      <w:spacing w:line="220" w:lineRule="atLeast"/>
    </w:pPr>
    <w:rPr>
      <w:sz w:val="18"/>
    </w:rPr>
  </w:style>
  <w:style w:type="numbering" w:customStyle="1" w:styleId="referencelist">
    <w:name w:val="referencelist"/>
    <w:basedOn w:val="NoList"/>
    <w:semiHidden/>
    <w:rsid w:val="00D00CA6"/>
    <w:pPr>
      <w:numPr>
        <w:numId w:val="2"/>
      </w:numPr>
    </w:pPr>
  </w:style>
  <w:style w:type="paragraph" w:customStyle="1" w:styleId="tablecaption">
    <w:name w:val="tablecaption"/>
    <w:basedOn w:val="Normal"/>
    <w:next w:val="Normal"/>
    <w:rsid w:val="00D00CA6"/>
    <w:pPr>
      <w:keepNext/>
      <w:keepLines/>
      <w:spacing w:before="240" w:after="120" w:line="220" w:lineRule="atLeast"/>
      <w:ind w:firstLine="0"/>
      <w:jc w:val="center"/>
    </w:pPr>
    <w:rPr>
      <w:sz w:val="18"/>
    </w:rPr>
  </w:style>
  <w:style w:type="character" w:customStyle="1" w:styleId="ORCID">
    <w:name w:val="ORCID"/>
    <w:basedOn w:val="DefaultParagraphFont"/>
    <w:rsid w:val="00D00CA6"/>
    <w:rPr>
      <w:position w:val="0"/>
      <w:vertAlign w:val="superscript"/>
    </w:rPr>
  </w:style>
  <w:style w:type="paragraph" w:styleId="NoSpacing">
    <w:name w:val="No Spacing"/>
    <w:uiPriority w:val="1"/>
    <w:qFormat/>
    <w:rsid w:val="00D266F4"/>
    <w:pPr>
      <w:overflowPunct w:val="0"/>
      <w:autoSpaceDE w:val="0"/>
      <w:autoSpaceDN w:val="0"/>
      <w:adjustRightInd w:val="0"/>
      <w:spacing w:after="0" w:line="240" w:lineRule="auto"/>
      <w:ind w:firstLine="227"/>
      <w:jc w:val="both"/>
      <w:textAlignment w:val="baseline"/>
    </w:pPr>
    <w:rPr>
      <w:rFonts w:ascii="Times New Roman" w:eastAsia="Times New Roman" w:hAnsi="Times New Roman" w:cs="Times New Roman"/>
      <w:kern w:val="0"/>
      <w:sz w:val="20"/>
      <w:szCs w:val="20"/>
      <w14:ligatures w14:val="none"/>
    </w:rPr>
  </w:style>
  <w:style w:type="character" w:styleId="PlaceholderText">
    <w:name w:val="Placeholder Text"/>
    <w:basedOn w:val="DefaultParagraphFont"/>
    <w:uiPriority w:val="99"/>
    <w:semiHidden/>
    <w:rsid w:val="00D266F4"/>
    <w:rPr>
      <w:color w:val="666666"/>
    </w:rPr>
  </w:style>
  <w:style w:type="character" w:styleId="UnresolvedMention">
    <w:name w:val="Unresolved Mention"/>
    <w:basedOn w:val="DefaultParagraphFont"/>
    <w:uiPriority w:val="99"/>
    <w:semiHidden/>
    <w:unhideWhenUsed/>
    <w:rsid w:val="00D85D46"/>
    <w:rPr>
      <w:color w:val="605E5C"/>
      <w:shd w:val="clear" w:color="auto" w:fill="E1DFDD"/>
    </w:rPr>
  </w:style>
  <w:style w:type="paragraph" w:styleId="Footer">
    <w:name w:val="footer"/>
    <w:basedOn w:val="Normal"/>
    <w:link w:val="FooterChar"/>
    <w:uiPriority w:val="99"/>
    <w:unhideWhenUsed/>
    <w:rsid w:val="00E02205"/>
    <w:pPr>
      <w:tabs>
        <w:tab w:val="center" w:pos="4680"/>
        <w:tab w:val="right" w:pos="9360"/>
      </w:tabs>
      <w:spacing w:line="240" w:lineRule="auto"/>
    </w:pPr>
  </w:style>
  <w:style w:type="character" w:customStyle="1" w:styleId="FooterChar">
    <w:name w:val="Footer Char"/>
    <w:basedOn w:val="DefaultParagraphFont"/>
    <w:link w:val="Footer"/>
    <w:uiPriority w:val="99"/>
    <w:rsid w:val="00E02205"/>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935989">
      <w:bodyDiv w:val="1"/>
      <w:marLeft w:val="0"/>
      <w:marRight w:val="0"/>
      <w:marTop w:val="0"/>
      <w:marBottom w:val="0"/>
      <w:divBdr>
        <w:top w:val="none" w:sz="0" w:space="0" w:color="auto"/>
        <w:left w:val="none" w:sz="0" w:space="0" w:color="auto"/>
        <w:bottom w:val="none" w:sz="0" w:space="0" w:color="auto"/>
        <w:right w:val="none" w:sz="0" w:space="0" w:color="auto"/>
      </w:divBdr>
    </w:div>
    <w:div w:id="274485835">
      <w:bodyDiv w:val="1"/>
      <w:marLeft w:val="0"/>
      <w:marRight w:val="0"/>
      <w:marTop w:val="0"/>
      <w:marBottom w:val="0"/>
      <w:divBdr>
        <w:top w:val="none" w:sz="0" w:space="0" w:color="auto"/>
        <w:left w:val="none" w:sz="0" w:space="0" w:color="auto"/>
        <w:bottom w:val="none" w:sz="0" w:space="0" w:color="auto"/>
        <w:right w:val="none" w:sz="0" w:space="0" w:color="auto"/>
      </w:divBdr>
    </w:div>
    <w:div w:id="301008096">
      <w:bodyDiv w:val="1"/>
      <w:marLeft w:val="0"/>
      <w:marRight w:val="0"/>
      <w:marTop w:val="0"/>
      <w:marBottom w:val="0"/>
      <w:divBdr>
        <w:top w:val="none" w:sz="0" w:space="0" w:color="auto"/>
        <w:left w:val="none" w:sz="0" w:space="0" w:color="auto"/>
        <w:bottom w:val="none" w:sz="0" w:space="0" w:color="auto"/>
        <w:right w:val="none" w:sz="0" w:space="0" w:color="auto"/>
      </w:divBdr>
    </w:div>
    <w:div w:id="393237535">
      <w:bodyDiv w:val="1"/>
      <w:marLeft w:val="0"/>
      <w:marRight w:val="0"/>
      <w:marTop w:val="0"/>
      <w:marBottom w:val="0"/>
      <w:divBdr>
        <w:top w:val="none" w:sz="0" w:space="0" w:color="auto"/>
        <w:left w:val="none" w:sz="0" w:space="0" w:color="auto"/>
        <w:bottom w:val="none" w:sz="0" w:space="0" w:color="auto"/>
        <w:right w:val="none" w:sz="0" w:space="0" w:color="auto"/>
      </w:divBdr>
    </w:div>
    <w:div w:id="425007747">
      <w:bodyDiv w:val="1"/>
      <w:marLeft w:val="0"/>
      <w:marRight w:val="0"/>
      <w:marTop w:val="0"/>
      <w:marBottom w:val="0"/>
      <w:divBdr>
        <w:top w:val="none" w:sz="0" w:space="0" w:color="auto"/>
        <w:left w:val="none" w:sz="0" w:space="0" w:color="auto"/>
        <w:bottom w:val="none" w:sz="0" w:space="0" w:color="auto"/>
        <w:right w:val="none" w:sz="0" w:space="0" w:color="auto"/>
      </w:divBdr>
    </w:div>
    <w:div w:id="574554621">
      <w:bodyDiv w:val="1"/>
      <w:marLeft w:val="0"/>
      <w:marRight w:val="0"/>
      <w:marTop w:val="0"/>
      <w:marBottom w:val="0"/>
      <w:divBdr>
        <w:top w:val="none" w:sz="0" w:space="0" w:color="auto"/>
        <w:left w:val="none" w:sz="0" w:space="0" w:color="auto"/>
        <w:bottom w:val="none" w:sz="0" w:space="0" w:color="auto"/>
        <w:right w:val="none" w:sz="0" w:space="0" w:color="auto"/>
      </w:divBdr>
    </w:div>
    <w:div w:id="590626131">
      <w:bodyDiv w:val="1"/>
      <w:marLeft w:val="0"/>
      <w:marRight w:val="0"/>
      <w:marTop w:val="0"/>
      <w:marBottom w:val="0"/>
      <w:divBdr>
        <w:top w:val="none" w:sz="0" w:space="0" w:color="auto"/>
        <w:left w:val="none" w:sz="0" w:space="0" w:color="auto"/>
        <w:bottom w:val="none" w:sz="0" w:space="0" w:color="auto"/>
        <w:right w:val="none" w:sz="0" w:space="0" w:color="auto"/>
      </w:divBdr>
      <w:divsChild>
        <w:div w:id="960110253">
          <w:marLeft w:val="0"/>
          <w:marRight w:val="0"/>
          <w:marTop w:val="0"/>
          <w:marBottom w:val="0"/>
          <w:divBdr>
            <w:top w:val="none" w:sz="0" w:space="0" w:color="auto"/>
            <w:left w:val="none" w:sz="0" w:space="0" w:color="auto"/>
            <w:bottom w:val="none" w:sz="0" w:space="0" w:color="auto"/>
            <w:right w:val="none" w:sz="0" w:space="0" w:color="auto"/>
          </w:divBdr>
        </w:div>
        <w:div w:id="1491555462">
          <w:marLeft w:val="0"/>
          <w:marRight w:val="0"/>
          <w:marTop w:val="0"/>
          <w:marBottom w:val="0"/>
          <w:divBdr>
            <w:top w:val="none" w:sz="0" w:space="0" w:color="auto"/>
            <w:left w:val="none" w:sz="0" w:space="0" w:color="auto"/>
            <w:bottom w:val="none" w:sz="0" w:space="0" w:color="auto"/>
            <w:right w:val="none" w:sz="0" w:space="0" w:color="auto"/>
          </w:divBdr>
        </w:div>
        <w:div w:id="940576485">
          <w:marLeft w:val="0"/>
          <w:marRight w:val="0"/>
          <w:marTop w:val="0"/>
          <w:marBottom w:val="0"/>
          <w:divBdr>
            <w:top w:val="none" w:sz="0" w:space="0" w:color="auto"/>
            <w:left w:val="none" w:sz="0" w:space="0" w:color="auto"/>
            <w:bottom w:val="none" w:sz="0" w:space="0" w:color="auto"/>
            <w:right w:val="none" w:sz="0" w:space="0" w:color="auto"/>
          </w:divBdr>
        </w:div>
        <w:div w:id="1977946555">
          <w:marLeft w:val="0"/>
          <w:marRight w:val="0"/>
          <w:marTop w:val="0"/>
          <w:marBottom w:val="0"/>
          <w:divBdr>
            <w:top w:val="none" w:sz="0" w:space="0" w:color="auto"/>
            <w:left w:val="none" w:sz="0" w:space="0" w:color="auto"/>
            <w:bottom w:val="none" w:sz="0" w:space="0" w:color="auto"/>
            <w:right w:val="none" w:sz="0" w:space="0" w:color="auto"/>
          </w:divBdr>
        </w:div>
        <w:div w:id="804738533">
          <w:marLeft w:val="0"/>
          <w:marRight w:val="0"/>
          <w:marTop w:val="0"/>
          <w:marBottom w:val="0"/>
          <w:divBdr>
            <w:top w:val="none" w:sz="0" w:space="0" w:color="auto"/>
            <w:left w:val="none" w:sz="0" w:space="0" w:color="auto"/>
            <w:bottom w:val="none" w:sz="0" w:space="0" w:color="auto"/>
            <w:right w:val="none" w:sz="0" w:space="0" w:color="auto"/>
          </w:divBdr>
        </w:div>
        <w:div w:id="1464539157">
          <w:marLeft w:val="0"/>
          <w:marRight w:val="0"/>
          <w:marTop w:val="0"/>
          <w:marBottom w:val="0"/>
          <w:divBdr>
            <w:top w:val="none" w:sz="0" w:space="0" w:color="auto"/>
            <w:left w:val="none" w:sz="0" w:space="0" w:color="auto"/>
            <w:bottom w:val="none" w:sz="0" w:space="0" w:color="auto"/>
            <w:right w:val="none" w:sz="0" w:space="0" w:color="auto"/>
          </w:divBdr>
        </w:div>
        <w:div w:id="1845633453">
          <w:marLeft w:val="0"/>
          <w:marRight w:val="0"/>
          <w:marTop w:val="0"/>
          <w:marBottom w:val="0"/>
          <w:divBdr>
            <w:top w:val="none" w:sz="0" w:space="0" w:color="auto"/>
            <w:left w:val="none" w:sz="0" w:space="0" w:color="auto"/>
            <w:bottom w:val="none" w:sz="0" w:space="0" w:color="auto"/>
            <w:right w:val="none" w:sz="0" w:space="0" w:color="auto"/>
          </w:divBdr>
        </w:div>
        <w:div w:id="1893228247">
          <w:marLeft w:val="0"/>
          <w:marRight w:val="0"/>
          <w:marTop w:val="0"/>
          <w:marBottom w:val="0"/>
          <w:divBdr>
            <w:top w:val="none" w:sz="0" w:space="0" w:color="auto"/>
            <w:left w:val="none" w:sz="0" w:space="0" w:color="auto"/>
            <w:bottom w:val="none" w:sz="0" w:space="0" w:color="auto"/>
            <w:right w:val="none" w:sz="0" w:space="0" w:color="auto"/>
          </w:divBdr>
        </w:div>
        <w:div w:id="190147931">
          <w:marLeft w:val="0"/>
          <w:marRight w:val="0"/>
          <w:marTop w:val="0"/>
          <w:marBottom w:val="0"/>
          <w:divBdr>
            <w:top w:val="none" w:sz="0" w:space="0" w:color="auto"/>
            <w:left w:val="none" w:sz="0" w:space="0" w:color="auto"/>
            <w:bottom w:val="none" w:sz="0" w:space="0" w:color="auto"/>
            <w:right w:val="none" w:sz="0" w:space="0" w:color="auto"/>
          </w:divBdr>
        </w:div>
        <w:div w:id="1492133305">
          <w:marLeft w:val="0"/>
          <w:marRight w:val="0"/>
          <w:marTop w:val="0"/>
          <w:marBottom w:val="0"/>
          <w:divBdr>
            <w:top w:val="none" w:sz="0" w:space="0" w:color="auto"/>
            <w:left w:val="none" w:sz="0" w:space="0" w:color="auto"/>
            <w:bottom w:val="none" w:sz="0" w:space="0" w:color="auto"/>
            <w:right w:val="none" w:sz="0" w:space="0" w:color="auto"/>
          </w:divBdr>
        </w:div>
        <w:div w:id="1072384154">
          <w:marLeft w:val="0"/>
          <w:marRight w:val="0"/>
          <w:marTop w:val="0"/>
          <w:marBottom w:val="0"/>
          <w:divBdr>
            <w:top w:val="none" w:sz="0" w:space="0" w:color="auto"/>
            <w:left w:val="none" w:sz="0" w:space="0" w:color="auto"/>
            <w:bottom w:val="none" w:sz="0" w:space="0" w:color="auto"/>
            <w:right w:val="none" w:sz="0" w:space="0" w:color="auto"/>
          </w:divBdr>
        </w:div>
        <w:div w:id="1820226226">
          <w:marLeft w:val="0"/>
          <w:marRight w:val="0"/>
          <w:marTop w:val="0"/>
          <w:marBottom w:val="0"/>
          <w:divBdr>
            <w:top w:val="none" w:sz="0" w:space="0" w:color="auto"/>
            <w:left w:val="none" w:sz="0" w:space="0" w:color="auto"/>
            <w:bottom w:val="none" w:sz="0" w:space="0" w:color="auto"/>
            <w:right w:val="none" w:sz="0" w:space="0" w:color="auto"/>
          </w:divBdr>
        </w:div>
        <w:div w:id="822433978">
          <w:marLeft w:val="0"/>
          <w:marRight w:val="0"/>
          <w:marTop w:val="0"/>
          <w:marBottom w:val="0"/>
          <w:divBdr>
            <w:top w:val="none" w:sz="0" w:space="0" w:color="auto"/>
            <w:left w:val="none" w:sz="0" w:space="0" w:color="auto"/>
            <w:bottom w:val="none" w:sz="0" w:space="0" w:color="auto"/>
            <w:right w:val="none" w:sz="0" w:space="0" w:color="auto"/>
          </w:divBdr>
        </w:div>
        <w:div w:id="27876403">
          <w:marLeft w:val="0"/>
          <w:marRight w:val="0"/>
          <w:marTop w:val="0"/>
          <w:marBottom w:val="0"/>
          <w:divBdr>
            <w:top w:val="none" w:sz="0" w:space="0" w:color="auto"/>
            <w:left w:val="none" w:sz="0" w:space="0" w:color="auto"/>
            <w:bottom w:val="none" w:sz="0" w:space="0" w:color="auto"/>
            <w:right w:val="none" w:sz="0" w:space="0" w:color="auto"/>
          </w:divBdr>
        </w:div>
        <w:div w:id="1150749316">
          <w:marLeft w:val="0"/>
          <w:marRight w:val="0"/>
          <w:marTop w:val="0"/>
          <w:marBottom w:val="0"/>
          <w:divBdr>
            <w:top w:val="none" w:sz="0" w:space="0" w:color="auto"/>
            <w:left w:val="none" w:sz="0" w:space="0" w:color="auto"/>
            <w:bottom w:val="none" w:sz="0" w:space="0" w:color="auto"/>
            <w:right w:val="none" w:sz="0" w:space="0" w:color="auto"/>
          </w:divBdr>
        </w:div>
        <w:div w:id="1933705656">
          <w:marLeft w:val="0"/>
          <w:marRight w:val="0"/>
          <w:marTop w:val="0"/>
          <w:marBottom w:val="0"/>
          <w:divBdr>
            <w:top w:val="none" w:sz="0" w:space="0" w:color="auto"/>
            <w:left w:val="none" w:sz="0" w:space="0" w:color="auto"/>
            <w:bottom w:val="none" w:sz="0" w:space="0" w:color="auto"/>
            <w:right w:val="none" w:sz="0" w:space="0" w:color="auto"/>
          </w:divBdr>
        </w:div>
        <w:div w:id="101726529">
          <w:marLeft w:val="0"/>
          <w:marRight w:val="0"/>
          <w:marTop w:val="0"/>
          <w:marBottom w:val="0"/>
          <w:divBdr>
            <w:top w:val="none" w:sz="0" w:space="0" w:color="auto"/>
            <w:left w:val="none" w:sz="0" w:space="0" w:color="auto"/>
            <w:bottom w:val="none" w:sz="0" w:space="0" w:color="auto"/>
            <w:right w:val="none" w:sz="0" w:space="0" w:color="auto"/>
          </w:divBdr>
        </w:div>
        <w:div w:id="37241057">
          <w:marLeft w:val="0"/>
          <w:marRight w:val="0"/>
          <w:marTop w:val="0"/>
          <w:marBottom w:val="0"/>
          <w:divBdr>
            <w:top w:val="none" w:sz="0" w:space="0" w:color="auto"/>
            <w:left w:val="none" w:sz="0" w:space="0" w:color="auto"/>
            <w:bottom w:val="none" w:sz="0" w:space="0" w:color="auto"/>
            <w:right w:val="none" w:sz="0" w:space="0" w:color="auto"/>
          </w:divBdr>
        </w:div>
        <w:div w:id="288165183">
          <w:marLeft w:val="0"/>
          <w:marRight w:val="0"/>
          <w:marTop w:val="0"/>
          <w:marBottom w:val="0"/>
          <w:divBdr>
            <w:top w:val="none" w:sz="0" w:space="0" w:color="auto"/>
            <w:left w:val="none" w:sz="0" w:space="0" w:color="auto"/>
            <w:bottom w:val="none" w:sz="0" w:space="0" w:color="auto"/>
            <w:right w:val="none" w:sz="0" w:space="0" w:color="auto"/>
          </w:divBdr>
        </w:div>
        <w:div w:id="741950830">
          <w:marLeft w:val="0"/>
          <w:marRight w:val="0"/>
          <w:marTop w:val="0"/>
          <w:marBottom w:val="0"/>
          <w:divBdr>
            <w:top w:val="none" w:sz="0" w:space="0" w:color="auto"/>
            <w:left w:val="none" w:sz="0" w:space="0" w:color="auto"/>
            <w:bottom w:val="none" w:sz="0" w:space="0" w:color="auto"/>
            <w:right w:val="none" w:sz="0" w:space="0" w:color="auto"/>
          </w:divBdr>
        </w:div>
        <w:div w:id="916014343">
          <w:marLeft w:val="0"/>
          <w:marRight w:val="0"/>
          <w:marTop w:val="0"/>
          <w:marBottom w:val="0"/>
          <w:divBdr>
            <w:top w:val="none" w:sz="0" w:space="0" w:color="auto"/>
            <w:left w:val="none" w:sz="0" w:space="0" w:color="auto"/>
            <w:bottom w:val="none" w:sz="0" w:space="0" w:color="auto"/>
            <w:right w:val="none" w:sz="0" w:space="0" w:color="auto"/>
          </w:divBdr>
        </w:div>
        <w:div w:id="1032415834">
          <w:marLeft w:val="0"/>
          <w:marRight w:val="0"/>
          <w:marTop w:val="0"/>
          <w:marBottom w:val="0"/>
          <w:divBdr>
            <w:top w:val="none" w:sz="0" w:space="0" w:color="auto"/>
            <w:left w:val="none" w:sz="0" w:space="0" w:color="auto"/>
            <w:bottom w:val="none" w:sz="0" w:space="0" w:color="auto"/>
            <w:right w:val="none" w:sz="0" w:space="0" w:color="auto"/>
          </w:divBdr>
        </w:div>
        <w:div w:id="660502733">
          <w:marLeft w:val="0"/>
          <w:marRight w:val="0"/>
          <w:marTop w:val="0"/>
          <w:marBottom w:val="0"/>
          <w:divBdr>
            <w:top w:val="none" w:sz="0" w:space="0" w:color="auto"/>
            <w:left w:val="none" w:sz="0" w:space="0" w:color="auto"/>
            <w:bottom w:val="none" w:sz="0" w:space="0" w:color="auto"/>
            <w:right w:val="none" w:sz="0" w:space="0" w:color="auto"/>
          </w:divBdr>
        </w:div>
        <w:div w:id="1823429057">
          <w:marLeft w:val="0"/>
          <w:marRight w:val="0"/>
          <w:marTop w:val="0"/>
          <w:marBottom w:val="0"/>
          <w:divBdr>
            <w:top w:val="none" w:sz="0" w:space="0" w:color="auto"/>
            <w:left w:val="none" w:sz="0" w:space="0" w:color="auto"/>
            <w:bottom w:val="none" w:sz="0" w:space="0" w:color="auto"/>
            <w:right w:val="none" w:sz="0" w:space="0" w:color="auto"/>
          </w:divBdr>
        </w:div>
        <w:div w:id="1988973380">
          <w:marLeft w:val="0"/>
          <w:marRight w:val="0"/>
          <w:marTop w:val="0"/>
          <w:marBottom w:val="0"/>
          <w:divBdr>
            <w:top w:val="none" w:sz="0" w:space="0" w:color="auto"/>
            <w:left w:val="none" w:sz="0" w:space="0" w:color="auto"/>
            <w:bottom w:val="none" w:sz="0" w:space="0" w:color="auto"/>
            <w:right w:val="none" w:sz="0" w:space="0" w:color="auto"/>
          </w:divBdr>
        </w:div>
        <w:div w:id="77405274">
          <w:marLeft w:val="0"/>
          <w:marRight w:val="0"/>
          <w:marTop w:val="0"/>
          <w:marBottom w:val="0"/>
          <w:divBdr>
            <w:top w:val="none" w:sz="0" w:space="0" w:color="auto"/>
            <w:left w:val="none" w:sz="0" w:space="0" w:color="auto"/>
            <w:bottom w:val="none" w:sz="0" w:space="0" w:color="auto"/>
            <w:right w:val="none" w:sz="0" w:space="0" w:color="auto"/>
          </w:divBdr>
        </w:div>
        <w:div w:id="866527077">
          <w:marLeft w:val="0"/>
          <w:marRight w:val="0"/>
          <w:marTop w:val="0"/>
          <w:marBottom w:val="0"/>
          <w:divBdr>
            <w:top w:val="none" w:sz="0" w:space="0" w:color="auto"/>
            <w:left w:val="none" w:sz="0" w:space="0" w:color="auto"/>
            <w:bottom w:val="none" w:sz="0" w:space="0" w:color="auto"/>
            <w:right w:val="none" w:sz="0" w:space="0" w:color="auto"/>
          </w:divBdr>
        </w:div>
        <w:div w:id="1772123656">
          <w:marLeft w:val="0"/>
          <w:marRight w:val="0"/>
          <w:marTop w:val="0"/>
          <w:marBottom w:val="0"/>
          <w:divBdr>
            <w:top w:val="none" w:sz="0" w:space="0" w:color="auto"/>
            <w:left w:val="none" w:sz="0" w:space="0" w:color="auto"/>
            <w:bottom w:val="none" w:sz="0" w:space="0" w:color="auto"/>
            <w:right w:val="none" w:sz="0" w:space="0" w:color="auto"/>
          </w:divBdr>
        </w:div>
        <w:div w:id="1281186498">
          <w:marLeft w:val="0"/>
          <w:marRight w:val="0"/>
          <w:marTop w:val="0"/>
          <w:marBottom w:val="0"/>
          <w:divBdr>
            <w:top w:val="none" w:sz="0" w:space="0" w:color="auto"/>
            <w:left w:val="none" w:sz="0" w:space="0" w:color="auto"/>
            <w:bottom w:val="none" w:sz="0" w:space="0" w:color="auto"/>
            <w:right w:val="none" w:sz="0" w:space="0" w:color="auto"/>
          </w:divBdr>
        </w:div>
        <w:div w:id="1712000500">
          <w:marLeft w:val="0"/>
          <w:marRight w:val="0"/>
          <w:marTop w:val="0"/>
          <w:marBottom w:val="0"/>
          <w:divBdr>
            <w:top w:val="none" w:sz="0" w:space="0" w:color="auto"/>
            <w:left w:val="none" w:sz="0" w:space="0" w:color="auto"/>
            <w:bottom w:val="none" w:sz="0" w:space="0" w:color="auto"/>
            <w:right w:val="none" w:sz="0" w:space="0" w:color="auto"/>
          </w:divBdr>
        </w:div>
        <w:div w:id="1494636324">
          <w:marLeft w:val="0"/>
          <w:marRight w:val="0"/>
          <w:marTop w:val="0"/>
          <w:marBottom w:val="0"/>
          <w:divBdr>
            <w:top w:val="none" w:sz="0" w:space="0" w:color="auto"/>
            <w:left w:val="none" w:sz="0" w:space="0" w:color="auto"/>
            <w:bottom w:val="none" w:sz="0" w:space="0" w:color="auto"/>
            <w:right w:val="none" w:sz="0" w:space="0" w:color="auto"/>
          </w:divBdr>
        </w:div>
        <w:div w:id="423494387">
          <w:marLeft w:val="0"/>
          <w:marRight w:val="0"/>
          <w:marTop w:val="0"/>
          <w:marBottom w:val="0"/>
          <w:divBdr>
            <w:top w:val="none" w:sz="0" w:space="0" w:color="auto"/>
            <w:left w:val="none" w:sz="0" w:space="0" w:color="auto"/>
            <w:bottom w:val="none" w:sz="0" w:space="0" w:color="auto"/>
            <w:right w:val="none" w:sz="0" w:space="0" w:color="auto"/>
          </w:divBdr>
        </w:div>
      </w:divsChild>
    </w:div>
    <w:div w:id="606541625">
      <w:bodyDiv w:val="1"/>
      <w:marLeft w:val="0"/>
      <w:marRight w:val="0"/>
      <w:marTop w:val="0"/>
      <w:marBottom w:val="0"/>
      <w:divBdr>
        <w:top w:val="none" w:sz="0" w:space="0" w:color="auto"/>
        <w:left w:val="none" w:sz="0" w:space="0" w:color="auto"/>
        <w:bottom w:val="none" w:sz="0" w:space="0" w:color="auto"/>
        <w:right w:val="none" w:sz="0" w:space="0" w:color="auto"/>
      </w:divBdr>
    </w:div>
    <w:div w:id="673798844">
      <w:bodyDiv w:val="1"/>
      <w:marLeft w:val="0"/>
      <w:marRight w:val="0"/>
      <w:marTop w:val="0"/>
      <w:marBottom w:val="0"/>
      <w:divBdr>
        <w:top w:val="none" w:sz="0" w:space="0" w:color="auto"/>
        <w:left w:val="none" w:sz="0" w:space="0" w:color="auto"/>
        <w:bottom w:val="none" w:sz="0" w:space="0" w:color="auto"/>
        <w:right w:val="none" w:sz="0" w:space="0" w:color="auto"/>
      </w:divBdr>
      <w:divsChild>
        <w:div w:id="251857686">
          <w:marLeft w:val="0"/>
          <w:marRight w:val="0"/>
          <w:marTop w:val="0"/>
          <w:marBottom w:val="0"/>
          <w:divBdr>
            <w:top w:val="none" w:sz="0" w:space="0" w:color="auto"/>
            <w:left w:val="none" w:sz="0" w:space="0" w:color="auto"/>
            <w:bottom w:val="none" w:sz="0" w:space="0" w:color="auto"/>
            <w:right w:val="none" w:sz="0" w:space="0" w:color="auto"/>
          </w:divBdr>
        </w:div>
      </w:divsChild>
    </w:div>
    <w:div w:id="897320990">
      <w:bodyDiv w:val="1"/>
      <w:marLeft w:val="0"/>
      <w:marRight w:val="0"/>
      <w:marTop w:val="0"/>
      <w:marBottom w:val="0"/>
      <w:divBdr>
        <w:top w:val="none" w:sz="0" w:space="0" w:color="auto"/>
        <w:left w:val="none" w:sz="0" w:space="0" w:color="auto"/>
        <w:bottom w:val="none" w:sz="0" w:space="0" w:color="auto"/>
        <w:right w:val="none" w:sz="0" w:space="0" w:color="auto"/>
      </w:divBdr>
    </w:div>
    <w:div w:id="897976888">
      <w:bodyDiv w:val="1"/>
      <w:marLeft w:val="0"/>
      <w:marRight w:val="0"/>
      <w:marTop w:val="0"/>
      <w:marBottom w:val="0"/>
      <w:divBdr>
        <w:top w:val="none" w:sz="0" w:space="0" w:color="auto"/>
        <w:left w:val="none" w:sz="0" w:space="0" w:color="auto"/>
        <w:bottom w:val="none" w:sz="0" w:space="0" w:color="auto"/>
        <w:right w:val="none" w:sz="0" w:space="0" w:color="auto"/>
      </w:divBdr>
      <w:divsChild>
        <w:div w:id="233052384">
          <w:marLeft w:val="0"/>
          <w:marRight w:val="0"/>
          <w:marTop w:val="0"/>
          <w:marBottom w:val="0"/>
          <w:divBdr>
            <w:top w:val="none" w:sz="0" w:space="0" w:color="auto"/>
            <w:left w:val="none" w:sz="0" w:space="0" w:color="auto"/>
            <w:bottom w:val="none" w:sz="0" w:space="0" w:color="auto"/>
            <w:right w:val="none" w:sz="0" w:space="0" w:color="auto"/>
          </w:divBdr>
        </w:div>
      </w:divsChild>
    </w:div>
    <w:div w:id="997851533">
      <w:bodyDiv w:val="1"/>
      <w:marLeft w:val="0"/>
      <w:marRight w:val="0"/>
      <w:marTop w:val="0"/>
      <w:marBottom w:val="0"/>
      <w:divBdr>
        <w:top w:val="none" w:sz="0" w:space="0" w:color="auto"/>
        <w:left w:val="none" w:sz="0" w:space="0" w:color="auto"/>
        <w:bottom w:val="none" w:sz="0" w:space="0" w:color="auto"/>
        <w:right w:val="none" w:sz="0" w:space="0" w:color="auto"/>
      </w:divBdr>
    </w:div>
    <w:div w:id="1002077251">
      <w:bodyDiv w:val="1"/>
      <w:marLeft w:val="0"/>
      <w:marRight w:val="0"/>
      <w:marTop w:val="0"/>
      <w:marBottom w:val="0"/>
      <w:divBdr>
        <w:top w:val="none" w:sz="0" w:space="0" w:color="auto"/>
        <w:left w:val="none" w:sz="0" w:space="0" w:color="auto"/>
        <w:bottom w:val="none" w:sz="0" w:space="0" w:color="auto"/>
        <w:right w:val="none" w:sz="0" w:space="0" w:color="auto"/>
      </w:divBdr>
      <w:divsChild>
        <w:div w:id="1587493401">
          <w:marLeft w:val="0"/>
          <w:marRight w:val="0"/>
          <w:marTop w:val="0"/>
          <w:marBottom w:val="0"/>
          <w:divBdr>
            <w:top w:val="none" w:sz="0" w:space="0" w:color="auto"/>
            <w:left w:val="none" w:sz="0" w:space="0" w:color="auto"/>
            <w:bottom w:val="none" w:sz="0" w:space="0" w:color="auto"/>
            <w:right w:val="none" w:sz="0" w:space="0" w:color="auto"/>
          </w:divBdr>
        </w:div>
      </w:divsChild>
    </w:div>
    <w:div w:id="1544513775">
      <w:bodyDiv w:val="1"/>
      <w:marLeft w:val="0"/>
      <w:marRight w:val="0"/>
      <w:marTop w:val="0"/>
      <w:marBottom w:val="0"/>
      <w:divBdr>
        <w:top w:val="none" w:sz="0" w:space="0" w:color="auto"/>
        <w:left w:val="none" w:sz="0" w:space="0" w:color="auto"/>
        <w:bottom w:val="none" w:sz="0" w:space="0" w:color="auto"/>
        <w:right w:val="none" w:sz="0" w:space="0" w:color="auto"/>
      </w:divBdr>
    </w:div>
    <w:div w:id="1585266277">
      <w:bodyDiv w:val="1"/>
      <w:marLeft w:val="0"/>
      <w:marRight w:val="0"/>
      <w:marTop w:val="0"/>
      <w:marBottom w:val="0"/>
      <w:divBdr>
        <w:top w:val="none" w:sz="0" w:space="0" w:color="auto"/>
        <w:left w:val="none" w:sz="0" w:space="0" w:color="auto"/>
        <w:bottom w:val="none" w:sz="0" w:space="0" w:color="auto"/>
        <w:right w:val="none" w:sz="0" w:space="0" w:color="auto"/>
      </w:divBdr>
    </w:div>
    <w:div w:id="1755662855">
      <w:bodyDiv w:val="1"/>
      <w:marLeft w:val="0"/>
      <w:marRight w:val="0"/>
      <w:marTop w:val="0"/>
      <w:marBottom w:val="0"/>
      <w:divBdr>
        <w:top w:val="none" w:sz="0" w:space="0" w:color="auto"/>
        <w:left w:val="none" w:sz="0" w:space="0" w:color="auto"/>
        <w:bottom w:val="none" w:sz="0" w:space="0" w:color="auto"/>
        <w:right w:val="none" w:sz="0" w:space="0" w:color="auto"/>
      </w:divBdr>
    </w:div>
    <w:div w:id="1791238030">
      <w:bodyDiv w:val="1"/>
      <w:marLeft w:val="0"/>
      <w:marRight w:val="0"/>
      <w:marTop w:val="0"/>
      <w:marBottom w:val="0"/>
      <w:divBdr>
        <w:top w:val="none" w:sz="0" w:space="0" w:color="auto"/>
        <w:left w:val="none" w:sz="0" w:space="0" w:color="auto"/>
        <w:bottom w:val="none" w:sz="0" w:space="0" w:color="auto"/>
        <w:right w:val="none" w:sz="0" w:space="0" w:color="auto"/>
      </w:divBdr>
    </w:div>
    <w:div w:id="1802840963">
      <w:bodyDiv w:val="1"/>
      <w:marLeft w:val="0"/>
      <w:marRight w:val="0"/>
      <w:marTop w:val="0"/>
      <w:marBottom w:val="0"/>
      <w:divBdr>
        <w:top w:val="none" w:sz="0" w:space="0" w:color="auto"/>
        <w:left w:val="none" w:sz="0" w:space="0" w:color="auto"/>
        <w:bottom w:val="none" w:sz="0" w:space="0" w:color="auto"/>
        <w:right w:val="none" w:sz="0" w:space="0" w:color="auto"/>
      </w:divBdr>
    </w:div>
    <w:div w:id="1900169556">
      <w:bodyDiv w:val="1"/>
      <w:marLeft w:val="0"/>
      <w:marRight w:val="0"/>
      <w:marTop w:val="0"/>
      <w:marBottom w:val="0"/>
      <w:divBdr>
        <w:top w:val="none" w:sz="0" w:space="0" w:color="auto"/>
        <w:left w:val="none" w:sz="0" w:space="0" w:color="auto"/>
        <w:bottom w:val="none" w:sz="0" w:space="0" w:color="auto"/>
        <w:right w:val="none" w:sz="0" w:space="0" w:color="auto"/>
      </w:divBdr>
    </w:div>
    <w:div w:id="1957826733">
      <w:bodyDiv w:val="1"/>
      <w:marLeft w:val="0"/>
      <w:marRight w:val="0"/>
      <w:marTop w:val="0"/>
      <w:marBottom w:val="0"/>
      <w:divBdr>
        <w:top w:val="none" w:sz="0" w:space="0" w:color="auto"/>
        <w:left w:val="none" w:sz="0" w:space="0" w:color="auto"/>
        <w:bottom w:val="none" w:sz="0" w:space="0" w:color="auto"/>
        <w:right w:val="none" w:sz="0" w:space="0" w:color="auto"/>
      </w:divBdr>
      <w:divsChild>
        <w:div w:id="1329596067">
          <w:marLeft w:val="0"/>
          <w:marRight w:val="0"/>
          <w:marTop w:val="0"/>
          <w:marBottom w:val="0"/>
          <w:divBdr>
            <w:top w:val="none" w:sz="0" w:space="0" w:color="auto"/>
            <w:left w:val="none" w:sz="0" w:space="0" w:color="auto"/>
            <w:bottom w:val="none" w:sz="0" w:space="0" w:color="auto"/>
            <w:right w:val="none" w:sz="0" w:space="0" w:color="auto"/>
          </w:divBdr>
        </w:div>
      </w:divsChild>
    </w:div>
    <w:div w:id="2021661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chatgpt.com/share/6725e426-2d78-8002-8906-e6e8fea69a10"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kaggle.com/datasets/vijayuv/onlineretail?resource=download"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16</Pages>
  <Words>1833</Words>
  <Characters>10453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Shakir AlFaiadh</dc:creator>
  <cp:keywords/>
  <dc:description/>
  <cp:lastModifiedBy>Omar Shakir AlFaiadh</cp:lastModifiedBy>
  <cp:revision>15</cp:revision>
  <cp:lastPrinted>2024-11-05T08:30:00Z</cp:lastPrinted>
  <dcterms:created xsi:type="dcterms:W3CDTF">2024-11-05T07:17:00Z</dcterms:created>
  <dcterms:modified xsi:type="dcterms:W3CDTF">2024-12-15T07:46:00Z</dcterms:modified>
</cp:coreProperties>
</file>