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400"/>
              <w:left w:type="dxa" w:w="400"/>
              <w:bottom w:type="dxa" w:w="400"/>
              <w:right w:type="dxa" w:w="400"/>
            </w:tcMar>
          </w:tcPr>
          <w:p>
            <w:pPr>
              <w:jc w:val="center"/>
            </w:pPr>
            <w:r>
              <w:rPr>
                <w:rFonts w:ascii="Arial" w:cs="Arial" w:eastAsia="Arial" w:hAnsi="Arial"/>
                <w:b/>
                <w:bCs/>
                <w:color w:val="C8A84B"/>
                <w:sz w:val="52"/>
                <w:szCs w:val="52"/>
              </w:rPr>
              <w:t xml:space="preserve">ALSONDOS TRAVEL</w:t>
            </w:r>
          </w:p>
          <w:p>
            <w:pPr>
              <w:jc w:val="center"/>
            </w:pPr>
            <w:r>
              <w:rPr>
                <w:rFonts w:ascii="Arial" w:cs="Arial" w:eastAsia="Arial" w:hAnsi="Arial"/>
                <w:color w:val="FFFFFF"/>
                <w:sz w:val="36"/>
                <w:szCs w:val="36"/>
              </w:rPr>
              <w:t xml:space="preserve">ERP System</w:t>
            </w:r>
          </w:p>
          <w:p>
            <w:r>
              <w:t xml:space="preserve"/>
            </w:r>
          </w:p>
          <w:p>
            <w:pPr>
              <w:jc w:val="center"/>
            </w:pPr>
            <w:r>
              <w:rPr>
                <w:rFonts w:ascii="Arial" w:cs="Arial" w:eastAsia="Arial" w:hAnsi="Arial"/>
                <w:b/>
                <w:bCs/>
                <w:color w:val="FFFFFF"/>
                <w:sz w:val="44"/>
                <w:szCs w:val="44"/>
              </w:rPr>
              <w:t xml:space="preserve">ENTERPRISE PRODUCTION AUDIT REPORT</w:t>
            </w:r>
          </w:p>
          <w:p>
            <w:r>
              <w:t xml:space="preserve"/>
            </w:r>
          </w:p>
          <w:p>
            <w:pPr>
              <w:jc w:val="center"/>
            </w:pPr>
            <w:r>
              <w:rPr>
                <w:rFonts w:ascii="Arial" w:cs="Arial" w:eastAsia="Arial" w:hAnsi="Arial"/>
                <w:color w:val="B0BEC5"/>
                <w:sz w:val="22"/>
                <w:szCs w:val="22"/>
              </w:rPr>
              <w:t xml:space="preserve">Complete Professional Review of Accounting, Database,</w:t>
            </w:r>
          </w:p>
          <w:p>
            <w:pPr>
              <w:jc w:val="center"/>
            </w:pPr>
            <w:r>
              <w:rPr>
                <w:rFonts w:ascii="Arial" w:cs="Arial" w:eastAsia="Arial" w:hAnsi="Arial"/>
                <w:color w:val="B0BEC5"/>
                <w:sz w:val="22"/>
                <w:szCs w:val="22"/>
              </w:rPr>
              <w:t xml:space="preserve">Architecture, Security &amp; Travel Operations</w:t>
            </w:r>
          </w:p>
          <w:p>
            <w:r>
              <w:t xml:space="preserve"/>
            </w:r>
          </w:p>
          <w:p>
            <w:pPr>
              <w:jc w:val="center"/>
            </w:pPr>
            <w:r>
              <w:rPr>
                <w:rFonts w:ascii="Arial" w:cs="Arial" w:eastAsia="Arial" w:hAnsi="Arial"/>
                <w:color w:val="C8A84B"/>
                <w:sz w:val="22"/>
                <w:szCs w:val="22"/>
              </w:rPr>
              <w:t xml:space="preserve">Audit Date: May 2026</w:t>
            </w:r>
          </w:p>
        </w:tc>
      </w:tr>
    </w:tbl>
    <w:p>
      <w:pPr>
        <w:spacing w:after="200" w:before="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CLASSIFICATION</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CONFIDENTIAL — Management &amp; Technical Staff Only</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SYSTEM VERSION</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Production v2 — Flask/PostgreSQL/Gunicorn/Nginx on VPS</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CODEBASE SIZE</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4,298 lines — single app.py monolith</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MODULES REVIEWED</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Sales, Payments, Supplier Payments, Statements, Receivables, Payables, Invoices, Hotel Vouchers, Packages, Companies, Suppliers, Audit Logs, Dashboards, Refunds, Ledger</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SERVICES COVERED</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Flights, Hotels, Tours, Visas, Insurance, Packages, Transfers</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SCOPE</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Accounting integrity, DB schema, architecture, security, travel industry gaps, production risks</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CONDUCTED BY</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Enterprise ERP Architecture &amp; Financial Audit Review</w:t>
            </w:r>
          </w:p>
        </w:tc>
      </w:tr>
    </w:tbl>
    <w:p>
      <w:r>
        <w:br w:type="page"/>
      </w:r>
    </w:p>
    <w:p>
      <w:pPr>
        <w:pStyle w:val="Heading1"/>
        <w:pageBreakBefore/>
        <w:pBdr>
          <w:bottom w:val="single" w:color="C8A84B" w:sz="4"/>
        </w:pBdr>
        <w:spacing w:after="160" w:before="240"/>
      </w:pPr>
      <w:r>
        <w:rPr>
          <w:rFonts w:ascii="Arial" w:cs="Arial" w:eastAsia="Arial" w:hAnsi="Arial"/>
          <w:b/>
          <w:bCs/>
          <w:color w:val="1B3A6B"/>
          <w:sz w:val="36"/>
          <w:szCs w:val="36"/>
        </w:rPr>
        <w:t xml:space="preserve">EXECUTIVE SUMMARY</w:t>
      </w:r>
    </w:p>
    <w:p>
      <w:pPr>
        <w:spacing w:after="60" w:before="60"/>
      </w:pPr>
      <w:r>
        <w:rPr>
          <w:rFonts w:ascii="Arial" w:cs="Arial" w:eastAsia="Arial" w:hAnsi="Arial"/>
          <w:color w:val="000000"/>
          <w:sz w:val="20"/>
          <w:szCs w:val="20"/>
        </w:rPr>
        <w:t xml:space="preserve">This report presents a complete professional audit of the Alsondos Travel ERP system — a live, production Flask/PostgreSQL application serving a travel agency in Jordan. The review covered 4,298 lines of Python application code, the full PostgreSQL schema across 15+ tables, all accounting workflows, travel industry operations, security posture, and production architecture.</w:t>
      </w:r>
    </w:p>
    <w:p>
      <w:pPr>
        <w:spacing w:after="60" w:before="60"/>
      </w:pPr>
      <w:r>
        <w:t xml:space="preserve"/>
      </w:r>
    </w:p>
    <w:p>
      <w:pPr>
        <w:spacing w:after="60" w:before="60"/>
      </w:pPr>
      <w:r>
        <w:rPr>
          <w:rFonts w:ascii="Arial" w:cs="Arial" w:eastAsia="Arial" w:hAnsi="Arial"/>
          <w:color w:val="000000"/>
          <w:sz w:val="20"/>
          <w:szCs w:val="20"/>
        </w:rPr>
        <w:t xml:space="preserve">The system demonstrates considerable operational maturity for a custom-built ERP — with bcrypt authentication, soft deletes, an audit log, a shadow accounting ledger, multi-service type support, and professional document generation. However, the audit identified critical accounting integrity risks, significant architectural technical debt, and several production security gaps that must be addressed to operate safely at scale.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0D5DD" w:sz="1"/>
              <w:left w:val="single" w:color="D0D5DD" w:sz="1"/>
              <w:bottom w:val="single" w:color="D0D5DD" w:sz="1"/>
              <w:right w:val="single" w:color="D0D5DD" w:sz="1"/>
            </w:tcBorders>
            <w:shd w:fill="FEE2E2" w:val="clear"/>
            <w:tcMar>
              <w:top w:type="dxa" w:w="120"/>
              <w:left w:type="dxa" w:w="140"/>
              <w:bottom w:type="dxa" w:w="120"/>
              <w:right w:type="dxa" w:w="140"/>
            </w:tcMar>
            <w:vAlign w:val="center"/>
          </w:tcPr>
          <w:p>
            <w:pPr>
              <w:jc w:val="center"/>
            </w:pPr>
            <w:r>
              <w:rPr>
                <w:rFonts w:ascii="Arial" w:cs="Arial" w:eastAsia="Arial" w:hAnsi="Arial"/>
                <w:b/>
                <w:bCs/>
                <w:color w:val="C0392B"/>
                <w:sz w:val="36"/>
                <w:szCs w:val="36"/>
              </w:rPr>
              <w:t xml:space="preserve">8</w:t>
            </w:r>
          </w:p>
          <w:p>
            <w:pPr>
              <w:jc w:val="center"/>
            </w:pPr>
            <w:r>
              <w:rPr>
                <w:rFonts w:ascii="Arial" w:cs="Arial" w:eastAsia="Arial" w:hAnsi="Arial"/>
                <w:color w:val="4A5568"/>
                <w:sz w:val="17"/>
                <w:szCs w:val="17"/>
              </w:rPr>
              <w:t xml:space="preserve">Critical Issues</w:t>
            </w:r>
          </w:p>
        </w:tc>
        <w:tc>
          <w:tcPr>
            <w:tcW w:type="dxa" w:w="2256"/>
            <w:tcBorders>
              <w:top w:val="single" w:color="D0D5DD" w:sz="1"/>
              <w:left w:val="single" w:color="D0D5DD" w:sz="1"/>
              <w:bottom w:val="single" w:color="D0D5DD" w:sz="1"/>
              <w:right w:val="single" w:color="D0D5DD" w:sz="1"/>
            </w:tcBorders>
            <w:shd w:fill="FFF0F0" w:val="clear"/>
            <w:tcMar>
              <w:top w:type="dxa" w:w="120"/>
              <w:left w:type="dxa" w:w="140"/>
              <w:bottom w:type="dxa" w:w="120"/>
              <w:right w:type="dxa" w:w="140"/>
            </w:tcMar>
            <w:vAlign w:val="center"/>
          </w:tcPr>
          <w:p>
            <w:pPr>
              <w:jc w:val="center"/>
            </w:pPr>
            <w:r>
              <w:rPr>
                <w:rFonts w:ascii="Arial" w:cs="Arial" w:eastAsia="Arial" w:hAnsi="Arial"/>
                <w:b/>
                <w:bCs/>
                <w:color w:val="C0392B"/>
                <w:sz w:val="36"/>
                <w:szCs w:val="36"/>
              </w:rPr>
              <w:t xml:space="preserve">11</w:t>
            </w:r>
          </w:p>
          <w:p>
            <w:pPr>
              <w:jc w:val="center"/>
            </w:pPr>
            <w:r>
              <w:rPr>
                <w:rFonts w:ascii="Arial" w:cs="Arial" w:eastAsia="Arial" w:hAnsi="Arial"/>
                <w:color w:val="4A5568"/>
                <w:sz w:val="17"/>
                <w:szCs w:val="17"/>
              </w:rPr>
              <w:t xml:space="preserve">High Issues</w:t>
            </w:r>
          </w:p>
        </w:tc>
        <w:tc>
          <w:tcPr>
            <w:tcW w:type="dxa" w:w="2256"/>
            <w:tcBorders>
              <w:top w:val="single" w:color="D0D5DD" w:sz="1"/>
              <w:left w:val="single" w:color="D0D5DD" w:sz="1"/>
              <w:bottom w:val="single" w:color="D0D5DD" w:sz="1"/>
              <w:right w:val="single" w:color="D0D5DD" w:sz="1"/>
            </w:tcBorders>
            <w:shd w:fill="FFFBEB" w:val="clear"/>
            <w:tcMar>
              <w:top w:type="dxa" w:w="120"/>
              <w:left w:type="dxa" w:w="140"/>
              <w:bottom w:type="dxa" w:w="120"/>
              <w:right w:type="dxa" w:w="140"/>
            </w:tcMar>
            <w:vAlign w:val="center"/>
          </w:tcPr>
          <w:p>
            <w:pPr>
              <w:jc w:val="center"/>
            </w:pPr>
            <w:r>
              <w:rPr>
                <w:rFonts w:ascii="Arial" w:cs="Arial" w:eastAsia="Arial" w:hAnsi="Arial"/>
                <w:b/>
                <w:bCs/>
                <w:color w:val="D97706"/>
                <w:sz w:val="36"/>
                <w:szCs w:val="36"/>
              </w:rPr>
              <w:t xml:space="preserve">14</w:t>
            </w:r>
          </w:p>
          <w:p>
            <w:pPr>
              <w:jc w:val="center"/>
            </w:pPr>
            <w:r>
              <w:rPr>
                <w:rFonts w:ascii="Arial" w:cs="Arial" w:eastAsia="Arial" w:hAnsi="Arial"/>
                <w:color w:val="4A5568"/>
                <w:sz w:val="17"/>
                <w:szCs w:val="17"/>
              </w:rPr>
              <w:t xml:space="preserve">Medium Issues</w:t>
            </w:r>
          </w:p>
        </w:tc>
        <w:tc>
          <w:tcPr>
            <w:tcW w:type="dxa" w:w="2256"/>
            <w:tcBorders>
              <w:top w:val="single" w:color="D0D5DD" w:sz="1"/>
              <w:left w:val="single" w:color="D0D5DD" w:sz="1"/>
              <w:bottom w:val="single" w:color="D0D5DD" w:sz="1"/>
              <w:right w:val="single" w:color="D0D5DD" w:sz="1"/>
            </w:tcBorders>
            <w:shd w:fill="F0FFF4" w:val="clear"/>
            <w:tcMar>
              <w:top w:type="dxa" w:w="120"/>
              <w:left w:type="dxa" w:w="140"/>
              <w:bottom w:type="dxa" w:w="120"/>
              <w:right w:type="dxa" w:w="140"/>
            </w:tcMar>
            <w:vAlign w:val="center"/>
          </w:tcPr>
          <w:p>
            <w:pPr>
              <w:jc w:val="center"/>
            </w:pPr>
            <w:r>
              <w:rPr>
                <w:rFonts w:ascii="Arial" w:cs="Arial" w:eastAsia="Arial" w:hAnsi="Arial"/>
                <w:b/>
                <w:bCs/>
                <w:color w:val="1E7B34"/>
                <w:sz w:val="36"/>
                <w:szCs w:val="36"/>
              </w:rPr>
              <w:t xml:space="preserve">9</w:t>
            </w:r>
          </w:p>
          <w:p>
            <w:pPr>
              <w:jc w:val="center"/>
            </w:pPr>
            <w:r>
              <w:rPr>
                <w:rFonts w:ascii="Arial" w:cs="Arial" w:eastAsia="Arial" w:hAnsi="Arial"/>
                <w:color w:val="4A5568"/>
                <w:sz w:val="17"/>
                <w:szCs w:val="17"/>
              </w:rPr>
              <w:t xml:space="preserve">Low / Info</w:t>
            </w:r>
          </w:p>
        </w:tc>
      </w:tr>
    </w:tbl>
    <w:p>
      <w:pPr>
        <w:spacing w:after="60" w:before="60"/>
      </w:pPr>
      <w:r>
        <w:t xml:space="preserve"/>
      </w:r>
    </w:p>
    <w:p>
      <w:pPr>
        <w:pStyle w:val="Heading2"/>
        <w:spacing w:after="100" w:before="200"/>
      </w:pPr>
      <w:r>
        <w:rPr>
          <w:rFonts w:ascii="Arial" w:cs="Arial" w:eastAsia="Arial" w:hAnsi="Arial"/>
          <w:b/>
          <w:bCs/>
          <w:color w:val="1B3A6B"/>
          <w:sz w:val="28"/>
          <w:szCs w:val="28"/>
        </w:rPr>
        <w:t xml:space="preserve">Top Critical Findings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80"/>
            </w:tcMar>
          </w:tcPr>
          <w:p>
            <w:r>
              <w:rPr>
                <w:rFonts w:ascii="Arial" w:cs="Arial" w:eastAsia="Arial" w:hAnsi="Arial"/>
                <w:b/>
                <w:bCs/>
                <w:color w:val="FFFFFF"/>
                <w:sz w:val="19"/>
                <w:szCs w:val="19"/>
              </w:rPr>
              <w:t xml:space="preserve">#</w:t>
            </w:r>
          </w:p>
        </w:tc>
        <w:tc>
          <w:tcPr>
            <w:tcW w:type="dxa" w:w="8026"/>
            <w:tcBorders>
              <w:top w:val="single" w:color="D0D5DD" w:sz="1"/>
              <w:left w:val="single" w:color="D0D5DD" w:sz="1"/>
              <w:bottom w:val="single" w:color="D0D5DD" w:sz="1"/>
              <w:right w:val="single" w:color="D0D5DD" w:sz="1"/>
            </w:tcBorders>
            <w:shd w:fill="1B3A6B" w:val="clear"/>
            <w:tcMar>
              <w:top w:type="dxa" w:w="80"/>
              <w:left w:type="dxa" w:w="80"/>
              <w:bottom w:type="dxa" w:w="80"/>
              <w:right w:type="dxa" w:w="120"/>
            </w:tcMar>
          </w:tcPr>
          <w:p>
            <w:r>
              <w:rPr>
                <w:rFonts w:ascii="Arial" w:cs="Arial" w:eastAsia="Arial" w:hAnsi="Arial"/>
                <w:color w:val="FFFFFF"/>
                <w:sz w:val="19"/>
                <w:szCs w:val="19"/>
              </w:rPr>
              <w:t xml:space="preserve">Critical Finding</w:t>
            </w:r>
          </w:p>
        </w:tc>
      </w:tr>
      <w:tr>
        <w:tc>
          <w:tcPr>
            <w:tcW w:type="dxa" w:w="1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ACC-01</w:t>
            </w:r>
          </w:p>
        </w:tc>
        <w:tc>
          <w:tcPr>
            <w:tcW w:type="dxa" w:w="80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Shadow ledger NOT updated when payments or sales are edited — permanent ledger drift accumulates silently</w:t>
            </w:r>
          </w:p>
        </w:tc>
      </w:tr>
      <w:tr>
        <w:tc>
          <w:tcPr>
            <w:tcW w:type="dxa" w:w="1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ACC-02</w:t>
            </w:r>
          </w:p>
        </w:tc>
        <w:tc>
          <w:tcPr>
            <w:tcW w:type="dxa" w:w="80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validate_ledger_balance() has a SQL bug — both sides of supplier_payments cancel out, rendering validation useless</w:t>
            </w:r>
          </w:p>
        </w:tc>
      </w:tr>
      <w:tr>
        <w:tc>
          <w:tcPr>
            <w:tcW w:type="dxa" w:w="1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ACC-03</w:t>
            </w:r>
          </w:p>
        </w:tc>
        <w:tc>
          <w:tcPr>
            <w:tcW w:type="dxa" w:w="80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Archiving transactions distorts current outstanding balances — a company can appear to owe less after archiving</w:t>
            </w:r>
          </w:p>
        </w:tc>
      </w:tr>
      <w:tr>
        <w:tc>
          <w:tcPr>
            <w:tcW w:type="dxa" w:w="1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DB-01</w:t>
            </w:r>
          </w:p>
        </w:tc>
        <w:tc>
          <w:tcPr>
            <w:tcW w:type="dxa" w:w="80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REAL→NUMERIC(12,3) migration runs silently with bare "except: pass" — failure is undetected; float rounding affects all money arithmetic</w:t>
            </w:r>
          </w:p>
        </w:tc>
      </w:tr>
      <w:tr>
        <w:tc>
          <w:tcPr>
            <w:tcW w:type="dxa" w:w="1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SEC-01</w:t>
            </w:r>
          </w:p>
        </w:tc>
        <w:tc>
          <w:tcPr>
            <w:tcW w:type="dxa" w:w="80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is_active flag NOT checked at login — disabled users can still authenticate</w:t>
            </w:r>
          </w:p>
        </w:tc>
      </w:tr>
      <w:tr>
        <w:tc>
          <w:tcPr>
            <w:tcW w:type="dxa" w:w="1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SEC-02</w:t>
            </w:r>
          </w:p>
        </w:tc>
        <w:tc>
          <w:tcPr>
            <w:tcW w:type="dxa" w:w="80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No CSRF protection on any POST form — payment forms, delete actions, and data reset are all vulnerable</w:t>
            </w:r>
          </w:p>
        </w:tc>
      </w:tr>
      <w:tr>
        <w:tc>
          <w:tcPr>
            <w:tcW w:type="dxa" w:w="1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SEC-03</w:t>
            </w:r>
          </w:p>
        </w:tc>
        <w:tc>
          <w:tcPr>
            <w:tcW w:type="dxa" w:w="80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Session never expires (session.permanent=True without PERMANENT_SESSION_LIFETIME)</w:t>
            </w:r>
          </w:p>
        </w:tc>
      </w:tr>
      <w:tr>
        <w:tc>
          <w:tcPr>
            <w:tcW w:type="dxa" w:w="1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ARCH-01</w:t>
            </w:r>
          </w:p>
        </w:tc>
        <w:tc>
          <w:tcPr>
            <w:tcW w:type="dxa" w:w="80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Duplicate add-sale route (/add vs /add-v2) with divergent logic — accounting entries only posted from v2 path</w:t>
            </w:r>
          </w:p>
        </w:tc>
      </w:tr>
    </w:tbl>
    <w:p>
      <w:r>
        <w:br w:type="page"/>
      </w:r>
    </w:p>
    <w:p>
      <w:pPr>
        <w:pStyle w:val="Heading1"/>
        <w:pageBreakBefore/>
        <w:pBdr>
          <w:bottom w:val="single" w:color="C8A84B" w:sz="4"/>
        </w:pBdr>
        <w:spacing w:after="160" w:before="240"/>
      </w:pPr>
      <w:r>
        <w:rPr>
          <w:rFonts w:ascii="Arial" w:cs="Arial" w:eastAsia="Arial" w:hAnsi="Arial"/>
          <w:b/>
          <w:bCs/>
          <w:color w:val="1B3A6B"/>
          <w:sz w:val="36"/>
          <w:szCs w:val="36"/>
        </w:rPr>
        <w:t xml:space="preserve">SECTION 1 — ACCOUNTING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FFFFFF"/>
                <w:sz w:val="24"/>
                <w:szCs w:val="24"/>
              </w:rPr>
              <w:t xml:space="preserve">1.1  Receivables Logic</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ACC-01 [CRITICAL] — Shadow Ledger Not Updated on Edit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ACC-01  </w:t>
            </w:r>
            <w:r>
              <w:rPr>
                <w:rFonts w:ascii="Arial" w:cs="Arial" w:eastAsia="Arial" w:hAnsi="Arial"/>
                <w:b/>
                <w:bCs/>
                <w:color w:val="FFFFFF"/>
                <w:sz w:val="18"/>
                <w:szCs w:val="18"/>
              </w:rPr>
              <w:t xml:space="preserve">CRITICAL</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When a payment is edited (edit_payment route) or a sale is edited (edit_sale/my_edit_sale), the accounting_entries shadow ledger is NOT reversed or updated. The ledger permanently drifts from reality after any edit.</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1440–1467 (edit_payment), line 947–1099 (edit_sale), accounting_entries table</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Silent balance corruption. A payment edited from JOD 500 to JOD 600 will show JOD 500 in the ledger forever. Audits will fail. Statement balances will diverge from ledger balances. Financial statements are unreliable.</w:t>
            </w:r>
          </w:p>
        </w:tc>
      </w:tr>
    </w:tbl>
    <w:p>
      <w:pPr>
        <w:spacing w:after="60" w:before="60"/>
      </w:pPr>
      <w:r>
        <w:t xml:space="preserve"/>
      </w:r>
    </w:p>
    <w:p>
      <w:pPr>
        <w:spacing w:after="60" w:before="60"/>
      </w:pPr>
      <w:r>
        <w:rPr>
          <w:rFonts w:ascii="Arial" w:cs="Arial" w:eastAsia="Arial" w:hAnsi="Arial"/>
          <w:color w:val="000000"/>
          <w:sz w:val="20"/>
          <w:szCs w:val="20"/>
        </w:rPr>
        <w:t xml:space="preserve">The fix requires posting a reversal entry before the update, then posting a new entry after:</w:t>
      </w:r>
    </w:p>
    <w:p>
      <w:pPr>
        <w:pStyle w:val="ListParagraph"/>
        <w:numPr>
          <w:ilvl w:val="0"/>
          <w:numId w:val="2"/>
        </w:numPr>
        <w:spacing w:after="40" w:before="40"/>
      </w:pPr>
      <w:r>
        <w:rPr>
          <w:rFonts w:ascii="Arial" w:cs="Arial" w:eastAsia="Arial" w:hAnsi="Arial"/>
          <w:color w:val="000000"/>
          <w:sz w:val="20"/>
          <w:szCs w:val="20"/>
        </w:rPr>
        <w:t xml:space="preserve">Before edit: INSERT into accounting_entries with is_reversed=TRUE referencing the original entry</w:t>
      </w:r>
    </w:p>
    <w:p>
      <w:pPr>
        <w:pStyle w:val="ListParagraph"/>
        <w:numPr>
          <w:ilvl w:val="0"/>
          <w:numId w:val="2"/>
        </w:numPr>
        <w:spacing w:after="40" w:before="40"/>
      </w:pPr>
      <w:r>
        <w:rPr>
          <w:rFonts w:ascii="Arial" w:cs="Arial" w:eastAsia="Arial" w:hAnsi="Arial"/>
          <w:color w:val="000000"/>
          <w:sz w:val="20"/>
          <w:szCs w:val="20"/>
        </w:rPr>
        <w:t xml:space="preserve">After edit: INSERT a new corrective entry with the new values</w:t>
      </w:r>
    </w:p>
    <w:p>
      <w:pPr>
        <w:pStyle w:val="ListParagraph"/>
        <w:numPr>
          <w:ilvl w:val="0"/>
          <w:numId w:val="2"/>
        </w:numPr>
        <w:spacing w:after="40" w:before="40"/>
      </w:pPr>
      <w:r>
        <w:rPr>
          <w:rFonts w:ascii="Arial" w:cs="Arial" w:eastAsia="Arial" w:hAnsi="Arial"/>
          <w:color w:val="000000"/>
          <w:sz w:val="20"/>
          <w:szCs w:val="20"/>
        </w:rPr>
        <w:t xml:space="preserve">This preserves the immutable ledger principle already designed into the system</w:t>
      </w:r>
    </w:p>
    <w:p>
      <w:pPr>
        <w:spacing w:after="60" w:before="60"/>
      </w:pPr>
      <w:r>
        <w:t xml:space="preserve"/>
      </w:r>
    </w:p>
    <w:p>
      <w:pPr>
        <w:pStyle w:val="Heading3"/>
        <w:spacing w:after="80" w:before="160"/>
      </w:pPr>
      <w:r>
        <w:rPr>
          <w:rFonts w:ascii="Arial" w:cs="Arial" w:eastAsia="Arial" w:hAnsi="Arial"/>
          <w:b/>
          <w:bCs/>
          <w:color w:val="C0392B"/>
          <w:sz w:val="24"/>
          <w:szCs w:val="24"/>
        </w:rPr>
        <w:t xml:space="preserve">ACC-02 [CRITICAL] — Ledger Validation SQL Bug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ACC-02  </w:t>
            </w:r>
            <w:r>
              <w:rPr>
                <w:rFonts w:ascii="Arial" w:cs="Arial" w:eastAsia="Arial" w:hAnsi="Arial"/>
                <w:b/>
                <w:bCs/>
                <w:color w:val="FFFFFF"/>
                <w:sz w:val="18"/>
                <w:szCs w:val="18"/>
              </w:rPr>
              <w:t xml:space="preserve">CRITICAL</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validate_ledger_balance() function (line 344) computes dynamic balance with a SQL query that adds SUM(amount) from supplier_payments and then subtracts the SAME SUM(amount) — they cancel to zero. The validation compares ledger vs. a wrong dynamic balance and will report false "OK" statuses.</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328–358, validate_ledger_balance() function</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Ledger reconciliation tool produces wrong results. Balance mismatches are not detected. The entire automated reconciliation is non-functional.</w:t>
            </w:r>
          </w:p>
        </w:tc>
      </w:tr>
    </w:tbl>
    <w:p>
      <w:pPr>
        <w:spacing w:after="60" w:before="60"/>
      </w:pPr>
      <w:r>
        <w:t xml:space="preserve"/>
      </w:r>
    </w:p>
    <w:p>
      <w:pPr>
        <w:spacing w:after="60" w:before="60"/>
      </w:pPr>
      <w:r>
        <w:rPr>
          <w:rFonts w:ascii="Arial" w:cs="Arial" w:eastAsia="Arial" w:hAnsi="Arial"/>
          <w:color w:val="000000"/>
          <w:sz w:val="20"/>
          <w:szCs w:val="20"/>
        </w:rPr>
        <w:t xml:space="preserve">The SQL at line 344 is:</w:t>
      </w:r>
    </w:p>
    <w:p>
      <w:pPr>
        <w:spacing w:after="60" w:before="60"/>
      </w:pPr>
      <w:r>
        <w:rPr>
          <w:rFonts w:ascii="Arial" w:cs="Arial" w:eastAsia="Arial" w:hAnsi="Arial"/>
          <w:color w:val="000000"/>
          <w:sz w:val="20"/>
          <w:szCs w:val="20"/>
        </w:rPr>
        <w:t xml:space="preserve">COALESCE(SUM(amount) FROM supplier_payments WHERE supplier=X) - COALESCE(SUM(amount) FROM supplier_payments WHERE supplier=X)</w:t>
      </w:r>
    </w:p>
    <w:p>
      <w:pPr>
        <w:spacing w:after="60" w:before="60"/>
      </w:pPr>
      <w:r>
        <w:rPr>
          <w:rFonts w:ascii="Arial" w:cs="Arial" w:eastAsia="Arial" w:hAnsi="Arial"/>
          <w:color w:val="000000"/>
          <w:sz w:val="20"/>
          <w:szCs w:val="20"/>
        </w:rPr>
        <w:t xml:space="preserve">Both sub-queries use the same table and condition — net result is always zero. The dynamic balance should properly calculate: total_sell - total_payments_received + total_purchased_from_supplier - total_paid_to_supplier.</w:t>
      </w:r>
    </w:p>
    <w:p>
      <w:pPr>
        <w:spacing w:after="60" w:before="60"/>
      </w:pPr>
      <w:r>
        <w:t xml:space="preserve"/>
      </w:r>
    </w:p>
    <w:p>
      <w:pPr>
        <w:pStyle w:val="Heading3"/>
        <w:spacing w:after="80" w:before="160"/>
      </w:pPr>
      <w:r>
        <w:rPr>
          <w:rFonts w:ascii="Arial" w:cs="Arial" w:eastAsia="Arial" w:hAnsi="Arial"/>
          <w:b/>
          <w:bCs/>
          <w:color w:val="C0392B"/>
          <w:sz w:val="24"/>
          <w:szCs w:val="24"/>
        </w:rPr>
        <w:t xml:space="preserve">ACC-03 [CRITICAL] — Archiving Distorts Outstanding Balances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ACC-03  </w:t>
            </w:r>
            <w:r>
              <w:rPr>
                <w:rFonts w:ascii="Arial" w:cs="Arial" w:eastAsia="Arial" w:hAnsi="Arial"/>
                <w:b/>
                <w:bCs/>
                <w:color w:val="FFFFFF"/>
                <w:sz w:val="18"/>
                <w:szCs w:val="18"/>
              </w:rPr>
              <w:t xml:space="preserve">CRITICAL</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archive function marks transactions as is_archived=TRUE. All dashboard and statement queries filter AND is_archived=FALSE. This means archiving old invoices reduces the apparent outstanding balance — without any payment having occurred.</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1945–1985 (do_archive), statement() line 1179, index() line 623</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A company with JOD 50,000 total receivable could appear to owe only JOD 5,000 after archiving prior-year data. Collections teams and management dashboards show incorrect balances. Financial period balances are not preserved.</w:t>
            </w:r>
          </w:p>
        </w:tc>
      </w:tr>
    </w:tbl>
    <w:p>
      <w:pPr>
        <w:spacing w:after="60" w:before="60"/>
      </w:pPr>
      <w:r>
        <w:t xml:space="preserve"/>
      </w:r>
    </w:p>
    <w:p>
      <w:pPr>
        <w:spacing w:after="60" w:before="60"/>
      </w:pPr>
      <w:r>
        <w:rPr>
          <w:rFonts w:ascii="Arial" w:cs="Arial" w:eastAsia="Arial" w:hAnsi="Arial"/>
          <w:color w:val="000000"/>
          <w:sz w:val="20"/>
          <w:szCs w:val="20"/>
        </w:rPr>
        <w:t xml:space="preserve">Correct approach: Archive should only affect UI display lists, never affect balance calculations. Balance queries must run across ALL non-deleted records regardless of archive status. Alternatively implement a proper period-closing mechanism that carries forward an opening balance.</w:t>
      </w:r>
    </w:p>
    <w:p>
      <w:pPr>
        <w:spacing w:after="60" w:before="60"/>
      </w:pPr>
      <w:r>
        <w:t xml:space="preserve"/>
      </w:r>
    </w:p>
    <w:p>
      <w:pPr>
        <w:pStyle w:val="Heading3"/>
        <w:spacing w:after="80" w:before="160"/>
      </w:pPr>
      <w:r>
        <w:rPr>
          <w:rFonts w:ascii="Arial" w:cs="Arial" w:eastAsia="Arial" w:hAnsi="Arial"/>
          <w:b/>
          <w:bCs/>
          <w:color w:val="C0392B"/>
          <w:sz w:val="24"/>
          <w:szCs w:val="24"/>
        </w:rPr>
        <w:t xml:space="preserve">ACC-04 [HIGH] — No Ledger Entry on Payment Edit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ACC-04  </w:t>
            </w:r>
            <w:r>
              <w:rPr>
                <w:rFonts w:ascii="Arial" w:cs="Arial" w:eastAsia="Arial" w:hAnsi="Arial"/>
                <w:b/>
                <w:bCs/>
                <w:color w:val="FFFFFF"/>
                <w:sz w:val="18"/>
                <w:szCs w:val="18"/>
              </w:rPr>
              <w:t xml:space="preserve">HIGH</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Closely related to ACC-01. The edit_payment route (line 1440) directly updates the payments row. The shadow ledger in accounting_entries is not touched. The running balance shown in statements (computed from the payments table directly) will correctly update, but the shadow ledger will permanently show the original amount.</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1440–1468, edit_payment route</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The shadow ledger becomes untrustworthy immediately after any payment correction. The validate_ledger_balance() check (already broken per ACC-02) would show discrepancy if fixed.</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ACC-05 [HIGH] — Refund Does Not Affect Original Sale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ACC-05  </w:t>
            </w:r>
            <w:r>
              <w:rPr>
                <w:rFonts w:ascii="Arial" w:cs="Arial" w:eastAsia="Arial" w:hAnsi="Arial"/>
                <w:b/>
                <w:bCs/>
                <w:color w:val="FFFFFF"/>
                <w:sz w:val="18"/>
                <w:szCs w:val="18"/>
              </w:rPr>
              <w:t xml:space="preserve">HIGH</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When a refund is created (refunds route, line 3343), it posts a ledger entry and creates a refunds record. However, the original sales row is not updated — the sell, net, profit, and status fields remain unchanged. There is no link back to mark the sale as "refunded" or reduce its value.</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3343–3440 (refunds route), refunds table</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The sales report will continue showing the full profit on a refunded booking. Commission reports will pay employees on profit that was refunded. Customer statements correctly show the refund credit, but the profit analytics are inflated.</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ACC-06 [HIGH] — Duplicate Payment Risk — No Idempotency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ACC-06  </w:t>
            </w:r>
            <w:r>
              <w:rPr>
                <w:rFonts w:ascii="Arial" w:cs="Arial" w:eastAsia="Arial" w:hAnsi="Arial"/>
                <w:b/>
                <w:bCs/>
                <w:color w:val="FFFFFF"/>
                <w:sz w:val="18"/>
                <w:szCs w:val="18"/>
              </w:rPr>
              <w:t xml:space="preserve">HIGH</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payments recording form (line 1396–1438) has no duplicate detection. An operator can record the same amount for the same company on the same date multiple times. There is no check against existing records, no confirmation dialog showing similar recent entries, and no idempotency key.</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1396–1438, payments route POST handler</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Duplicate payments are silently recorded, inflating payments_received and reducing the apparent receivable balance. Discovery requires manual reconciliation.</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ACC-07 [HIGH] — Supplier Payment Ledger Race Condition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ACC-07  </w:t>
            </w:r>
            <w:r>
              <w:rPr>
                <w:rFonts w:ascii="Arial" w:cs="Arial" w:eastAsia="Arial" w:hAnsi="Arial"/>
                <w:b/>
                <w:bCs/>
                <w:color w:val="FFFFFF"/>
                <w:sz w:val="18"/>
                <w:szCs w:val="18"/>
              </w:rPr>
              <w:t xml:space="preserve">HIGH</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In add_supplier_payment (line 3664), the supplier payment is inserted, then a SECOND query "SELECT id FROM supplier_payments ORDER BY id DESC LIMIT 1" is used to get the new ID for the ledger post. Under concurrent load, another supplier payment could be inserted between these two queries, causing the wrong ID to be referenced in the ledger.</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3682–3698, add_supplier_payment route</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Ledger entry references wrong supplier_payments row. The audit trail is corrupted. The fix is trivial: use RETURNING id in the INSERT statement (already the pattern used everywhere else).</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ACC-08 [MEDIUM] — Running Balance Uses Python Float Arithmetic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ACC-08  </w:t>
            </w:r>
            <w:r>
              <w:rPr>
                <w:rFonts w:ascii="Arial" w:cs="Arial" w:eastAsia="Arial" w:hAnsi="Arial"/>
                <w:b/>
                <w:bCs/>
                <w:color w:val="FFFFFF"/>
                <w:sz w:val="18"/>
                <w:szCs w:val="18"/>
              </w:rPr>
              <w:t xml:space="preserve">MEDIUM</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statement and supplier_statement routes build running balances in Python: "running += e[debit] - e[credit]". Even though DB columns are NUMERIC(12,3), all values are cast to Python float() before accumulation. IEEE 754 float rounding will accumulate over hundreds of entries.</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1361–1364 (statement), line 3621–3627 (supplier_statement)</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For a company with 500+ transactions, the running balance may show rounding errors of 0.001–0.01 JOD. While small, this causes statement totals to not reconcile exactly and undermines trust in financial reports.</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ACC-09 [MEDIUM] — Commission Calculated on Profit Before Refunds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ACC-09  </w:t>
            </w:r>
            <w:r>
              <w:rPr>
                <w:rFonts w:ascii="Arial" w:cs="Arial" w:eastAsia="Arial" w:hAnsi="Arial"/>
                <w:b/>
                <w:bCs/>
                <w:color w:val="FFFFFF"/>
                <w:sz w:val="18"/>
                <w:szCs w:val="18"/>
              </w:rPr>
              <w:t xml:space="preserve">MEDIUM</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Commission reports (my_commission, admin_employees) calculate commission as SUM(profit) * commission_rate / 100. Since refunds do not reduce the sale profit (ACC-05), employees earn commission on profit from bookings that were subsequently refunded.</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4187–4210 (my_commission), line 4219–4250 (admin_employees)</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Employee overpayment on commissions. Requires manual adjustment. Financial exposure depends on refund volume.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FFFFFF"/>
                <w:sz w:val="24"/>
                <w:szCs w:val="24"/>
              </w:rPr>
              <w:t xml:space="preserve">1.2  Statement Integrity &amp; Reconciliation</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ACC-10 [MEDIUM] — Invoice Status Disconnected from Balance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ACC-10  </w:t>
            </w:r>
            <w:r>
              <w:rPr>
                <w:rFonts w:ascii="Arial" w:cs="Arial" w:eastAsia="Arial" w:hAnsi="Arial"/>
                <w:b/>
                <w:bCs/>
                <w:color w:val="FFFFFF"/>
                <w:sz w:val="18"/>
                <w:szCs w:val="18"/>
              </w:rPr>
              <w:t xml:space="preserve">MEDIUM</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Invoices (the invoices table) have their own PAID/UNPAID status. However, this status has NO effect on the running balance shown in company statements or the dashboard. The balance is computed solely from sales + payments tables. An invoice can be marked PAID without any payment record, or UNPAID while payments exist.</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2952–3159 (invoice routes), statement() line 1179</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Invoice tracking and accounting balances are completely disconnected. The invoices module is operationally decorative — it does not drive AR. Customers could be billed via invoice and pay cash, with the payment unrecorded in the ERP.</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ACC-11 [MEDIUM] — No Formal Payment-to-Invoice Matching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ACC-11  </w:t>
            </w:r>
            <w:r>
              <w:rPr>
                <w:rFonts w:ascii="Arial" w:cs="Arial" w:eastAsia="Arial" w:hAnsi="Arial"/>
                <w:b/>
                <w:bCs/>
                <w:color w:val="FFFFFF"/>
                <w:sz w:val="18"/>
                <w:szCs w:val="18"/>
              </w:rPr>
              <w:t xml:space="preserve">MEDIUM</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Payments are recorded at the company level with a notes field. There is no mechanism to match a specific payment to a specific invoice or sale. The entire AR system operates on aggregate company-level balances only.</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1396–1438, payments table schema</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Cannot produce a per-invoice aging report. Cannot determine which invoices are outstanding vs. settled. Dispute resolution requires manual investigation. Standard AR reconciliation is impossible.</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ACC-12 [LOW] — Profit Stored Redundantly Without Constraint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1E7B34" w:val="clear"/>
            <w:tcMar>
              <w:top w:type="dxa" w:w="80"/>
              <w:left w:type="dxa" w:w="120"/>
              <w:bottom w:type="dxa" w:w="80"/>
              <w:right w:type="dxa" w:w="120"/>
            </w:tcMar>
          </w:tcPr>
          <w:p>
            <w:r>
              <w:rPr>
                <w:rFonts w:ascii="Arial" w:cs="Arial" w:eastAsia="Arial" w:hAnsi="Arial"/>
                <w:b/>
                <w:bCs/>
                <w:color w:val="FFFFFF"/>
                <w:sz w:val="20"/>
                <w:szCs w:val="20"/>
              </w:rPr>
              <w:t xml:space="preserve">ACC-12  </w:t>
            </w:r>
            <w:r>
              <w:rPr>
                <w:rFonts w:ascii="Arial" w:cs="Arial" w:eastAsia="Arial" w:hAnsi="Arial"/>
                <w:b/>
                <w:bCs/>
                <w:color w:val="FFFFFF"/>
                <w:sz w:val="18"/>
                <w:szCs w:val="18"/>
              </w:rPr>
              <w:t xml:space="preserve">LOW</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profit column is stored in the sales table as sell - net, computed at application level. There is no database CHECK constraint enforcing this relationship. Direct database edits can create profit values that do not match sell - net.</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132–152 (sales table schema), profit column</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Database integrity relies entirely on application code. A manual SQL UPDATE or data migration error could corrupt profit figures without detection.</w:t>
            </w:r>
          </w:p>
        </w:tc>
      </w:tr>
    </w:tbl>
    <w:p>
      <w:pPr>
        <w:spacing w:after="60" w:before="60"/>
      </w:pPr>
      <w:r>
        <w:t xml:space="preserve"/>
      </w:r>
    </w:p>
    <w:p>
      <w:r>
        <w:br w:type="page"/>
      </w:r>
    </w:p>
    <w:p>
      <w:pPr>
        <w:pStyle w:val="Heading1"/>
        <w:pageBreakBefore/>
        <w:pBdr>
          <w:bottom w:val="single" w:color="C8A84B" w:sz="4"/>
        </w:pBdr>
        <w:spacing w:after="160" w:before="240"/>
      </w:pPr>
      <w:r>
        <w:rPr>
          <w:rFonts w:ascii="Arial" w:cs="Arial" w:eastAsia="Arial" w:hAnsi="Arial"/>
          <w:b/>
          <w:bCs/>
          <w:color w:val="1B3A6B"/>
          <w:sz w:val="36"/>
          <w:szCs w:val="36"/>
        </w:rPr>
        <w:t xml:space="preserve">SECTION 2 — TRAVEL INDUSTRY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FFFFFF"/>
                <w:sz w:val="24"/>
                <w:szCs w:val="24"/>
              </w:rPr>
              <w:t xml:space="preserve">2.1  Ticket &amp; Booking Operations</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TRV-01 [CRITICAL] — No Airline Ticket Number Field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TRV-01  </w:t>
            </w:r>
            <w:r>
              <w:rPr>
                <w:rFonts w:ascii="Arial" w:cs="Arial" w:eastAsia="Arial" w:hAnsi="Arial"/>
                <w:b/>
                <w:bCs/>
                <w:color w:val="FFFFFF"/>
                <w:sz w:val="18"/>
                <w:szCs w:val="18"/>
              </w:rPr>
              <w:t xml:space="preserve">CRITICAL</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sales table has no ticket_number column. The airline ticket number (e.g., 176-1234567890 for Royal Jordanian) is the primary reference for airline reconciliation, BSP billing, refunds, reissuance, and dispute resolution. PNR alone is insufficient — multiple passengers share one PNR but have individual ticket numbers.</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sales table schema (line 132–152), add_sale route</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BSP reconciliation is impossible without ticket numbers. Cannot perform ticket-level profit analysis. Cannot process airline ADMs (Agency Debit Memos). Cannot prove ticket issuance in disputes.</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TRV-02 [HIGH] — No BSP/IATA Reconciliation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TRV-02  </w:t>
            </w:r>
            <w:r>
              <w:rPr>
                <w:rFonts w:ascii="Arial" w:cs="Arial" w:eastAsia="Arial" w:hAnsi="Arial"/>
                <w:b/>
                <w:bCs/>
                <w:color w:val="FFFFFF"/>
                <w:sz w:val="18"/>
                <w:szCs w:val="18"/>
              </w:rPr>
              <w:t xml:space="preserve">HIGH</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There is no BSP reconciliation workflow. For an IATA-accredited agency, BSP reporting and settlement is a weekly obligation. The system cannot generate BSP-format reports, track net remittance amounts, or reconcile BSP sales against system sales.</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Entire system — no BSP table, no BSP route, no reconciliation workflow</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IATA compliance risk. Manual BSP reconciliation required weekly. Potential for BSP shortfall if system sales totals are inaccurate. ADMs cannot be tracked against specific transactions.</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TRV-03 [HIGH] — Mass Auto-Status Update on Page 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TRV-03  </w:t>
            </w:r>
            <w:r>
              <w:rPr>
                <w:rFonts w:ascii="Arial" w:cs="Arial" w:eastAsia="Arial" w:hAnsi="Arial"/>
                <w:b/>
                <w:bCs/>
                <w:color w:val="FFFFFF"/>
                <w:sz w:val="18"/>
                <w:szCs w:val="18"/>
              </w:rPr>
              <w:t xml:space="preserve">HIGH</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deliver_tomorrow route (line 1482) executes three bulk UPDATE statements to mark ticket statuses as DONE every single time the page is loaded. Any admin loading the Deliver Tomorrow page triggers bulk writes affecting potentially hundreds of records.</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1482–1536, deliver_tomorrow route, lines 1489–1506</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Status updates are not idempotent — they run on every page load. An admin loading the page multiple times per day makes no functional difference (they are idempotent updates), but it pollutes the audit log and creates unexpected database writes during normal page navigation. More importantly, if a delivery date is set incorrectly, loading this page auto-confirms a ticket that was not actually delivered.</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TRV-04 [MEDIUM] — No Per-Passenger Cost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TRV-04  </w:t>
            </w:r>
            <w:r>
              <w:rPr>
                <w:rFonts w:ascii="Arial" w:cs="Arial" w:eastAsia="Arial" w:hAnsi="Arial"/>
                <w:b/>
                <w:bCs/>
                <w:color w:val="FFFFFF"/>
                <w:sz w:val="18"/>
                <w:szCs w:val="18"/>
              </w:rPr>
              <w:t xml:space="preserve">MEDIUM</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passengers_json stores passenger details (name, passport, nationality, DOB) but no per-passenger pricing. A group booking of 5 passengers with mixed fare classes (1 adult, 2 children, 1 infant) cannot track individual passenger costs. The tickets INTEGER field stores total pax count only.</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804–813 (passengers_list), sales table passengers_json column</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Cannot analyze profitability by passenger type. Cannot correctly split costs for mixed-fare group bookings. Refund calculations for individual passengers within a group are manual.</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TRV-05 [MEDIUM] — Visa Workflow is Unstructured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TRV-05  </w:t>
            </w:r>
            <w:r>
              <w:rPr>
                <w:rFonts w:ascii="Arial" w:cs="Arial" w:eastAsia="Arial" w:hAnsi="Arial"/>
                <w:b/>
                <w:bCs/>
                <w:color w:val="FFFFFF"/>
                <w:sz w:val="18"/>
                <w:szCs w:val="18"/>
              </w:rPr>
              <w:t xml:space="preserve">MEDIUM</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Visa service tracking uses a free-text visa_status field with no constrained values or workflow states. There is no embassy submission tracking, processing timeline, approval/rejection workflow, or passport return tracking.</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sales table visa_status, visa_type, passport_number columns</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Visa applications cannot be systematically tracked through their lifecycle. Risk of missed deadlines. No SLA tracking for embassy processing times.</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TRV-06 [MEDIUM] — Insurance: No Policy Number or Coverage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TRV-06  </w:t>
            </w:r>
            <w:r>
              <w:rPr>
                <w:rFonts w:ascii="Arial" w:cs="Arial" w:eastAsia="Arial" w:hAnsi="Arial"/>
                <w:b/>
                <w:bCs/>
                <w:color w:val="FFFFFF"/>
                <w:sz w:val="18"/>
                <w:szCs w:val="18"/>
              </w:rPr>
              <w:t xml:space="preserve">MEDIUM</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Insurance bookings (service_type=INSURANCE) store only insurance_supplier and insurance_type (both free text). There is no policy_number, coverage_start, coverage_end, insured_amount, or claim_tracking field.</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sales table insurance_supplier, insurance_type columns</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Cannot track active insurance policies. Cannot handle claims against recorded policies. Cannot reconcile with insurers. Insurance sales are effectively black-box entries.</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TRV-07 [MEDIUM] — Tour Components Stored as JSON Blob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TRV-07  </w:t>
            </w:r>
            <w:r>
              <w:rPr>
                <w:rFonts w:ascii="Arial" w:cs="Arial" w:eastAsia="Arial" w:hAnsi="Arial"/>
                <w:b/>
                <w:bCs/>
                <w:color w:val="FFFFFF"/>
                <w:sz w:val="18"/>
                <w:szCs w:val="18"/>
              </w:rPr>
              <w:t xml:space="preserve">MEDIUM</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Tour bookings store all tour components as a JSON array in the tours_json TEXT column. This precludes: per-tour supplier reconciliation, per-component profitability, normalized tour reporting, or querying specific tour names across all bookings.</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784–802 (tours_list building), sales table tours_json column</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Cannot aggregate revenue by tour type. Cannot reconcile with tour operators at component level. Cannot track tour availability or capacity. Reporting on tour performance requires JSON parsing of every row.</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TRV-08 [MEDIUM] — Package Accounting is Disconnected from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TRV-08  </w:t>
            </w:r>
            <w:r>
              <w:rPr>
                <w:rFonts w:ascii="Arial" w:cs="Arial" w:eastAsia="Arial" w:hAnsi="Arial"/>
                <w:b/>
                <w:bCs/>
                <w:color w:val="FFFFFF"/>
                <w:sz w:val="18"/>
                <w:szCs w:val="18"/>
              </w:rPr>
              <w:t xml:space="preserve">MEDIUM</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packages table stores package details (flight, hotel, transfer, tour) with its own net_cost and sell_price. These are completely independent from the sales table — a package can be created without any linked sale, and a sale of type PACKAGE can exist without a packages record.</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2159–2200 (packages table), line 4092–4146 (new_package route)</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Package revenue is double-counted if both a sale and a package record exist. Package financials do not feed into company statements. The two systems are operationally parallel rather than integrated.</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TRV-09 [LOW] — Hotel Voucher Not Enforced for Hotel Bookings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1E7B34" w:val="clear"/>
            <w:tcMar>
              <w:top w:type="dxa" w:w="80"/>
              <w:left w:type="dxa" w:w="120"/>
              <w:bottom w:type="dxa" w:w="80"/>
              <w:right w:type="dxa" w:w="120"/>
            </w:tcMar>
          </w:tcPr>
          <w:p>
            <w:r>
              <w:rPr>
                <w:rFonts w:ascii="Arial" w:cs="Arial" w:eastAsia="Arial" w:hAnsi="Arial"/>
                <w:b/>
                <w:bCs/>
                <w:color w:val="FFFFFF"/>
                <w:sz w:val="20"/>
                <w:szCs w:val="20"/>
              </w:rPr>
              <w:t xml:space="preserve">TRV-09  </w:t>
            </w:r>
            <w:r>
              <w:rPr>
                <w:rFonts w:ascii="Arial" w:cs="Arial" w:eastAsia="Arial" w:hAnsi="Arial"/>
                <w:b/>
                <w:bCs/>
                <w:color w:val="FFFFFF"/>
                <w:sz w:val="18"/>
                <w:szCs w:val="18"/>
              </w:rPr>
              <w:t xml:space="preserve">LOW</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Hotel vouchers (vouchers table) link to sales via sale_id, but the FK is optional (ON DELETE SET NULL). A HOTEL service type sale can exist without a voucher, and a voucher can link to a FLIGHT sale. There is no business rule enforcement.</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2124–2157 (vouchers table schema)</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Operational risk of hotel bookings without confirmed vouchers. No automated voucher generation on HOTEL sale creation.</w:t>
            </w:r>
          </w:p>
        </w:tc>
      </w:tr>
    </w:tbl>
    <w:p>
      <w:pPr>
        <w:spacing w:after="60" w:before="60"/>
      </w:pPr>
      <w:r>
        <w:t xml:space="preserve"/>
      </w:r>
    </w:p>
    <w:p>
      <w:r>
        <w:br w:type="page"/>
      </w:r>
    </w:p>
    <w:p>
      <w:pPr>
        <w:pStyle w:val="Heading1"/>
        <w:pageBreakBefore/>
        <w:pBdr>
          <w:bottom w:val="single" w:color="C8A84B" w:sz="4"/>
        </w:pBdr>
        <w:spacing w:after="160" w:before="240"/>
      </w:pPr>
      <w:r>
        <w:rPr>
          <w:rFonts w:ascii="Arial" w:cs="Arial" w:eastAsia="Arial" w:hAnsi="Arial"/>
          <w:b/>
          <w:bCs/>
          <w:color w:val="1B3A6B"/>
          <w:sz w:val="36"/>
          <w:szCs w:val="36"/>
        </w:rPr>
        <w:t xml:space="preserve">SECTION 3 — DATABASE &amp; POSTGRESQL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FFFFFF"/>
                <w:sz w:val="24"/>
                <w:szCs w:val="24"/>
              </w:rPr>
              <w:t xml:space="preserve">3.1  Schema Design &amp; Data Types</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DB-01 [CRITICAL] — REAL→NUMERIC Migration Silently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DB-01  </w:t>
            </w:r>
            <w:r>
              <w:rPr>
                <w:rFonts w:ascii="Arial" w:cs="Arial" w:eastAsia="Arial" w:hAnsi="Arial"/>
                <w:b/>
                <w:bCs/>
                <w:color w:val="FFFFFF"/>
                <w:sz w:val="18"/>
                <w:szCs w:val="18"/>
              </w:rPr>
              <w:t xml:space="preserve">CRITICAL</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init_extension_db() function (line 2353–2366) attempts to ALTER TABLE columns from REAL to NUMERIC(12,3). Each ALTER is wrapped in try/except that silently passes on failure. There is no verification that the migration succeeded. If it failed on the first deployment, all money arithmetic has been running on IEEE 754 floating-point ever since.</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2353–2366, init_extension_db()</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Undetected float rounding errors in all financial calculations. Example: 0.1 + 0.2 in IEEE 754 = 0.30000000000000004. Over thousands of transactions, cumulative rounding could result in balance errors of several JOD. This is a silent accounting integrity failure.</w:t>
            </w:r>
          </w:p>
        </w:tc>
      </w:tr>
    </w:tbl>
    <w:p>
      <w:pPr>
        <w:spacing w:after="60" w:before="60"/>
      </w:pPr>
      <w:r>
        <w:t xml:space="preserve"/>
      </w:r>
    </w:p>
    <w:p>
      <w:pPr>
        <w:spacing w:after="60" w:before="60"/>
      </w:pPr>
      <w:r>
        <w:rPr>
          <w:rFonts w:ascii="Arial" w:cs="Arial" w:eastAsia="Arial" w:hAnsi="Arial"/>
          <w:color w:val="000000"/>
          <w:sz w:val="20"/>
          <w:szCs w:val="20"/>
        </w:rPr>
        <w:t xml:space="preserve">Immediate action: Run the following verification query in production:</w:t>
      </w:r>
    </w:p>
    <w:p>
      <w:pPr>
        <w:spacing w:after="60" w:before="60"/>
      </w:pPr>
      <w:r>
        <w:rPr>
          <w:rFonts w:ascii="Arial" w:cs="Arial" w:eastAsia="Arial" w:hAnsi="Arial"/>
          <w:color w:val="000000"/>
          <w:sz w:val="20"/>
          <w:szCs w:val="20"/>
        </w:rPr>
        <w:t xml:space="preserve">SELECT column_name, data_type FROM information_schema.columns WHERE table_name = 'sales' AND column_name IN ('net','sell','profit');</w:t>
      </w:r>
    </w:p>
    <w:p>
      <w:pPr>
        <w:spacing w:after="60" w:before="60"/>
      </w:pPr>
      <w:r>
        <w:rPr>
          <w:rFonts w:ascii="Arial" w:cs="Arial" w:eastAsia="Arial" w:hAnsi="Arial"/>
          <w:color w:val="000000"/>
          <w:sz w:val="20"/>
          <w:szCs w:val="20"/>
        </w:rPr>
        <w:t xml:space="preserve">If data_type shows "double precision" instead of "numeric", the migration failed and must be run manually with proper error handling.</w:t>
      </w:r>
    </w:p>
    <w:p>
      <w:pPr>
        <w:spacing w:after="60" w:before="60"/>
      </w:pPr>
      <w:r>
        <w:t xml:space="preserve"/>
      </w:r>
    </w:p>
    <w:p>
      <w:pPr>
        <w:pStyle w:val="Heading3"/>
        <w:spacing w:after="80" w:before="160"/>
      </w:pPr>
      <w:r>
        <w:rPr>
          <w:rFonts w:ascii="Arial" w:cs="Arial" w:eastAsia="Arial" w:hAnsi="Arial"/>
          <w:b/>
          <w:bCs/>
          <w:color w:val="C0392B"/>
          <w:sz w:val="24"/>
          <w:szCs w:val="24"/>
        </w:rPr>
        <w:t xml:space="preserve">DB-02 [HIGH] — All Date Columns Stored as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DB-02  </w:t>
            </w:r>
            <w:r>
              <w:rPr>
                <w:rFonts w:ascii="Arial" w:cs="Arial" w:eastAsia="Arial" w:hAnsi="Arial"/>
                <w:b/>
                <w:bCs/>
                <w:color w:val="FFFFFF"/>
                <w:sz w:val="18"/>
                <w:szCs w:val="18"/>
              </w:rPr>
              <w:t xml:space="preserve">HIGH</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All date columns (sale_date, pay_date, travel_date, return_date, hotel_checkin, hotel_checkout, etc.) are declared as TEXT in the schema, storing strings in YYYY-MM-DD format. Date range comparisons work by string comparison which happens to be correct for ISO format, but invalid dates (2024-13-45) are silently accepted.</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132–152 (sales schema), line 153–162 (payments schema), all date columns throughout</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Invalid dates accepted without error. Cannot use PostgreSQL date arithmetic or functions without TO_DATE() conversion on every query. The dashboard monthly query (line 638) calls to_date() on every row — full table scan, no index benefit. Cannot enforce business rules like hotel_checkout &gt; hotel_checkin at the database level.</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DB-03 [HIGH] — Company Identity by Text String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DB-03  </w:t>
            </w:r>
            <w:r>
              <w:rPr>
                <w:rFonts w:ascii="Arial" w:cs="Arial" w:eastAsia="Arial" w:hAnsi="Arial"/>
                <w:b/>
                <w:bCs/>
                <w:color w:val="FFFFFF"/>
                <w:sz w:val="18"/>
                <w:szCs w:val="18"/>
              </w:rPr>
              <w:t xml:space="preserve">HIGH</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Despite master_companies existing and company_id FK being added, the entire application logic matches companies by UPPER(TRIM(company)) text comparison. The company_id FK is nullable and not enforced at write time. A typo in any company name creates orphaned records that do not appear in that company's statement.</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1193–1231 (statement route), get_companies_list(), company column throughout sales/payments tables</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Data fragmentation: "ACME TRAVEL" and "ACME  TRAVEL" (extra space) are different companies. Balances are split. Statements are incomplete. This is a common production data quality problem in text-based entity matching.</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DB-04 [HIGH] — JSON Data in TEXT Columns (Not JSONB)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DB-04  </w:t>
            </w:r>
            <w:r>
              <w:rPr>
                <w:rFonts w:ascii="Arial" w:cs="Arial" w:eastAsia="Arial" w:hAnsi="Arial"/>
                <w:b/>
                <w:bCs/>
                <w:color w:val="FFFFFF"/>
                <w:sz w:val="18"/>
                <w:szCs w:val="18"/>
              </w:rPr>
              <w:t xml:space="preserve">HIGH</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tours_json and passengers_json are stored as TEXT, not PostgreSQL's native JSONB type. This means no JSON schema validation, no indexing on JSON fields, no ability to query inside JSON without full table scan and application-layer parsing.</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2232, 2243 (svc_cols list), sales table tours_json/passengers_json</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Malformed JSON is silently accepted and causes 500 errors when parsed. Cannot query "all bookings with passenger named JOHN" without parsing every row. Cannot index on passenger passport numbers.</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DB-05 [MEDIUM] — Missing Database-Level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DB-05  </w:t>
            </w:r>
            <w:r>
              <w:rPr>
                <w:rFonts w:ascii="Arial" w:cs="Arial" w:eastAsia="Arial" w:hAnsi="Arial"/>
                <w:b/>
                <w:bCs/>
                <w:color w:val="FFFFFF"/>
                <w:sz w:val="18"/>
                <w:szCs w:val="18"/>
              </w:rPr>
              <w:t xml:space="preserve">MEDIUM</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sales table has no CHECK constraints for: service_type values (any string accepted), amount &gt; 0 for payments, profit = sell - net relationship, trip_type valid values. All validation is application-only.</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lines 132–152 (sales schema), 153–162 (payments schema)</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Direct database access, data imports, or application bugs can insert logically invalid data without any database rejection. A direct SQL UPDATE can set profit to any value without the database objecting.</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DB-06 [MEDIUM] — Startup Schema Migration Runs on Every Boot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DB-06  </w:t>
            </w:r>
            <w:r>
              <w:rPr>
                <w:rFonts w:ascii="Arial" w:cs="Arial" w:eastAsia="Arial" w:hAnsi="Arial"/>
                <w:b/>
                <w:bCs/>
                <w:color w:val="FFFFFF"/>
                <w:sz w:val="18"/>
                <w:szCs w:val="18"/>
              </w:rPr>
              <w:t xml:space="preserve">MEDIUM</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init_db() and init_extension_db() both run on every application startup (lines 263–267 and 2496–2500). This includes CREATE INDEX IF NOT EXISTS, ALTER TABLE, and backfill UPDATE statements. Under Gunicorn with multiple workers, all workers run these simultaneously on startup.</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263–267 (init_db call), line 2496–2500 (init_extension_db call)</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Race conditions between workers running ALTER TABLE simultaneously. Table locks during startup affect production traffic. Slow startup under load. The backfill UPDATE on large tables (company_id backfill, line 2468) can take significant time and locks rows.</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DB-07 [MEDIUM] — created_at as TEXT in Original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DB-07  </w:t>
            </w:r>
            <w:r>
              <w:rPr>
                <w:rFonts w:ascii="Arial" w:cs="Arial" w:eastAsia="Arial" w:hAnsi="Arial"/>
                <w:b/>
                <w:bCs/>
                <w:color w:val="FFFFFF"/>
                <w:sz w:val="18"/>
                <w:szCs w:val="18"/>
              </w:rPr>
              <w:t xml:space="preserve">MEDIUM</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In the original sales, payments, users, and audit_logs tables, created_at is stored as TEXT ("YYYY-MM-DD HH24:MI:SS" format). In newer tables (accounting_entries, refunds), it correctly uses TIMESTAMP DEFAULT NOW(). This inconsistency makes cross-table time-based queries unreliable.</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150 (sales created_at TEXT), line 183 (audit_logs created_at TEXT)</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Time-based filtering on original tables is string comparison, not timestamp comparison. Timezone handling is inconsistent. The audit log date filters (line 1749) compare created_at TEXT with date string — technically works for exact format but is fragile.</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DB-08 [LOW] — Paginate Function Uses Subquery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1E7B34" w:val="clear"/>
            <w:tcMar>
              <w:top w:type="dxa" w:w="80"/>
              <w:left w:type="dxa" w:w="120"/>
              <w:bottom w:type="dxa" w:w="80"/>
              <w:right w:type="dxa" w:w="120"/>
            </w:tcMar>
          </w:tcPr>
          <w:p>
            <w:r>
              <w:rPr>
                <w:rFonts w:ascii="Arial" w:cs="Arial" w:eastAsia="Arial" w:hAnsi="Arial"/>
                <w:b/>
                <w:bCs/>
                <w:color w:val="FFFFFF"/>
                <w:sz w:val="20"/>
                <w:szCs w:val="20"/>
              </w:rPr>
              <w:t xml:space="preserve">DB-08  </w:t>
            </w:r>
            <w:r>
              <w:rPr>
                <w:rFonts w:ascii="Arial" w:cs="Arial" w:eastAsia="Arial" w:hAnsi="Arial"/>
                <w:b/>
                <w:bCs/>
                <w:color w:val="FFFFFF"/>
                <w:sz w:val="18"/>
                <w:szCs w:val="18"/>
              </w:rPr>
              <w:t xml:space="preserve">LOW</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paginate() function (line 117) runs COUNT(*) by wrapping the full query in a subquery: "SELECT COUNT(*) FROM (query) sub". For complex joins with large result sets, this materializes the entire result set to count it. PostgreSQL cannot use index-only scans for count on subqueries.</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117–125, paginate() function</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Performance degradation on large tables. The sales report with 10,000+ records will run two expensive queries on every page load. For the main report query with JOINs to users, this is particularly costly.</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DB-09 [LOW] — No Partial Index on Most-Used Filter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1E7B34" w:val="clear"/>
            <w:tcMar>
              <w:top w:type="dxa" w:w="80"/>
              <w:left w:type="dxa" w:w="120"/>
              <w:bottom w:type="dxa" w:w="80"/>
              <w:right w:type="dxa" w:w="120"/>
            </w:tcMar>
          </w:tcPr>
          <w:p>
            <w:r>
              <w:rPr>
                <w:rFonts w:ascii="Arial" w:cs="Arial" w:eastAsia="Arial" w:hAnsi="Arial"/>
                <w:b/>
                <w:bCs/>
                <w:color w:val="FFFFFF"/>
                <w:sz w:val="20"/>
                <w:szCs w:val="20"/>
              </w:rPr>
              <w:t xml:space="preserve">DB-09  </w:t>
            </w:r>
            <w:r>
              <w:rPr>
                <w:rFonts w:ascii="Arial" w:cs="Arial" w:eastAsia="Arial" w:hAnsi="Arial"/>
                <w:b/>
                <w:bCs/>
                <w:color w:val="FFFFFF"/>
                <w:sz w:val="18"/>
                <w:szCs w:val="18"/>
              </w:rPr>
              <w:t xml:space="preserve">LOW</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While partial indexes exist (idx_sales_company_date WHERE deleted=FALSE), the statement route queries by UPPER(TRIM(company)) which requires a function call. Standard indexes on the company column cannot be used when the query applies UPPER() — a functional index on UPPER(company) would be more effective.</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1216, statement route — "AND UPPER(TRIM(company))=UPPER(%s)"</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Full sequential scans on company column for statements on large datasets. Performance degrades as transaction volume grows.</w:t>
            </w:r>
          </w:p>
        </w:tc>
      </w:tr>
    </w:tbl>
    <w:p>
      <w:pPr>
        <w:spacing w:after="60" w:before="60"/>
      </w:pPr>
      <w:r>
        <w:t xml:space="preserve"/>
      </w:r>
    </w:p>
    <w:p>
      <w:r>
        <w:br w:type="page"/>
      </w:r>
    </w:p>
    <w:p>
      <w:pPr>
        <w:pStyle w:val="Heading1"/>
        <w:pageBreakBefore/>
        <w:pBdr>
          <w:bottom w:val="single" w:color="C8A84B" w:sz="4"/>
        </w:pBdr>
        <w:spacing w:after="160" w:before="240"/>
      </w:pPr>
      <w:r>
        <w:rPr>
          <w:rFonts w:ascii="Arial" w:cs="Arial" w:eastAsia="Arial" w:hAnsi="Arial"/>
          <w:b/>
          <w:bCs/>
          <w:color w:val="1B3A6B"/>
          <w:sz w:val="36"/>
          <w:szCs w:val="36"/>
        </w:rPr>
        <w:t xml:space="preserve">SECTION 4 — ERP ARCHITECTURE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FFFFFF"/>
                <w:sz w:val="24"/>
                <w:szCs w:val="24"/>
              </w:rPr>
              <w:t xml:space="preserve">4.1  Application Structure</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ARCH-01 [CRITICAL] — Duplicate Add-Sale Route with Divergent Accounting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ARCH-01  </w:t>
            </w:r>
            <w:r>
              <w:rPr>
                <w:rFonts w:ascii="Arial" w:cs="Arial" w:eastAsia="Arial" w:hAnsi="Arial"/>
                <w:b/>
                <w:bCs/>
                <w:color w:val="FFFFFF"/>
                <w:sz w:val="18"/>
                <w:szCs w:val="18"/>
              </w:rPr>
              <w:t xml:space="preserve">CRITICAL</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There are two routes that add sales: /add (add_sale, line 755) and /add-v2 (add_sale_v2, line 2739). The sidebar navigation (base.html) links to /add-v2. The original /add route does NOT correctly post to the shadow ledger (post_ledger parameters differ — it passes "buy_from" as supplier which may be empty). The v2 route correctly handles ledger posting.</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755 (add_sale), line 2739 (add_sale_v2), templates/base.html sidebar</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Depending on which route is used, accounting entries may or may not be correct. Code duplication means a bug fix in one route is not automatically applied to the other. The "monkey-patch" comment at line 2737 is a code smell indicating this was a workaround.</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ARCH-02 [HIGH] — 4,298-Line Monolithic app.py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ARCH-02  </w:t>
            </w:r>
            <w:r>
              <w:rPr>
                <w:rFonts w:ascii="Arial" w:cs="Arial" w:eastAsia="Arial" w:hAnsi="Arial"/>
                <w:b/>
                <w:bCs/>
                <w:color w:val="FFFFFF"/>
                <w:sz w:val="18"/>
                <w:szCs w:val="18"/>
              </w:rPr>
              <w:t xml:space="preserve">HIGH</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entire application — routing, business logic, DB access, schema definition, and email sending — is in a single 4,298-line app.py file. There is no separation into modules, services, or layers. The "if __name__ == '__main__'" block appears at line 2058, in the middle of the file, with significant code after it.</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entire file</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Unmaintainable at scale. Any developer must navigate 4,298 lines to find any function. The if __name__ block placement in the middle (line 2058) is architecturally incorrect and confusing. Extension code (lines 2062+) runs regardless of invocation method.</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ARCH-03 [HIGH] — No Database Connection Pooling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ARCH-03  </w:t>
            </w:r>
            <w:r>
              <w:rPr>
                <w:rFonts w:ascii="Arial" w:cs="Arial" w:eastAsia="Arial" w:hAnsi="Arial"/>
                <w:b/>
                <w:bCs/>
                <w:color w:val="FFFFFF"/>
                <w:sz w:val="18"/>
                <w:szCs w:val="18"/>
              </w:rPr>
              <w:t xml:space="preserve">HIGH</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Each HTTP request creates a new psycopg2 connection via get_db(). Under Gunicorn with multiple workers, each worker creates and tears down connections per-request. PostgreSQL has a default max_connections of 100. Under moderate load (50 concurrent requests), this will exhaust the connection pool.</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23–54, get_db() function</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Database connection exhaustion under load. "FATAL: sorry, too many clients already" errors in production. Each connection costs ~5-10MB of PostgreSQL server memory. No connection reuse.</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ARCH-04 [HIGH] — Accounting Logic Duplicated Across 5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ARCH-04  </w:t>
            </w:r>
            <w:r>
              <w:rPr>
                <w:rFonts w:ascii="Arial" w:cs="Arial" w:eastAsia="Arial" w:hAnsi="Arial"/>
                <w:b/>
                <w:bCs/>
                <w:color w:val="FFFFFF"/>
                <w:sz w:val="18"/>
                <w:szCs w:val="18"/>
              </w:rPr>
              <w:t xml:space="preserve">HIGH</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post_ledger() call for sales appears in: add_sale (line 909), add_sale_v2 (line 2866), payments route (line 1422), add_supplier_payment (line 3690), and refunds (line 3379). Each has slightly different parameters. There is no central accounting service.</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909, 2866, 1422, 3690, 3379</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A change to ledger posting logic must be applied in 5 places. Inconsistency is guaranteed over time. The v1 add_sale already has a different implementation than v2 (ARCH-01).</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ARCH-05 [MEDIUM] — Inline Schema Definition in Application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ARCH-05  </w:t>
            </w:r>
            <w:r>
              <w:rPr>
                <w:rFonts w:ascii="Arial" w:cs="Arial" w:eastAsia="Arial" w:hAnsi="Arial"/>
                <w:b/>
                <w:bCs/>
                <w:color w:val="FFFFFF"/>
                <w:sz w:val="18"/>
                <w:szCs w:val="18"/>
              </w:rPr>
              <w:t xml:space="preserve">MEDIUM</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database schema is defined inline in init_db() and init_extension_db() as Python strings. There are no migration files, no schema version tracking, no rollback capability. The "extension" pattern (adding columns via ALTER TABLE IF NOT EXISTS) is an accumulation of workarounds.</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127–268 (init_db), line 2066–2494 (init_extension_db)</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Cannot roll back a failed schema change. Cannot determine current schema version. Cannot safely apply changes to a cloned staging environment. The silently-failing try/except migration blocks (DB-01) make this especially dangerous.</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ARCH-06 [MEDIUM] — next_doc_number Uses Dedicated Connection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ARCH-06  </w:t>
            </w:r>
            <w:r>
              <w:rPr>
                <w:rFonts w:ascii="Arial" w:cs="Arial" w:eastAsia="Arial" w:hAnsi="Arial"/>
                <w:b/>
                <w:bCs/>
                <w:color w:val="FFFFFF"/>
                <w:sz w:val="18"/>
                <w:szCs w:val="18"/>
              </w:rPr>
              <w:t xml:space="preserve">MEDIUM</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next_doc_number() function (line 2503) creates a dedicated psycopg2 connection for document numbering to avoid transaction conflicts. While the intent is correct (avoid race conditions), this means document number generation always uses an extra DB connection and the fallback (uuid4 hex) creates non-sequential document numbers if the DB is unreachable.</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2503–2557, next_doc_number()</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An additional connection created on every invoice/voucher/package creation. Under load, this contributes to connection exhaustion (ARCH-03). If doc_sequences table is locked, document creation silently falls back to UUID-based numbering.</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ARCH-07 [LOW] — Email Sent in Daemon Thread Without Retry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1E7B34" w:val="clear"/>
            <w:tcMar>
              <w:top w:type="dxa" w:w="80"/>
              <w:left w:type="dxa" w:w="120"/>
              <w:bottom w:type="dxa" w:w="80"/>
              <w:right w:type="dxa" w:w="120"/>
            </w:tcMar>
          </w:tcPr>
          <w:p>
            <w:r>
              <w:rPr>
                <w:rFonts w:ascii="Arial" w:cs="Arial" w:eastAsia="Arial" w:hAnsi="Arial"/>
                <w:b/>
                <w:bCs/>
                <w:color w:val="FFFFFF"/>
                <w:sz w:val="20"/>
                <w:szCs w:val="20"/>
              </w:rPr>
              <w:t xml:space="preserve">ARCH-07  </w:t>
            </w:r>
            <w:r>
              <w:rPr>
                <w:rFonts w:ascii="Arial" w:cs="Arial" w:eastAsia="Arial" w:hAnsi="Arial"/>
                <w:b/>
                <w:bCs/>
                <w:color w:val="FFFFFF"/>
                <w:sz w:val="18"/>
                <w:szCs w:val="18"/>
              </w:rPr>
              <w:t xml:space="preserve">LOW</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delivery list email (line 1651–1664) is sent in a daemon thread. If the thread fails, the user sees "Email sending to X — Y tickets" success message regardless. There is no delivery confirmation, no retry logic, and no dead-letter mechanism.</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1651–1668, send_deliver_email route</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Silent email failures. Users believe notification was sent when it was not. Critical operational emails (ticket delivery lists) may be lost without any alert.</w:t>
            </w:r>
          </w:p>
        </w:tc>
      </w:tr>
    </w:tbl>
    <w:p>
      <w:pPr>
        <w:spacing w:after="60" w:before="60"/>
      </w:pPr>
      <w:r>
        <w:t xml:space="preserve"/>
      </w:r>
    </w:p>
    <w:p>
      <w:r>
        <w:br w:type="page"/>
      </w:r>
    </w:p>
    <w:p>
      <w:pPr>
        <w:pStyle w:val="Heading1"/>
        <w:pageBreakBefore/>
        <w:pBdr>
          <w:bottom w:val="single" w:color="C8A84B" w:sz="4"/>
        </w:pBdr>
        <w:spacing w:after="160" w:before="240"/>
      </w:pPr>
      <w:r>
        <w:rPr>
          <w:rFonts w:ascii="Arial" w:cs="Arial" w:eastAsia="Arial" w:hAnsi="Arial"/>
          <w:b/>
          <w:bCs/>
          <w:color w:val="1B3A6B"/>
          <w:sz w:val="36"/>
          <w:szCs w:val="36"/>
        </w:rPr>
        <w:t xml:space="preserve">SECTION 5 — SECURITY &amp; PRODUCTION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FFFFFF"/>
                <w:sz w:val="24"/>
                <w:szCs w:val="24"/>
              </w:rPr>
              <w:t xml:space="preserve">5.1  Authentication &amp; Session Security</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SEC-01 [CRITICAL] — Disabled Users Can Still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SEC-01  </w:t>
            </w:r>
            <w:r>
              <w:rPr>
                <w:rFonts w:ascii="Arial" w:cs="Arial" w:eastAsia="Arial" w:hAnsi="Arial"/>
                <w:b/>
                <w:bCs/>
                <w:color w:val="FFFFFF"/>
                <w:sz w:val="18"/>
                <w:szCs w:val="18"/>
              </w:rPr>
              <w:t xml:space="preserve">CRITICAL</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users table has an is_active BOOLEAN column (added in init_extension_db). The admin can disable users via the toggle_user route. However, the login route (line 487) does NOT check is_active — it only checks username and password match. A "disabled" user can still authenticate fully.</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487–497 (login route), line 604–617 (toggle_user route)</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Terminating an employee's system access by disabling their account does not prevent login. Former employees with known credentials retain full system access. This is a critical access control failure.</w:t>
            </w:r>
          </w:p>
        </w:tc>
      </w:tr>
    </w:tbl>
    <w:p>
      <w:pPr>
        <w:spacing w:after="60" w:before="60"/>
      </w:pPr>
      <w:r>
        <w:t xml:space="preserve"/>
      </w:r>
    </w:p>
    <w:p>
      <w:pPr>
        <w:spacing w:after="60" w:before="60"/>
      </w:pPr>
      <w:r>
        <w:rPr>
          <w:rFonts w:ascii="Arial" w:cs="Arial" w:eastAsia="Arial" w:hAnsi="Arial"/>
          <w:color w:val="000000"/>
          <w:sz w:val="20"/>
          <w:szCs w:val="20"/>
        </w:rPr>
        <w:t xml:space="preserve">Fix (immediate): Add to the login route after bcrypt.checkpw():</w:t>
      </w:r>
    </w:p>
    <w:p>
      <w:pPr>
        <w:spacing w:after="60" w:before="60"/>
      </w:pPr>
      <w:r>
        <w:rPr>
          <w:rFonts w:ascii="Arial" w:cs="Arial" w:eastAsia="Arial" w:hAnsi="Arial"/>
          <w:color w:val="000000"/>
          <w:sz w:val="20"/>
          <w:szCs w:val="20"/>
        </w:rPr>
        <w:t xml:space="preserve">if not user.get("is_active", True):</w:t>
      </w:r>
    </w:p>
    <w:p>
      <w:pPr>
        <w:spacing w:after="60" w:before="60"/>
      </w:pPr>
      <w:r>
        <w:rPr>
          <w:rFonts w:ascii="Arial" w:cs="Arial" w:eastAsia="Arial" w:hAnsi="Arial"/>
          <w:color w:val="000000"/>
          <w:sz w:val="20"/>
          <w:szCs w:val="20"/>
        </w:rPr>
        <w:t xml:space="preserve">    flash("Account disabled. Contact administrator.", "danger")</w:t>
      </w:r>
    </w:p>
    <w:p>
      <w:pPr>
        <w:spacing w:after="60" w:before="60"/>
      </w:pPr>
      <w:r>
        <w:rPr>
          <w:rFonts w:ascii="Arial" w:cs="Arial" w:eastAsia="Arial" w:hAnsi="Arial"/>
          <w:color w:val="000000"/>
          <w:sz w:val="20"/>
          <w:szCs w:val="20"/>
        </w:rPr>
        <w:t xml:space="preserve">    return render_template("login.html")</w:t>
      </w:r>
    </w:p>
    <w:p>
      <w:pPr>
        <w:spacing w:after="60" w:before="60"/>
      </w:pPr>
      <w:r>
        <w:t xml:space="preserve"/>
      </w:r>
    </w:p>
    <w:p>
      <w:pPr>
        <w:pStyle w:val="Heading3"/>
        <w:spacing w:after="80" w:before="160"/>
      </w:pPr>
      <w:r>
        <w:rPr>
          <w:rFonts w:ascii="Arial" w:cs="Arial" w:eastAsia="Arial" w:hAnsi="Arial"/>
          <w:b/>
          <w:bCs/>
          <w:color w:val="C0392B"/>
          <w:sz w:val="24"/>
          <w:szCs w:val="24"/>
        </w:rPr>
        <w:t xml:space="preserve">SEC-02 [CRITICAL] — No CSRF Protection on Any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SEC-02  </w:t>
            </w:r>
            <w:r>
              <w:rPr>
                <w:rFonts w:ascii="Arial" w:cs="Arial" w:eastAsia="Arial" w:hAnsi="Arial"/>
                <w:b/>
                <w:bCs/>
                <w:color w:val="FFFFFF"/>
                <w:sz w:val="18"/>
                <w:szCs w:val="18"/>
              </w:rPr>
              <w:t xml:space="preserve">CRITICAL</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application uses no CSRF token implementation. All POST forms — including payment recording, data deletion, data reset, and user management — are vulnerable to Cross-Site Request Forgery. An attacker can craft a page that submits payment forms, deletes data, or resets the database on behalf of a logged-in admin.</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All POST routes throughout app.py — payments, delete_sale, reset_data, delete_user, etc.</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With a single phishing link clicked by an admin, an attacker can: record fraudulent payments, delete sales records, or trigger the full data reset (/admin/reset-data). This is particularly dangerous given the "DELETE ALL DATA" route exists.</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SEC-03 [CRITICAL] — Sessions Never Expire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SEC-03  </w:t>
            </w:r>
            <w:r>
              <w:rPr>
                <w:rFonts w:ascii="Arial" w:cs="Arial" w:eastAsia="Arial" w:hAnsi="Arial"/>
                <w:b/>
                <w:bCs/>
                <w:color w:val="FFFFFF"/>
                <w:sz w:val="18"/>
                <w:szCs w:val="18"/>
              </w:rPr>
              <w:t xml:space="preserve">CRITICAL</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session.permanent = True is set at login (line 493) without configuring PERMANENT_SESSION_LIFETIME on the Flask app. By default, Flask permanent sessions last until the browser cookie expires (often browser session or years). Admin sessions never time out.</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493 (session.permanent = True), no PERMANENT_SESSION_LIFETIME configured</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A stolen session cookie (via XSS, network interception, or shared browser) grants indefinite admin access. Industry standard is 8-hour session timeout for financial applications.</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SEC-04 [HIGH] — Hardcoded Fallback Secret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SEC-04  </w:t>
            </w:r>
            <w:r>
              <w:rPr>
                <w:rFonts w:ascii="Arial" w:cs="Arial" w:eastAsia="Arial" w:hAnsi="Arial"/>
                <w:b/>
                <w:bCs/>
                <w:color w:val="FFFFFF"/>
                <w:sz w:val="18"/>
                <w:szCs w:val="18"/>
              </w:rPr>
              <w:t xml:space="preserve">HIGH</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Flask secret key falls back to 'alsondos-secret-change-in-production-2024' (line 15). This code is publicly visible on GitHub (the git history shows origin/main remote). If SECRET_KEY is not set as an environment variable, this known string signs all session cookies.</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15, DEPLOYMENT.md (no mention of SECRET_KEY requirement)</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An attacker with knowledge of the secret key can forge session cookies with any user_id and user_role, gaining admin access without credentials. The DEPLOYMENT.md does not list SECRET_KEY as a required environment variable.</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SEC-05 [HIGH] — No Brute-Force Protection on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SEC-05  </w:t>
            </w:r>
            <w:r>
              <w:rPr>
                <w:rFonts w:ascii="Arial" w:cs="Arial" w:eastAsia="Arial" w:hAnsi="Arial"/>
                <w:b/>
                <w:bCs/>
                <w:color w:val="FFFFFF"/>
                <w:sz w:val="18"/>
                <w:szCs w:val="18"/>
              </w:rPr>
              <w:t xml:space="preserve">HIGH</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login route (line 477) has no rate limiting, no account lockout after N failures, no CAPTCHA, and no login delay. An attacker can make unlimited password guesses against any username at full network speed.</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477–498, login route</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Credential brute-forcing is trivially possible. The default password "admin123" (line 235) combined with no rate limiting means a fresh deployment can be compromised in seconds.</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SEC-06 [HIGH] — Open Redirect in Login next Parameter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SEC-06  </w:t>
            </w:r>
            <w:r>
              <w:rPr>
                <w:rFonts w:ascii="Arial" w:cs="Arial" w:eastAsia="Arial" w:hAnsi="Arial"/>
                <w:b/>
                <w:bCs/>
                <w:color w:val="FFFFFF"/>
                <w:sz w:val="18"/>
                <w:szCs w:val="18"/>
              </w:rPr>
              <w:t xml:space="preserve">HIGH</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login route accepts a "next" parameter (lines 417, 495) and redirects to it after successful login without validating that it is a relative URL. An attacker can craft a phishing URL like /login?next=https://evil.com that redirects victims to a malicious site after real login.</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417 (login_required decorator), line 495 (next_page assignment)</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Phishing vector using the legitimate domain. Users are redirected to attacker-controlled sites after authenticating. Credentials may be harvested on the attacker site.</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SEC-07 [HIGH] — Full Data Reset Requires Only Text Confirmation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SEC-07  </w:t>
            </w:r>
            <w:r>
              <w:rPr>
                <w:rFonts w:ascii="Arial" w:cs="Arial" w:eastAsia="Arial" w:hAnsi="Arial"/>
                <w:b/>
                <w:bCs/>
                <w:color w:val="FFFFFF"/>
                <w:sz w:val="18"/>
                <w:szCs w:val="18"/>
              </w:rPr>
              <w:t xml:space="preserve">HIGH</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/admin/reset-data route (line 1834) performs a HARD DELETE of ALL transactional data — sales, payments, invoices, vouchers, packages, supplier_payments, audit_logs — after only a text confirmation input. No 2FA, no email confirmation, no backup verification, no approval workflow.</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1834–1890, reset_data route</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A single compromised admin session (combined with CSRF-SEC-02 or session theft-SEC-03) can permanently destroy all production data. This is an existential production risk.</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SEC-08 [MEDIUM] — Audit Log in Same Database — No WORM Guarantee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SEC-08  </w:t>
            </w:r>
            <w:r>
              <w:rPr>
                <w:rFonts w:ascii="Arial" w:cs="Arial" w:eastAsia="Arial" w:hAnsi="Arial"/>
                <w:b/>
                <w:bCs/>
                <w:color w:val="FFFFFF"/>
                <w:sz w:val="18"/>
                <w:szCs w:val="18"/>
              </w:rPr>
              <w:t xml:space="preserve">MEDIUM</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audit_logs table is in the same PostgreSQL database as all application data. An admin with direct database access (or any user who gains it) can truncate or modify audit_logs. The reset_data route explicitly DELETE FROM audit_logs (line 1858).</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1858, reset_data route — deletes audit_logs; audit_logs in same DB</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Audit trail can be destroyed, defeating the purpose of audit logging. Compliance requirements for immutable audit logs are not met. Fraudulent activity can be covered up by clearing the log.</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SEC-09 [MEDIUM] — No HTTPS Enforcement in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SEC-09  </w:t>
            </w:r>
            <w:r>
              <w:rPr>
                <w:rFonts w:ascii="Arial" w:cs="Arial" w:eastAsia="Arial" w:hAnsi="Arial"/>
                <w:b/>
                <w:bCs/>
                <w:color w:val="FFFFFF"/>
                <w:sz w:val="18"/>
                <w:szCs w:val="18"/>
              </w:rPr>
              <w:t xml:space="preserve">MEDIUM</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application relies entirely on the Nginx reverse proxy to enforce HTTPS. Flask itself does not redirect HTTP to HTTPS. If Nginx is misconfigured, reconfigured, or bypassed, the application serves unencrypted HTTP including login credentials and session cookies.</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 no HTTPS redirect; DEPLOYMENT.md — Nginx configuration not shown</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Credential interception on misconfigured or compromised proxy. Session hijacking via cookie sniffing on HTTP.</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SEC-10 [LOW] — SQL Injection: CONFIRMED SAFE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0D5DD" w:sz="1"/>
              <w:left w:val="single" w:color="D0D5DD" w:sz="1"/>
              <w:bottom w:val="single" w:color="D0D5DD" w:sz="1"/>
              <w:right w:val="single" w:color="D0D5DD" w:sz="1"/>
            </w:tcBorders>
            <w:shd w:fill="F0FFF4" w:val="clear"/>
            <w:tcMar>
              <w:top w:type="dxa" w:w="80"/>
              <w:left w:type="dxa" w:w="120"/>
              <w:bottom w:type="dxa" w:w="80"/>
              <w:right w:type="dxa" w:w="120"/>
            </w:tcMar>
          </w:tcPr>
          <w:p>
            <w:r>
              <w:rPr>
                <w:rFonts w:ascii="Arial" w:cs="Arial" w:eastAsia="Arial" w:hAnsi="Arial"/>
                <w:b/>
                <w:bCs/>
                <w:color w:val="1E7B34"/>
                <w:sz w:val="20"/>
                <w:szCs w:val="20"/>
              </w:rPr>
              <w:t xml:space="preserve">POSITIVE FINDING: </w:t>
            </w:r>
            <w:r>
              <w:rPr>
                <w:rFonts w:ascii="Arial" w:cs="Arial" w:eastAsia="Arial" w:hAnsi="Arial"/>
                <w:color w:val="000000"/>
                <w:sz w:val="20"/>
                <w:szCs w:val="20"/>
              </w:rPr>
              <w:t xml:space="preserve">All database queries throughout app.py use parameterized queries (%s placeholders with psycopg2). No string concatenation of user input into SQL queries was found. SQL injection risk is mitigated.</w:t>
            </w:r>
          </w:p>
        </w:tc>
      </w:tr>
    </w:tbl>
    <w:p>
      <w:pPr>
        <w:spacing w:after="60" w:before="60"/>
      </w:pPr>
      <w:r>
        <w:t xml:space="preserve"/>
      </w:r>
    </w:p>
    <w:p>
      <w:r>
        <w:br w:type="page"/>
      </w:r>
    </w:p>
    <w:p>
      <w:pPr>
        <w:pStyle w:val="Heading1"/>
        <w:pageBreakBefore/>
        <w:pBdr>
          <w:bottom w:val="single" w:color="C8A84B" w:sz="4"/>
        </w:pBdr>
        <w:spacing w:after="160" w:before="240"/>
      </w:pPr>
      <w:r>
        <w:rPr>
          <w:rFonts w:ascii="Arial" w:cs="Arial" w:eastAsia="Arial" w:hAnsi="Arial"/>
          <w:b/>
          <w:bCs/>
          <w:color w:val="1B3A6B"/>
          <w:sz w:val="36"/>
          <w:szCs w:val="36"/>
        </w:rPr>
        <w:t xml:space="preserve">SECTION 6 — UI/UX &amp; ERP USABILITY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FFFFFF"/>
                <w:sz w:val="24"/>
                <w:szCs w:val="24"/>
              </w:rPr>
              <w:t xml:space="preserve">6.1  Accountant Workflow Gaps</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UX-01 [HIGH] — No Receivables Aging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UX-01  </w:t>
            </w:r>
            <w:r>
              <w:rPr>
                <w:rFonts w:ascii="Arial" w:cs="Arial" w:eastAsia="Arial" w:hAnsi="Arial"/>
                <w:b/>
                <w:bCs/>
                <w:color w:val="FFFFFF"/>
                <w:sz w:val="18"/>
                <w:szCs w:val="18"/>
              </w:rPr>
              <w:t xml:space="preserve">HIGH</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There is no accounts receivable aging report (Current / 30 days / 60 days / 90+ days). The dashboard shows only total outstanding balance per company. Accountants cannot identify overdue balances, prioritize collections, or apply credit holds.</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No aging route exists anywhere in app.py</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Collections management is entirely manual. Overdue accounts are not surfaced. Credit risk cannot be assessed systematically.</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UX-02 [HIGH] — No Accounts Payable Aging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UX-02  </w:t>
            </w:r>
            <w:r>
              <w:rPr>
                <w:rFonts w:ascii="Arial" w:cs="Arial" w:eastAsia="Arial" w:hAnsi="Arial"/>
                <w:b/>
                <w:bCs/>
                <w:color w:val="FFFFFF"/>
                <w:sz w:val="18"/>
                <w:szCs w:val="18"/>
              </w:rPr>
              <w:t xml:space="preserve">HIGH</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Similarly, there is no payables aging report. The supplier statement shows a running ledger, but no structured aging of what is owed to each supplier by time bucket. BSP weekly settlement amounts are not surfaced.</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No AP aging route in app.py</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Supplier payment terms cannot be tracked. Late payment penalties from suppliers are not anticipated. BSP settlement shortfall risk.</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UX-03 [MEDIUM] — Statement Balance Includes Both Receivable and Payable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UX-03  </w:t>
            </w:r>
            <w:r>
              <w:rPr>
                <w:rFonts w:ascii="Arial" w:cs="Arial" w:eastAsia="Arial" w:hAnsi="Arial"/>
                <w:b/>
                <w:bCs/>
                <w:color w:val="FFFFFF"/>
                <w:sz w:val="18"/>
                <w:szCs w:val="18"/>
              </w:rPr>
              <w:t xml:space="preserve">MEDIUM</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Company Statement (/statement) shows a combined ledger where the same entity can appear as both a customer (debit: sales) and a supplier (credit: purchases). Most accountants expect separate AR and AP ledgers. The "net balance" combining both directions is unusual and can confuse.</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1179–1393, statement() route</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Accountant confusion on dual-role entities. A company that is both a customer and a supplier shows a net position that hides the gross amounts owed in each direction.</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UX-04 [MEDIUM] — Dashboard Balance Excludes Archive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UX-04  </w:t>
            </w:r>
            <w:r>
              <w:rPr>
                <w:rFonts w:ascii="Arial" w:cs="Arial" w:eastAsia="Arial" w:hAnsi="Arial"/>
                <w:b/>
                <w:bCs/>
                <w:color w:val="FFFFFF"/>
                <w:sz w:val="18"/>
                <w:szCs w:val="18"/>
              </w:rPr>
              <w:t xml:space="preserve">MEDIUM</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dashboard KPI "Total Outstanding" (balance = total_sell - total_paid) filters AND is_archived=FALSE. This hides archival-period receivables from the primary management view. Archived data is accessible separately but not surfaced in the main balance.</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631–633, index() route</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Management dashboard shows incorrect (understated) outstanding balance after any archiving operation. Could mask significant overdue amounts in archived periods.</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UX-05 [MEDIUM] — No Profit-and-Loss Report by Period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UX-05  </w:t>
            </w:r>
            <w:r>
              <w:rPr>
                <w:rFonts w:ascii="Arial" w:cs="Arial" w:eastAsia="Arial" w:hAnsi="Arial"/>
                <w:b/>
                <w:bCs/>
                <w:color w:val="FFFFFF"/>
                <w:sz w:val="18"/>
                <w:szCs w:val="18"/>
              </w:rPr>
              <w:t xml:space="preserve">MEDIUM</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There is no P&amp;L report — no way to see revenue (total sell), cost of sales (total net), gross profit, and commission expense for a given date range. The dashboard shows totals but not a structured P&amp;L format.</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No P&amp;L route in app.py</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Management cannot assess monthly or quarterly profitability in a structured format. Budgeting and financial planning cannot be supported by the system.</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UX-06 [MEDIUM] — Invoice Status Does Not Affect AR Balance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UX-06  </w:t>
            </w:r>
            <w:r>
              <w:rPr>
                <w:rFonts w:ascii="Arial" w:cs="Arial" w:eastAsia="Arial" w:hAnsi="Arial"/>
                <w:b/>
                <w:bCs/>
                <w:color w:val="FFFFFF"/>
                <w:sz w:val="18"/>
                <w:szCs w:val="18"/>
              </w:rPr>
              <w:t xml:space="preserve">MEDIUM</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Invoices have PAID/UNPAID status that can be manually set. However, changing an invoice to PAID does not create a payment record and does not reduce the AR balance shown in statements. The invoice module is decorative relative to the actual AR system.</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app.py line 3114–3148, edit_invoice route — status update has no accounting effect</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Accountants may mark invoices as PAID assuming this settles the balance. The balance remains unchanged. The invoice ledger and the AR ledger are irreconcilable.</w:t>
            </w:r>
          </w:p>
        </w:tc>
      </w:tr>
    </w:tbl>
    <w:p>
      <w:pPr>
        <w:spacing w:after="60" w:before="60"/>
      </w:pPr>
      <w:r>
        <w:t xml:space="preserve"/>
      </w:r>
    </w:p>
    <w:p>
      <w:pPr>
        <w:pStyle w:val="Heading3"/>
        <w:spacing w:after="80" w:before="160"/>
      </w:pPr>
      <w:r>
        <w:rPr>
          <w:rFonts w:ascii="Arial" w:cs="Arial" w:eastAsia="Arial" w:hAnsi="Arial"/>
          <w:b/>
          <w:bCs/>
          <w:color w:val="C0392B"/>
          <w:sz w:val="24"/>
          <w:szCs w:val="24"/>
        </w:rPr>
        <w:t xml:space="preserve">UX-07 [LOW] — Add Sale Form is Identical for All Service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gridSpan w:val="2"/>
            <w:tcBorders>
              <w:top w:val="none" w:color="FFFFFF" w:sz="0"/>
              <w:left w:val="none" w:color="FFFFFF" w:sz="0"/>
              <w:bottom w:val="none" w:color="FFFFFF" w:sz="0"/>
              <w:right w:val="none" w:color="FFFFFF" w:sz="0"/>
            </w:tcBorders>
            <w:shd w:fill="1E7B34" w:val="clear"/>
            <w:tcMar>
              <w:top w:type="dxa" w:w="80"/>
              <w:left w:type="dxa" w:w="120"/>
              <w:bottom w:type="dxa" w:w="80"/>
              <w:right w:type="dxa" w:w="120"/>
            </w:tcMar>
          </w:tcPr>
          <w:p>
            <w:r>
              <w:rPr>
                <w:rFonts w:ascii="Arial" w:cs="Arial" w:eastAsia="Arial" w:hAnsi="Arial"/>
                <w:b/>
                <w:bCs/>
                <w:color w:val="FFFFFF"/>
                <w:sz w:val="20"/>
                <w:szCs w:val="20"/>
              </w:rPr>
              <w:t xml:space="preserve">UX-07  </w:t>
            </w:r>
            <w:r>
              <w:rPr>
                <w:rFonts w:ascii="Arial" w:cs="Arial" w:eastAsia="Arial" w:hAnsi="Arial"/>
                <w:b/>
                <w:bCs/>
                <w:color w:val="FFFFFF"/>
                <w:sz w:val="18"/>
                <w:szCs w:val="18"/>
              </w:rPr>
              <w:t xml:space="preserve">LOW</w:t>
            </w:r>
          </w:p>
        </w:tc>
      </w:tr>
      <w:tr>
        <w:tc>
          <w:tcPr>
            <w:tcW w:type="dxa" w:w="1800"/>
            <w:tcBorders>
              <w:top w:val="single" w:color="D0D5DD" w:sz="1"/>
              <w:left w:val="single" w:color="D0D5DD" w:sz="1"/>
              <w:bottom w:val="none" w:color="FFFFFF" w:sz="0"/>
              <w:right w:val="none" w:color="FFFFFF" w:sz="0"/>
            </w:tcBorders>
            <w:shd w:fill="F2F4F7" w:val="clear"/>
            <w:tcMar>
              <w:top w:type="dxa" w:w="60"/>
              <w:left w:type="dxa" w:w="120"/>
              <w:bottom w:type="dxa" w:w="40"/>
              <w:right w:type="dxa" w:w="80"/>
            </w:tcMar>
          </w:tcPr>
          <w:p>
            <w:r>
              <w:rPr>
                <w:rFonts w:ascii="Arial" w:cs="Arial" w:eastAsia="Arial" w:hAnsi="Arial"/>
                <w:b/>
                <w:bCs/>
                <w:color w:val="000000"/>
                <w:sz w:val="18"/>
                <w:szCs w:val="18"/>
              </w:rPr>
              <w:t xml:space="preserve">Finding</w:t>
            </w:r>
          </w:p>
        </w:tc>
        <w:tc>
          <w:tcPr>
            <w:tcBorders>
              <w:top w:val="single" w:color="D0D5DD" w:sz="1"/>
              <w:left w:val="none" w:color="FFFFFF" w:sz="0"/>
              <w:bottom w:val="none" w:color="FFFFFF" w:sz="0"/>
              <w:right w:val="single" w:color="D0D5DD" w:sz="1"/>
            </w:tcBorders>
            <w:tcMar>
              <w:top w:type="dxa" w:w="60"/>
              <w:left w:type="dxa" w:w="80"/>
              <w:bottom w:type="dxa" w:w="40"/>
              <w:right w:type="dxa" w:w="120"/>
            </w:tcMar>
          </w:tcPr>
          <w:p>
            <w:r>
              <w:rPr>
                <w:rFonts w:ascii="Arial" w:cs="Arial" w:eastAsia="Arial" w:hAnsi="Arial"/>
                <w:color w:val="000000"/>
                <w:sz w:val="19"/>
                <w:szCs w:val="19"/>
              </w:rPr>
              <w:t xml:space="preserve">The add.html form shows/hides sections based on service_type selection, but all fields are in a single form. This results in a very long, complex form. Service-specific validation (hotel checkin must be before checkout, visa passport required) is minimal.</w:t>
            </w:r>
          </w:p>
        </w:tc>
      </w:tr>
      <w:tr>
        <w:tc>
          <w:tcPr>
            <w:tcBorders>
              <w:top w:val="none" w:color="FFFFFF" w:sz="0"/>
              <w:left w:val="single" w:color="D0D5DD" w:sz="1"/>
              <w:bottom w:val="none" w:color="FFFFFF" w:sz="0"/>
              <w:right w:val="none" w:color="FFFFFF" w:sz="0"/>
            </w:tcBorders>
            <w:shd w:fill="F2F4F7" w:val="clear"/>
            <w:tcMar>
              <w:top w:type="dxa" w:w="40"/>
              <w:left w:type="dxa" w:w="120"/>
              <w:bottom w:type="dxa" w:w="40"/>
              <w:right w:type="dxa" w:w="80"/>
            </w:tcMar>
          </w:tcPr>
          <w:p>
            <w:r>
              <w:rPr>
                <w:rFonts w:ascii="Arial" w:cs="Arial" w:eastAsia="Arial" w:hAnsi="Arial"/>
                <w:b/>
                <w:bCs/>
                <w:color w:val="000000"/>
                <w:sz w:val="18"/>
                <w:szCs w:val="18"/>
              </w:rPr>
              <w:t xml:space="preserve">Location</w:t>
            </w:r>
          </w:p>
        </w:tc>
        <w:tc>
          <w:tcPr>
            <w:tcBorders>
              <w:top w:val="none" w:color="FFFFFF" w:sz="0"/>
              <w:left w:val="none" w:color="FFFFFF" w:sz="0"/>
              <w:bottom w:val="none" w:color="FFFFFF" w:sz="0"/>
              <w:right w:val="single" w:color="D0D5DD" w:sz="1"/>
            </w:tcBorders>
            <w:tcMar>
              <w:top w:type="dxa" w:w="40"/>
              <w:left w:type="dxa" w:w="80"/>
              <w:bottom w:type="dxa" w:w="40"/>
              <w:right w:type="dxa" w:w="120"/>
            </w:tcMar>
          </w:tcPr>
          <w:p>
            <w:r>
              <w:rPr>
                <w:rFonts w:ascii="Arial" w:cs="Arial" w:eastAsia="Arial" w:hAnsi="Arial"/>
                <w:i/>
                <w:iCs/>
                <w:color w:val="4A5568"/>
                <w:sz w:val="20"/>
                <w:szCs w:val="20"/>
              </w:rPr>
              <w:t xml:space="preserve">templates/add.html, app.py validate_sale_form() line 374–401</w:t>
            </w:r>
          </w:p>
        </w:tc>
      </w:tr>
      <w:tr>
        <w:tc>
          <w:tcPr>
            <w:tcBorders>
              <w:top w:val="none" w:color="FFFFFF" w:sz="0"/>
              <w:left w:val="single" w:color="D0D5DD" w:sz="1"/>
              <w:bottom w:val="single" w:color="D0D5DD" w:sz="1"/>
              <w:right w:val="none" w:color="FFFFFF" w:sz="0"/>
            </w:tcBorders>
            <w:shd w:fill="F2F4F7" w:val="clear"/>
            <w:tcMar>
              <w:top w:type="dxa" w:w="40"/>
              <w:left w:type="dxa" w:w="120"/>
              <w:bottom w:type="dxa" w:w="60"/>
              <w:right w:type="dxa" w:w="80"/>
            </w:tcMar>
          </w:tcPr>
          <w:p>
            <w:r>
              <w:rPr>
                <w:rFonts w:ascii="Arial" w:cs="Arial" w:eastAsia="Arial" w:hAnsi="Arial"/>
                <w:b/>
                <w:bCs/>
                <w:color w:val="000000"/>
                <w:sz w:val="18"/>
                <w:szCs w:val="18"/>
              </w:rPr>
              <w:t xml:space="preserve">Risk</w:t>
            </w:r>
          </w:p>
        </w:tc>
        <w:tc>
          <w:tcPr>
            <w:tcBorders>
              <w:top w:val="none" w:color="FFFFFF" w:sz="0"/>
              <w:left w:val="none" w:color="FFFFFF" w:sz="0"/>
              <w:bottom w:val="single" w:color="D0D5DD" w:sz="1"/>
              <w:right w:val="single" w:color="D0D5DD" w:sz="1"/>
            </w:tcBorders>
            <w:tcMar>
              <w:top w:type="dxa" w:w="40"/>
              <w:left w:type="dxa" w:w="80"/>
              <w:bottom w:type="dxa" w:w="60"/>
              <w:right w:type="dxa" w:w="120"/>
            </w:tcMar>
          </w:tcPr>
          <w:p>
            <w:r>
              <w:rPr>
                <w:rFonts w:ascii="Arial" w:cs="Arial" w:eastAsia="Arial" w:hAnsi="Arial"/>
                <w:color w:val="C0392B"/>
                <w:sz w:val="19"/>
                <w:szCs w:val="19"/>
              </w:rPr>
              <w:t xml:space="preserve">Data entry errors for service-specific fields. Operators unfamiliar with all service types see an overwhelming form. Validation gaps allow logically invalid records (hotel checkout before checkin).</w:t>
            </w:r>
          </w:p>
        </w:tc>
      </w:tr>
    </w:tbl>
    <w:p>
      <w:pPr>
        <w:spacing w:after="60" w:before="60"/>
      </w:pPr>
      <w:r>
        <w:t xml:space="preserve"/>
      </w:r>
    </w:p>
    <w:p>
      <w:r>
        <w:br w:type="page"/>
      </w:r>
    </w:p>
    <w:p>
      <w:pPr>
        <w:pStyle w:val="Heading1"/>
        <w:pageBreakBefore/>
        <w:pBdr>
          <w:bottom w:val="single" w:color="C8A84B" w:sz="4"/>
        </w:pBdr>
        <w:spacing w:after="160" w:before="240"/>
      </w:pPr>
      <w:r>
        <w:rPr>
          <w:rFonts w:ascii="Arial" w:cs="Arial" w:eastAsia="Arial" w:hAnsi="Arial"/>
          <w:b/>
          <w:bCs/>
          <w:color w:val="1B3A6B"/>
          <w:sz w:val="36"/>
          <w:szCs w:val="36"/>
        </w:rPr>
        <w:t xml:space="preserve">SECTION 7 — SAFE IMPROVEMENT PLAN</w:t>
      </w:r>
    </w:p>
    <w:p>
      <w:pPr>
        <w:pStyle w:val="Heading2"/>
        <w:spacing w:after="100" w:before="200"/>
      </w:pPr>
      <w:r>
        <w:rPr>
          <w:rFonts w:ascii="Arial" w:cs="Arial" w:eastAsia="Arial" w:hAnsi="Arial"/>
          <w:b/>
          <w:bCs/>
          <w:color w:val="1B3A6B"/>
          <w:sz w:val="28"/>
          <w:szCs w:val="28"/>
        </w:rPr>
        <w:t xml:space="preserve">7.1  IMMEDIATE SAFE FIXES — Apply This Week</w:t>
      </w:r>
    </w:p>
    <w:p>
      <w:pPr>
        <w:spacing w:after="60" w:before="60"/>
      </w:pPr>
      <w:r>
        <w:rPr>
          <w:rFonts w:ascii="Arial" w:cs="Arial" w:eastAsia="Arial" w:hAnsi="Arial"/>
          <w:color w:val="000000"/>
          <w:sz w:val="20"/>
          <w:szCs w:val="20"/>
        </w:rPr>
        <w:t xml:space="preserve">These changes carry LOW production risk and should be applied immediately. Each is a targeted, isolated fix requiring no schema migration.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FFFFFF"/>
                <w:sz w:val="24"/>
                <w:szCs w:val="24"/>
              </w:rPr>
              <w:t xml:space="preserve">Priority 1 — Zero-Risk Code Fixes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80"/>
            </w:tcMar>
          </w:tcPr>
          <w:p>
            <w:r>
              <w:rPr>
                <w:rFonts w:ascii="Arial" w:cs="Arial" w:eastAsia="Arial" w:hAnsi="Arial"/>
                <w:b/>
                <w:bCs/>
                <w:color w:val="FFFFFF"/>
                <w:sz w:val="19"/>
                <w:szCs w:val="19"/>
              </w:rPr>
              <w:t xml:space="preserve">Fix</w:t>
            </w:r>
          </w:p>
        </w:tc>
        <w:tc>
          <w:tcPr>
            <w:tcW w:type="dxa" w:w="6826"/>
            <w:tcBorders>
              <w:top w:val="single" w:color="D0D5DD" w:sz="1"/>
              <w:left w:val="single" w:color="D0D5DD" w:sz="1"/>
              <w:bottom w:val="single" w:color="D0D5DD" w:sz="1"/>
              <w:right w:val="single" w:color="D0D5DD" w:sz="1"/>
            </w:tcBorders>
            <w:shd w:fill="1B3A6B" w:val="clear"/>
            <w:tcMar>
              <w:top w:type="dxa" w:w="80"/>
              <w:left w:type="dxa" w:w="80"/>
              <w:bottom w:type="dxa" w:w="80"/>
              <w:right w:type="dxa" w:w="120"/>
            </w:tcMar>
          </w:tcPr>
          <w:p>
            <w:r>
              <w:rPr>
                <w:rFonts w:ascii="Arial" w:cs="Arial" w:eastAsia="Arial" w:hAnsi="Arial"/>
                <w:color w:val="FFFFFF"/>
                <w:sz w:val="19"/>
                <w:szCs w:val="19"/>
              </w:rPr>
              <w:t xml:space="preserve">Action Required</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SEC-01 — Disabled Login</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Add is_active check in login route: if not user.get("is_active", True): flash("Account disabled", "danger"). 2-line fix.</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SEC-06 — Open Redirect</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Validate next parameter is relative URL: if next_page.startswith("/") else url_for("index"). 1-line fix.</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SEC-03 — Session Expiry</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Add to app config: app.permanent_session_lifetime = timedelta(hours=8). Import timedelta at top.</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SEC-04 — Secret Key</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Add SECRET_KEY to Nginx/systemd environment, or create .env file. Add validation on startup that raises if SECRET_KEY == fallback.</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ACC-07 — Race Condition</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Change add_supplier_payment INSERT to use RETURNING id pattern (already used by all other inserts). 3-line fix.</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SEC-07 — Reset Data</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Add a second confirmation: require admin to type their own username as confirmation (not just "DELETE ALL DATA").</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ARCH-07 — Silent Email</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Log email failure to audit_logs. Change flash message to "Email queued — check inbox in 60 seconds" (honest messaging).</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ACC-02 — Ledger Validation Bug</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Fix validate_ledger_balance() SQL — the dynamic balance calculation double-subtracts supplier_payments. Rewrite to: sell_total - payments_received + purchases_from_supplier - paid_to_supplier.</w:t>
            </w:r>
          </w:p>
        </w:tc>
      </w:tr>
    </w:tbl>
    <w:p>
      <w:pPr>
        <w:spacing w:after="60" w:before="60"/>
      </w:pPr>
      <w:r>
        <w:t xml:space="preserve"/>
      </w:r>
    </w:p>
    <w:p>
      <w:pPr>
        <w:pStyle w:val="Heading2"/>
        <w:spacing w:after="100" w:before="200"/>
      </w:pPr>
      <w:r>
        <w:rPr>
          <w:rFonts w:ascii="Arial" w:cs="Arial" w:eastAsia="Arial" w:hAnsi="Arial"/>
          <w:b/>
          <w:bCs/>
          <w:color w:val="1B3A6B"/>
          <w:sz w:val="28"/>
          <w:szCs w:val="28"/>
        </w:rPr>
        <w:t xml:space="preserve">7.2  MEDIUM-TERM SAFE IMPROVEMENTS — Apply This Month</w:t>
      </w:r>
    </w:p>
    <w:p>
      <w:pPr>
        <w:spacing w:after="60" w:before="60"/>
      </w:pPr>
      <w:r>
        <w:rPr>
          <w:rFonts w:ascii="Arial" w:cs="Arial" w:eastAsia="Arial" w:hAnsi="Arial"/>
          <w:color w:val="000000"/>
          <w:sz w:val="20"/>
          <w:szCs w:val="20"/>
        </w:rPr>
        <w:t xml:space="preserve">These improvements require controlled development and testing but do not require dangerous migrations.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FFFFFF"/>
                <w:sz w:val="24"/>
                <w:szCs w:val="24"/>
              </w:rPr>
              <w:t xml:space="preserve">Priority 2 — Accounting Integrity</w:t>
            </w:r>
          </w:p>
        </w:tc>
      </w:tr>
    </w:tbl>
    <w:p>
      <w:pPr>
        <w:spacing w:after="60" w:before="60"/>
      </w:pPr>
      <w:r>
        <w:t xml:space="preserve"/>
      </w:r>
    </w:p>
    <w:p>
      <w:pPr>
        <w:pStyle w:val="ListParagraph"/>
        <w:numPr>
          <w:ilvl w:val="0"/>
          <w:numId w:val="3"/>
        </w:numPr>
        <w:spacing w:after="40" w:before="40"/>
      </w:pPr>
      <w:r>
        <w:rPr>
          <w:rFonts w:ascii="Arial" w:cs="Arial" w:eastAsia="Arial" w:hAnsi="Arial"/>
          <w:color w:val="000000"/>
          <w:sz w:val="20"/>
          <w:szCs w:val="20"/>
        </w:rPr>
        <w:t xml:space="preserve">Add CSRF protection using Flask-WTF or a custom CSRF token decorator. Apply to all POST routes. Estimated: 1-2 days work.</w:t>
      </w:r>
    </w:p>
    <w:p>
      <w:pPr>
        <w:pStyle w:val="ListParagraph"/>
        <w:numPr>
          <w:ilvl w:val="0"/>
          <w:numId w:val="3"/>
        </w:numPr>
        <w:spacing w:after="40" w:before="40"/>
      </w:pPr>
      <w:r>
        <w:rPr>
          <w:rFonts w:ascii="Arial" w:cs="Arial" w:eastAsia="Arial" w:hAnsi="Arial"/>
          <w:color w:val="000000"/>
          <w:sz w:val="20"/>
          <w:szCs w:val="20"/>
        </w:rPr>
        <w:t xml:space="preserve">Implement ledger reversal on payment and sale edits. Before any UPDATE to sales or payments, post a reversal entry to accounting_entries (is_reversed=TRUE), then post a new corrective entry. This preserves ledger immutability.</w:t>
      </w:r>
    </w:p>
    <w:p>
      <w:pPr>
        <w:pStyle w:val="ListParagraph"/>
        <w:numPr>
          <w:ilvl w:val="0"/>
          <w:numId w:val="3"/>
        </w:numPr>
        <w:spacing w:after="40" w:before="40"/>
      </w:pPr>
      <w:r>
        <w:rPr>
          <w:rFonts w:ascii="Arial" w:cs="Arial" w:eastAsia="Arial" w:hAnsi="Arial"/>
          <w:color w:val="000000"/>
          <w:sz w:val="20"/>
          <w:szCs w:val="20"/>
        </w:rPr>
        <w:t xml:space="preserve">Add duplicate payment warning: before inserting a payment, check if a payment of the same amount for the same company on the same or adjacent date exists within 24 hours. Show a confirmation dialog rather than blocking.</w:t>
      </w:r>
    </w:p>
    <w:p>
      <w:pPr>
        <w:pStyle w:val="ListParagraph"/>
        <w:numPr>
          <w:ilvl w:val="0"/>
          <w:numId w:val="3"/>
        </w:numPr>
        <w:spacing w:after="40" w:before="40"/>
      </w:pPr>
      <w:r>
        <w:rPr>
          <w:rFonts w:ascii="Arial" w:cs="Arial" w:eastAsia="Arial" w:hAnsi="Arial"/>
          <w:color w:val="000000"/>
          <w:sz w:val="20"/>
          <w:szCs w:val="20"/>
        </w:rPr>
        <w:t xml:space="preserve">Add ticket_number TEXT column to sales table (ALTER TABLE sales ADD COLUMN IF NOT EXISTS ticket_number TEXT DEFAULT ''). Backfill is not required — new records collect it going forward.</w:t>
      </w:r>
    </w:p>
    <w:p>
      <w:pPr>
        <w:pStyle w:val="ListParagraph"/>
        <w:numPr>
          <w:ilvl w:val="0"/>
          <w:numId w:val="3"/>
        </w:numPr>
        <w:spacing w:after="40" w:before="40"/>
      </w:pPr>
      <w:r>
        <w:rPr>
          <w:rFonts w:ascii="Arial" w:cs="Arial" w:eastAsia="Arial" w:hAnsi="Arial"/>
          <w:color w:val="000000"/>
          <w:sz w:val="20"/>
          <w:szCs w:val="20"/>
        </w:rPr>
        <w:t xml:space="preserve">Add a receivables aging report: a new route /report/aging that groups outstanding company balances into Current (0-30 days), 31-60, 61-90, and 90+ day buckets based on oldest unpaid sale date.</w:t>
      </w:r>
    </w:p>
    <w:p>
      <w:pPr>
        <w:pStyle w:val="ListParagraph"/>
        <w:numPr>
          <w:ilvl w:val="0"/>
          <w:numId w:val="3"/>
        </w:numPr>
        <w:spacing w:after="40" w:before="40"/>
      </w:pPr>
      <w:r>
        <w:rPr>
          <w:rFonts w:ascii="Arial" w:cs="Arial" w:eastAsia="Arial" w:hAnsi="Arial"/>
          <w:color w:val="000000"/>
          <w:sz w:val="20"/>
          <w:szCs w:val="20"/>
        </w:rPr>
        <w:t xml:space="preserve">Add rate limiting to login route using Flask-Limiter: @limiter.limit("5 per minute") on the login POST. Install: pip install flask-limiter.</w:t>
      </w:r>
    </w:p>
    <w:p>
      <w:pPr>
        <w:pStyle w:val="ListParagraph"/>
        <w:numPr>
          <w:ilvl w:val="0"/>
          <w:numId w:val="3"/>
        </w:numPr>
        <w:spacing w:after="40" w:before="40"/>
      </w:pPr>
      <w:r>
        <w:rPr>
          <w:rFonts w:ascii="Arial" w:cs="Arial" w:eastAsia="Arial" w:hAnsi="Arial"/>
          <w:color w:val="000000"/>
          <w:sz w:val="20"/>
          <w:szCs w:val="20"/>
        </w:rPr>
        <w:t xml:space="preserve">Move the deliver_tomorrow status auto-update to a scheduled task (cron or Celery beat) rather than running on page load. The page should only display — not trigger writes.</w:t>
      </w:r>
    </w:p>
    <w:p>
      <w:pPr>
        <w:spacing w:after="60" w:before="60"/>
      </w:pPr>
      <w:r>
        <w:t xml:space="preserve"/>
      </w:r>
    </w:p>
    <w:p>
      <w:pPr>
        <w:pStyle w:val="Heading2"/>
        <w:spacing w:after="100" w:before="200"/>
      </w:pPr>
      <w:r>
        <w:rPr>
          <w:rFonts w:ascii="Arial" w:cs="Arial" w:eastAsia="Arial" w:hAnsi="Arial"/>
          <w:b/>
          <w:bCs/>
          <w:color w:val="1B3A6B"/>
          <w:sz w:val="28"/>
          <w:szCs w:val="28"/>
        </w:rPr>
        <w:t xml:space="preserve">7.3  HIGH-RISK CHANGES — Require Planning, Backups, and Staged Rollout</w:t>
      </w:r>
    </w:p>
    <w:p>
      <w:pPr>
        <w:spacing w:after="60" w:before="60"/>
      </w:pPr>
      <w:r>
        <w:rPr>
          <w:rFonts w:ascii="Arial" w:cs="Arial" w:eastAsia="Arial" w:hAnsi="Arial"/>
          <w:color w:val="000000"/>
          <w:sz w:val="20"/>
          <w:szCs w:val="20"/>
        </w:rPr>
        <w:t xml:space="preserve">The following improvements are architecturally significant and require careful planning, database backups, and staged rollout with validation.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FFFFFF"/>
                <w:sz w:val="24"/>
                <w:szCs w:val="24"/>
              </w:rPr>
              <w:t xml:space="preserve">Priority 3 — Architecture &amp; Data Quality</w:t>
            </w:r>
          </w:p>
        </w:tc>
      </w:tr>
    </w:tbl>
    <w:p>
      <w:pPr>
        <w:spacing w:after="60" w:before="60"/>
      </w:pPr>
      <w:r>
        <w:t xml:space="preserve"/>
      </w:r>
    </w:p>
    <w:p>
      <w:pPr>
        <w:spacing w:after="60" w:before="60"/>
      </w:pPr>
      <w:r>
        <w:rPr>
          <w:rFonts w:ascii="Arial" w:cs="Arial" w:eastAsia="Arial" w:hAnsi="Arial"/>
          <w:color w:val="000000"/>
          <w:sz w:val="20"/>
          <w:szCs w:val="20"/>
        </w:rPr>
        <w:t xml:space="preserve">CHANGE 1: Verify and enforce NUMERIC(12,3) migration (DB-01)</w:t>
      </w:r>
    </w:p>
    <w:p>
      <w:pPr>
        <w:pStyle w:val="ListParagraph"/>
        <w:numPr>
          <w:ilvl w:val="0"/>
          <w:numId w:val="2"/>
        </w:numPr>
        <w:spacing w:after="40" w:before="40"/>
      </w:pPr>
      <w:r>
        <w:rPr>
          <w:rFonts w:ascii="Arial" w:cs="Arial" w:eastAsia="Arial" w:hAnsi="Arial"/>
          <w:color w:val="000000"/>
          <w:sz w:val="20"/>
          <w:szCs w:val="20"/>
        </w:rPr>
        <w:t xml:space="preserve">Take a full database backup before starting</w:t>
      </w:r>
    </w:p>
    <w:p>
      <w:pPr>
        <w:pStyle w:val="ListParagraph"/>
        <w:numPr>
          <w:ilvl w:val="0"/>
          <w:numId w:val="2"/>
        </w:numPr>
        <w:spacing w:after="40" w:before="40"/>
      </w:pPr>
      <w:r>
        <w:rPr>
          <w:rFonts w:ascii="Arial" w:cs="Arial" w:eastAsia="Arial" w:hAnsi="Arial"/>
          <w:color w:val="000000"/>
          <w:sz w:val="20"/>
          <w:szCs w:val="20"/>
        </w:rPr>
        <w:t xml:space="preserve">Run verification query: SELECT data_type FROM information_schema.columns WHERE table_name='sales' AND column_name='net'</w:t>
      </w:r>
    </w:p>
    <w:p>
      <w:pPr>
        <w:pStyle w:val="ListParagraph"/>
        <w:numPr>
          <w:ilvl w:val="0"/>
          <w:numId w:val="2"/>
        </w:numPr>
        <w:spacing w:after="40" w:before="40"/>
      </w:pPr>
      <w:r>
        <w:rPr>
          <w:rFonts w:ascii="Arial" w:cs="Arial" w:eastAsia="Arial" w:hAnsi="Arial"/>
          <w:color w:val="000000"/>
          <w:sz w:val="20"/>
          <w:szCs w:val="20"/>
        </w:rPr>
        <w:t xml:space="preserve">If "double precision": run ALTER TABLE statements manually in a transaction, verify row counts after each</w:t>
      </w:r>
    </w:p>
    <w:p>
      <w:pPr>
        <w:pStyle w:val="ListParagraph"/>
        <w:numPr>
          <w:ilvl w:val="0"/>
          <w:numId w:val="2"/>
        </w:numPr>
        <w:spacing w:after="40" w:before="40"/>
      </w:pPr>
      <w:r>
        <w:rPr>
          <w:rFonts w:ascii="Arial" w:cs="Arial" w:eastAsia="Arial" w:hAnsi="Arial"/>
          <w:color w:val="000000"/>
          <w:sz w:val="20"/>
          <w:szCs w:val="20"/>
        </w:rPr>
        <w:t xml:space="preserve">Add a startup assertion that raises if money columns are not NUMERIC type</w:t>
      </w:r>
    </w:p>
    <w:p>
      <w:pPr>
        <w:spacing w:after="60" w:before="60"/>
      </w:pPr>
      <w:r>
        <w:t xml:space="preserve"/>
      </w:r>
    </w:p>
    <w:p>
      <w:pPr>
        <w:spacing w:after="60" w:before="60"/>
      </w:pPr>
      <w:r>
        <w:rPr>
          <w:rFonts w:ascii="Arial" w:cs="Arial" w:eastAsia="Arial" w:hAnsi="Arial"/>
          <w:color w:val="000000"/>
          <w:sz w:val="20"/>
          <w:szCs w:val="20"/>
        </w:rPr>
        <w:t xml:space="preserve">CHANGE 2: Migrate date TEXT columns to proper DATE type (DB-02)</w:t>
      </w:r>
    </w:p>
    <w:p>
      <w:pPr>
        <w:pStyle w:val="ListParagraph"/>
        <w:numPr>
          <w:ilvl w:val="0"/>
          <w:numId w:val="2"/>
        </w:numPr>
        <w:spacing w:after="40" w:before="40"/>
      </w:pPr>
      <w:r>
        <w:rPr>
          <w:rFonts w:ascii="Arial" w:cs="Arial" w:eastAsia="Arial" w:hAnsi="Arial"/>
          <w:color w:val="000000"/>
          <w:sz w:val="20"/>
          <w:szCs w:val="20"/>
        </w:rPr>
        <w:t xml:space="preserve">This is a breaking change — requires careful data validation first</w:t>
      </w:r>
    </w:p>
    <w:p>
      <w:pPr>
        <w:pStyle w:val="ListParagraph"/>
        <w:numPr>
          <w:ilvl w:val="0"/>
          <w:numId w:val="2"/>
        </w:numPr>
        <w:spacing w:after="40" w:before="40"/>
      </w:pPr>
      <w:r>
        <w:rPr>
          <w:rFonts w:ascii="Arial" w:cs="Arial" w:eastAsia="Arial" w:hAnsi="Arial"/>
          <w:color w:val="000000"/>
          <w:sz w:val="20"/>
          <w:szCs w:val="20"/>
        </w:rPr>
        <w:t xml:space="preserve">Run: SELECT sale_date FROM sales WHERE sale_date !~ '^[0-9]{4}-[0-9]{2}-[0-9]{2}$' to find invalid dates</w:t>
      </w:r>
    </w:p>
    <w:p>
      <w:pPr>
        <w:pStyle w:val="ListParagraph"/>
        <w:numPr>
          <w:ilvl w:val="0"/>
          <w:numId w:val="2"/>
        </w:numPr>
        <w:spacing w:after="40" w:before="40"/>
      </w:pPr>
      <w:r>
        <w:rPr>
          <w:rFonts w:ascii="Arial" w:cs="Arial" w:eastAsia="Arial" w:hAnsi="Arial"/>
          <w:color w:val="000000"/>
          <w:sz w:val="20"/>
          <w:szCs w:val="20"/>
        </w:rPr>
        <w:t xml:space="preserve">Fix invalid dates, then ALTER TABLE with USING sale_date::DATE</w:t>
      </w:r>
    </w:p>
    <w:p>
      <w:pPr>
        <w:pStyle w:val="ListParagraph"/>
        <w:numPr>
          <w:ilvl w:val="0"/>
          <w:numId w:val="2"/>
        </w:numPr>
        <w:spacing w:after="40" w:before="40"/>
      </w:pPr>
      <w:r>
        <w:rPr>
          <w:rFonts w:ascii="Arial" w:cs="Arial" w:eastAsia="Arial" w:hAnsi="Arial"/>
          <w:color w:val="000000"/>
          <w:sz w:val="20"/>
          <w:szCs w:val="20"/>
        </w:rPr>
        <w:t xml:space="preserve">Update all application queries to remove TO_DATE() wrapper functions</w:t>
      </w:r>
    </w:p>
    <w:p>
      <w:pPr>
        <w:pStyle w:val="ListParagraph"/>
        <w:numPr>
          <w:ilvl w:val="0"/>
          <w:numId w:val="2"/>
        </w:numPr>
        <w:spacing w:after="40" w:before="40"/>
      </w:pPr>
      <w:r>
        <w:rPr>
          <w:rFonts w:ascii="Arial" w:cs="Arial" w:eastAsia="Arial" w:hAnsi="Arial"/>
          <w:color w:val="000000"/>
          <w:sz w:val="20"/>
          <w:szCs w:val="20"/>
        </w:rPr>
        <w:t xml:space="preserve">Test all date filters before deploying — this affects ALL queries</w:t>
      </w:r>
    </w:p>
    <w:p>
      <w:pPr>
        <w:spacing w:after="60" w:before="60"/>
      </w:pPr>
      <w:r>
        <w:t xml:space="preserve"/>
      </w:r>
    </w:p>
    <w:p>
      <w:pPr>
        <w:spacing w:after="60" w:before="60"/>
      </w:pPr>
      <w:r>
        <w:rPr>
          <w:rFonts w:ascii="Arial" w:cs="Arial" w:eastAsia="Arial" w:hAnsi="Arial"/>
          <w:color w:val="000000"/>
          <w:sz w:val="20"/>
          <w:szCs w:val="20"/>
        </w:rPr>
        <w:t xml:space="preserve">CHANGE 3: Implement proper connection pooling (ARCH-03)</w:t>
      </w:r>
    </w:p>
    <w:p>
      <w:pPr>
        <w:pStyle w:val="ListParagraph"/>
        <w:numPr>
          <w:ilvl w:val="0"/>
          <w:numId w:val="2"/>
        </w:numPr>
        <w:spacing w:after="40" w:before="40"/>
      </w:pPr>
      <w:r>
        <w:rPr>
          <w:rFonts w:ascii="Arial" w:cs="Arial" w:eastAsia="Arial" w:hAnsi="Arial"/>
          <w:color w:val="000000"/>
          <w:sz w:val="20"/>
          <w:szCs w:val="20"/>
        </w:rPr>
        <w:t xml:space="preserve">Install psycopg2 connection pool: from psycopg2 import pool</w:t>
      </w:r>
    </w:p>
    <w:p>
      <w:pPr>
        <w:pStyle w:val="ListParagraph"/>
        <w:numPr>
          <w:ilvl w:val="0"/>
          <w:numId w:val="2"/>
        </w:numPr>
        <w:spacing w:after="40" w:before="40"/>
      </w:pPr>
      <w:r>
        <w:rPr>
          <w:rFonts w:ascii="Arial" w:cs="Arial" w:eastAsia="Arial" w:hAnsi="Arial"/>
          <w:color w:val="000000"/>
          <w:sz w:val="20"/>
          <w:szCs w:val="20"/>
        </w:rPr>
        <w:t xml:space="preserve">Replace per-request connection creation with pool.getconn()/putconn()</w:t>
      </w:r>
    </w:p>
    <w:p>
      <w:pPr>
        <w:pStyle w:val="ListParagraph"/>
        <w:numPr>
          <w:ilvl w:val="0"/>
          <w:numId w:val="2"/>
        </w:numPr>
        <w:spacing w:after="40" w:before="40"/>
      </w:pPr>
      <w:r>
        <w:rPr>
          <w:rFonts w:ascii="Arial" w:cs="Arial" w:eastAsia="Arial" w:hAnsi="Arial"/>
          <w:color w:val="000000"/>
          <w:sz w:val="20"/>
          <w:szCs w:val="20"/>
        </w:rPr>
        <w:t xml:space="preserve">Alternatively: add PgBouncer in front of PostgreSQL — no application code change required</w:t>
      </w:r>
    </w:p>
    <w:p>
      <w:pPr>
        <w:pStyle w:val="ListParagraph"/>
        <w:numPr>
          <w:ilvl w:val="0"/>
          <w:numId w:val="2"/>
        </w:numPr>
        <w:spacing w:after="40" w:before="40"/>
      </w:pPr>
      <w:r>
        <w:rPr>
          <w:rFonts w:ascii="Arial" w:cs="Arial" w:eastAsia="Arial" w:hAnsi="Arial"/>
          <w:color w:val="000000"/>
          <w:sz w:val="20"/>
          <w:szCs w:val="20"/>
        </w:rPr>
        <w:t xml:space="preserve">Recommended: PgBouncer in transaction mode, pool size = Gunicorn workers × 2</w:t>
      </w:r>
    </w:p>
    <w:p>
      <w:pPr>
        <w:spacing w:after="60" w:before="60"/>
      </w:pPr>
      <w:r>
        <w:t xml:space="preserve"/>
      </w:r>
    </w:p>
    <w:p>
      <w:pPr>
        <w:spacing w:after="60" w:before="60"/>
      </w:pPr>
      <w:r>
        <w:rPr>
          <w:rFonts w:ascii="Arial" w:cs="Arial" w:eastAsia="Arial" w:hAnsi="Arial"/>
          <w:color w:val="000000"/>
          <w:sz w:val="20"/>
          <w:szCs w:val="20"/>
        </w:rPr>
        <w:t xml:space="preserve">CHANGE 4: Archive balance preservation (ACC-03)</w:t>
      </w:r>
    </w:p>
    <w:p>
      <w:pPr>
        <w:pStyle w:val="ListParagraph"/>
        <w:numPr>
          <w:ilvl w:val="0"/>
          <w:numId w:val="2"/>
        </w:numPr>
        <w:spacing w:after="40" w:before="40"/>
      </w:pPr>
      <w:r>
        <w:rPr>
          <w:rFonts w:ascii="Arial" w:cs="Arial" w:eastAsia="Arial" w:hAnsi="Arial"/>
          <w:color w:val="000000"/>
          <w:sz w:val="20"/>
          <w:szCs w:val="20"/>
        </w:rPr>
        <w:t xml:space="preserve">Implement an "opening balance" concept: when archiving, compute and store the opening balance for each company</w:t>
      </w:r>
    </w:p>
    <w:p>
      <w:pPr>
        <w:pStyle w:val="ListParagraph"/>
        <w:numPr>
          <w:ilvl w:val="0"/>
          <w:numId w:val="2"/>
        </w:numPr>
        <w:spacing w:after="40" w:before="40"/>
      </w:pPr>
      <w:r>
        <w:rPr>
          <w:rFonts w:ascii="Arial" w:cs="Arial" w:eastAsia="Arial" w:hAnsi="Arial"/>
          <w:color w:val="000000"/>
          <w:sz w:val="20"/>
          <w:szCs w:val="20"/>
        </w:rPr>
        <w:t xml:space="preserve">Statement query adds: opening_balance + ledger_entries_since_archive = current_balance</w:t>
      </w:r>
    </w:p>
    <w:p>
      <w:pPr>
        <w:pStyle w:val="ListParagraph"/>
        <w:numPr>
          <w:ilvl w:val="0"/>
          <w:numId w:val="2"/>
        </w:numPr>
        <w:spacing w:after="40" w:before="40"/>
      </w:pPr>
      <w:r>
        <w:rPr>
          <w:rFonts w:ascii="Arial" w:cs="Arial" w:eastAsia="Arial" w:hAnsi="Arial"/>
          <w:color w:val="000000"/>
          <w:sz w:val="20"/>
          <w:szCs w:val="20"/>
        </w:rPr>
        <w:t xml:space="preserve">This requires a new company_opening_balances table with (company, period_date, balance)</w:t>
      </w:r>
    </w:p>
    <w:p>
      <w:pPr>
        <w:spacing w:after="60" w:before="60"/>
      </w:pPr>
      <w:r>
        <w:t xml:space="preserve"/>
      </w:r>
    </w:p>
    <w:p>
      <w:pPr>
        <w:spacing w:after="60" w:before="60"/>
      </w:pPr>
      <w:r>
        <w:rPr>
          <w:rFonts w:ascii="Arial" w:cs="Arial" w:eastAsia="Arial" w:hAnsi="Arial"/>
          <w:color w:val="000000"/>
          <w:sz w:val="20"/>
          <w:szCs w:val="20"/>
        </w:rPr>
        <w:t xml:space="preserve">CHANGE 5: Modularize app.py (ARCH-02)</w:t>
      </w:r>
    </w:p>
    <w:p>
      <w:pPr>
        <w:pStyle w:val="ListParagraph"/>
        <w:numPr>
          <w:ilvl w:val="0"/>
          <w:numId w:val="2"/>
        </w:numPr>
        <w:spacing w:after="40" w:before="40"/>
      </w:pPr>
      <w:r>
        <w:rPr>
          <w:rFonts w:ascii="Arial" w:cs="Arial" w:eastAsia="Arial" w:hAnsi="Arial"/>
          <w:color w:val="000000"/>
          <w:sz w:val="20"/>
          <w:szCs w:val="20"/>
        </w:rPr>
        <w:t xml:space="preserve">Create a blueprints/ directory</w:t>
      </w:r>
    </w:p>
    <w:p>
      <w:pPr>
        <w:pStyle w:val="ListParagraph"/>
        <w:numPr>
          <w:ilvl w:val="0"/>
          <w:numId w:val="2"/>
        </w:numPr>
        <w:spacing w:after="40" w:before="40"/>
      </w:pPr>
      <w:r>
        <w:rPr>
          <w:rFonts w:ascii="Arial" w:cs="Arial" w:eastAsia="Arial" w:hAnsi="Arial"/>
          <w:color w:val="000000"/>
          <w:sz w:val="20"/>
          <w:szCs w:val="20"/>
        </w:rPr>
        <w:t xml:space="preserve">Extract routes into: blueprints/sales.py, blueprints/payments.py, blueprints/accounting.py, blueprints/documents.py, blueprints/auth.py, blueprints/admin.py</w:t>
      </w:r>
    </w:p>
    <w:p>
      <w:pPr>
        <w:pStyle w:val="ListParagraph"/>
        <w:numPr>
          <w:ilvl w:val="0"/>
          <w:numId w:val="2"/>
        </w:numPr>
        <w:spacing w:after="40" w:before="40"/>
      </w:pPr>
      <w:r>
        <w:rPr>
          <w:rFonts w:ascii="Arial" w:cs="Arial" w:eastAsia="Arial" w:hAnsi="Arial"/>
          <w:color w:val="000000"/>
          <w:sz w:val="20"/>
          <w:szCs w:val="20"/>
        </w:rPr>
        <w:t xml:space="preserve">Create services/: services/accounting.py (post_ledger, reconcile), services/documents.py (next_doc_number)</w:t>
      </w:r>
    </w:p>
    <w:p>
      <w:pPr>
        <w:pStyle w:val="ListParagraph"/>
        <w:numPr>
          <w:ilvl w:val="0"/>
          <w:numId w:val="2"/>
        </w:numPr>
        <w:spacing w:after="40" w:before="40"/>
      </w:pPr>
      <w:r>
        <w:rPr>
          <w:rFonts w:ascii="Arial" w:cs="Arial" w:eastAsia="Arial" w:hAnsi="Arial"/>
          <w:color w:val="000000"/>
          <w:sz w:val="20"/>
          <w:szCs w:val="20"/>
        </w:rPr>
        <w:t xml:space="preserve">This is a 2-3 week refactoring effort — must be done with comprehensive testing</w:t>
      </w:r>
    </w:p>
    <w:p>
      <w:pPr>
        <w:spacing w:after="60" w:before="60"/>
      </w:pPr>
      <w:r>
        <w:t xml:space="preserve"/>
      </w:r>
    </w:p>
    <w:p>
      <w:r>
        <w:br w:type="page"/>
      </w:r>
    </w:p>
    <w:p>
      <w:pPr>
        <w:pStyle w:val="Heading1"/>
        <w:pageBreakBefore/>
        <w:pBdr>
          <w:bottom w:val="single" w:color="C8A84B" w:sz="4"/>
        </w:pBdr>
        <w:spacing w:after="160" w:before="240"/>
      </w:pPr>
      <w:r>
        <w:rPr>
          <w:rFonts w:ascii="Arial" w:cs="Arial" w:eastAsia="Arial" w:hAnsi="Arial"/>
          <w:b/>
          <w:bCs/>
          <w:color w:val="1B3A6B"/>
          <w:sz w:val="36"/>
          <w:szCs w:val="36"/>
        </w:rPr>
        <w:t xml:space="preserve">SECTION 8 — CRITICAL PRIORITY ISSUES RANKED</w:t>
      </w:r>
    </w:p>
    <w:p>
      <w:pPr>
        <w:spacing w:after="60" w:before="60"/>
      </w:pPr>
      <w:r>
        <w:rPr>
          <w:rFonts w:ascii="Arial" w:cs="Arial" w:eastAsia="Arial" w:hAnsi="Arial"/>
          <w:color w:val="000000"/>
          <w:sz w:val="20"/>
          <w:szCs w:val="20"/>
        </w:rPr>
        <w:t xml:space="preserve">The following table ranks ALL critical and high findings by combined severity, production risk, and accounting risk. Use this as your action priority queue.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3526"/>
        <w:gridCol w:w="2000"/>
        <w:gridCol w:w="2000"/>
      </w:tblGrid>
      <w:tr>
        <w:tc>
          <w:tcPr>
            <w:tcW w:type="dxa" w:w="600"/>
            <w:tcBorders>
              <w:top w:val="single" w:color="D0D5DD" w:sz="1"/>
              <w:left w:val="single" w:color="D0D5DD" w:sz="1"/>
              <w:bottom w:val="single" w:color="D0D5DD" w:sz="1"/>
              <w:right w:val="single" w:color="D0D5DD" w:sz="1"/>
            </w:tcBorders>
            <w:shd w:fill="1B3A6B" w:val="clear"/>
            <w:tcMar>
              <w:top w:type="dxa" w:w="80"/>
              <w:left w:type="dxa" w:w="100"/>
              <w:bottom w:type="dxa" w:w="80"/>
              <w:right w:type="dxa" w:w="80"/>
            </w:tcMar>
          </w:tcPr>
          <w:p>
            <w:r>
              <w:rPr>
                <w:rFonts w:ascii="Arial" w:cs="Arial" w:eastAsia="Arial" w:hAnsi="Arial"/>
                <w:b/>
                <w:bCs/>
                <w:color w:val="FFFFFF"/>
                <w:sz w:val="18"/>
                <w:szCs w:val="18"/>
              </w:rPr>
              <w:t xml:space="preserve">Rank</w:t>
            </w:r>
          </w:p>
        </w:tc>
        <w:tc>
          <w:tcPr>
            <w:tcW w:type="dxa" w:w="900"/>
            <w:tcBorders>
              <w:top w:val="single" w:color="D0D5DD" w:sz="1"/>
              <w:left w:val="single" w:color="D0D5DD" w:sz="1"/>
              <w:bottom w:val="single" w:color="D0D5DD" w:sz="1"/>
              <w:right w:val="single" w:color="D0D5DD" w:sz="1"/>
            </w:tcBorders>
            <w:shd w:fill="1B3A6B" w:val="clear"/>
            <w:tcMar>
              <w:top w:type="dxa" w:w="80"/>
              <w:left w:type="dxa" w:w="100"/>
              <w:bottom w:type="dxa" w:w="80"/>
              <w:right w:type="dxa" w:w="80"/>
            </w:tcMar>
          </w:tcPr>
          <w:p>
            <w:r>
              <w:rPr>
                <w:rFonts w:ascii="Arial" w:cs="Arial" w:eastAsia="Arial" w:hAnsi="Arial"/>
                <w:b/>
                <w:bCs/>
                <w:color w:val="FFFFFF"/>
                <w:sz w:val="18"/>
                <w:szCs w:val="18"/>
              </w:rPr>
              <w:t xml:space="preserve">ID</w:t>
            </w:r>
          </w:p>
        </w:tc>
        <w:tc>
          <w:tcPr>
            <w:tcW w:type="dxa" w:w="3526"/>
            <w:tcBorders>
              <w:top w:val="single" w:color="D0D5DD" w:sz="1"/>
              <w:left w:val="single" w:color="D0D5DD" w:sz="1"/>
              <w:bottom w:val="single" w:color="D0D5DD" w:sz="1"/>
              <w:right w:val="single" w:color="D0D5DD" w:sz="1"/>
            </w:tcBorders>
            <w:shd w:fill="1B3A6B" w:val="clear"/>
            <w:tcMar>
              <w:top w:type="dxa" w:w="80"/>
              <w:left w:type="dxa" w:w="100"/>
              <w:bottom w:type="dxa" w:w="80"/>
              <w:right w:type="dxa" w:w="80"/>
            </w:tcMar>
          </w:tcPr>
          <w:p>
            <w:r>
              <w:rPr>
                <w:rFonts w:ascii="Arial" w:cs="Arial" w:eastAsia="Arial" w:hAnsi="Arial"/>
                <w:b/>
                <w:bCs/>
                <w:color w:val="FFFFFF"/>
                <w:sz w:val="18"/>
                <w:szCs w:val="18"/>
              </w:rPr>
              <w:t xml:space="preserve">Issue</w:t>
            </w:r>
          </w:p>
        </w:tc>
        <w:tc>
          <w:tcPr>
            <w:tcW w:type="dxa" w:w="2000"/>
            <w:tcBorders>
              <w:top w:val="single" w:color="D0D5DD" w:sz="1"/>
              <w:left w:val="single" w:color="D0D5DD" w:sz="1"/>
              <w:bottom w:val="single" w:color="D0D5DD" w:sz="1"/>
              <w:right w:val="single" w:color="D0D5DD" w:sz="1"/>
            </w:tcBorders>
            <w:shd w:fill="1B3A6B" w:val="clear"/>
            <w:tcMar>
              <w:top w:type="dxa" w:w="80"/>
              <w:left w:type="dxa" w:w="100"/>
              <w:bottom w:type="dxa" w:w="80"/>
              <w:right w:type="dxa" w:w="80"/>
            </w:tcMar>
          </w:tcPr>
          <w:p>
            <w:r>
              <w:rPr>
                <w:rFonts w:ascii="Arial" w:cs="Arial" w:eastAsia="Arial" w:hAnsi="Arial"/>
                <w:b/>
                <w:bCs/>
                <w:color w:val="FFFFFF"/>
                <w:sz w:val="18"/>
                <w:szCs w:val="18"/>
              </w:rPr>
              <w:t xml:space="preserve">Production Risk</w:t>
            </w:r>
          </w:p>
        </w:tc>
        <w:tc>
          <w:tcPr>
            <w:tcW w:type="dxa" w:w="2000"/>
            <w:tcBorders>
              <w:top w:val="single" w:color="D0D5DD" w:sz="1"/>
              <w:left w:val="single" w:color="D0D5DD" w:sz="1"/>
              <w:bottom w:val="single" w:color="D0D5DD" w:sz="1"/>
              <w:right w:val="single" w:color="D0D5DD" w:sz="1"/>
            </w:tcBorders>
            <w:shd w:fill="1B3A6B" w:val="clear"/>
            <w:tcMar>
              <w:top w:type="dxa" w:w="80"/>
              <w:left w:type="dxa" w:w="100"/>
              <w:bottom w:type="dxa" w:w="80"/>
              <w:right w:type="dxa" w:w="80"/>
            </w:tcMar>
          </w:tcPr>
          <w:p>
            <w:r>
              <w:rPr>
                <w:rFonts w:ascii="Arial" w:cs="Arial" w:eastAsia="Arial" w:hAnsi="Arial"/>
                <w:b/>
                <w:bCs/>
                <w:color w:val="FFFFFF"/>
                <w:sz w:val="18"/>
                <w:szCs w:val="18"/>
              </w:rPr>
              <w:t xml:space="preserve">Accounting Risk</w:t>
            </w:r>
          </w:p>
        </w:tc>
      </w:tr>
      <w:tr>
        <w:tc>
          <w:tcPr>
            <w:tcW w:type="dxa" w:w="600"/>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1</w:t>
            </w:r>
          </w:p>
        </w:tc>
        <w:tc>
          <w:tcPr>
            <w:tcW w:type="dxa" w:w="900"/>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tcPr>
          <w:p>
            <w:r>
              <w:rPr>
                <w:rFonts w:ascii="Arial" w:cs="Arial" w:eastAsia="Arial" w:hAnsi="Arial"/>
                <w:b/>
                <w:bCs/>
                <w:color w:val="C0392B"/>
                <w:sz w:val="18"/>
                <w:szCs w:val="18"/>
              </w:rPr>
              <w:t xml:space="preserve">SEC-02</w:t>
            </w:r>
          </w:p>
        </w:tc>
        <w:tc>
          <w:tcPr>
            <w:tcW w:type="dxa" w:w="3526"/>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tcPr>
          <w:p>
            <w:r>
              <w:rPr>
                <w:rFonts w:ascii="Arial" w:cs="Arial" w:eastAsia="Arial" w:hAnsi="Arial"/>
                <w:sz w:val="18"/>
                <w:szCs w:val="18"/>
              </w:rPr>
              <w:t xml:space="preserve">No CSRF — payment forms deletable by attacker</w:t>
            </w:r>
          </w:p>
        </w:tc>
        <w:tc>
          <w:tcPr>
            <w:tcW w:type="dxa" w:w="2000"/>
            <w:tcBorders>
              <w:top w:val="single" w:color="D0D5DD" w:sz="1"/>
              <w:left w:val="single" w:color="D0D5DD" w:sz="1"/>
              <w:bottom w:val="single" w:color="D0D5DD" w:sz="1"/>
              <w:right w:val="single" w:color="D0D5DD" w:sz="1"/>
            </w:tcBorders>
            <w:shd w:fill="FEE2E2" w:val="clear"/>
            <w:tcMar>
              <w:top w:type="dxa" w:w="60"/>
              <w:left w:type="dxa" w:w="80"/>
              <w:bottom w:type="dxa" w:w="60"/>
              <w:right w:type="dxa" w:w="80"/>
            </w:tcMar>
          </w:tcPr>
          <w:p>
            <w:pPr>
              <w:jc w:val="center"/>
            </w:pPr>
            <w:r>
              <w:rPr>
                <w:rFonts w:ascii="Arial" w:cs="Arial" w:eastAsia="Arial" w:hAnsi="Arial"/>
                <w:b/>
                <w:bCs/>
                <w:color w:val="C0392B"/>
                <w:sz w:val="17"/>
                <w:szCs w:val="17"/>
              </w:rPr>
              <w:t xml:space="preserve">CRITICAL</w:t>
            </w:r>
          </w:p>
        </w:tc>
        <w:tc>
          <w:tcPr>
            <w:tcW w:type="dxa" w:w="2000"/>
            <w:tcBorders>
              <w:top w:val="single" w:color="D0D5DD" w:sz="1"/>
              <w:left w:val="single" w:color="D0D5DD" w:sz="1"/>
              <w:bottom w:val="single" w:color="D0D5DD" w:sz="1"/>
              <w:right w:val="single" w:color="D0D5DD" w:sz="1"/>
            </w:tcBorders>
            <w:shd w:fill="FEE2E2" w:val="clear"/>
            <w:tcMar>
              <w:top w:type="dxa" w:w="60"/>
              <w:left w:type="dxa" w:w="80"/>
              <w:bottom w:type="dxa" w:w="60"/>
              <w:right w:type="dxa" w:w="80"/>
            </w:tcMar>
          </w:tcPr>
          <w:p>
            <w:pPr>
              <w:jc w:val="center"/>
            </w:pPr>
            <w:r>
              <w:rPr>
                <w:rFonts w:ascii="Arial" w:cs="Arial" w:eastAsia="Arial" w:hAnsi="Arial"/>
                <w:b/>
                <w:bCs/>
                <w:color w:val="C0392B"/>
                <w:sz w:val="17"/>
                <w:szCs w:val="17"/>
              </w:rPr>
              <w:t xml:space="preserve">CRITICAL</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2</w:t>
            </w:r>
          </w:p>
        </w:tc>
        <w:tc>
          <w:tcPr>
            <w:tcW w:type="dxa" w:w="900"/>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tcPr>
          <w:p>
            <w:r>
              <w:rPr>
                <w:rFonts w:ascii="Arial" w:cs="Arial" w:eastAsia="Arial" w:hAnsi="Arial"/>
                <w:b/>
                <w:bCs/>
                <w:color w:val="C0392B"/>
                <w:sz w:val="18"/>
                <w:szCs w:val="18"/>
              </w:rPr>
              <w:t xml:space="preserve">SEC-01</w:t>
            </w:r>
          </w:p>
        </w:tc>
        <w:tc>
          <w:tcPr>
            <w:tcW w:type="dxa" w:w="3526"/>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tcPr>
          <w:p>
            <w:r>
              <w:rPr>
                <w:rFonts w:ascii="Arial" w:cs="Arial" w:eastAsia="Arial" w:hAnsi="Arial"/>
                <w:sz w:val="18"/>
                <w:szCs w:val="18"/>
              </w:rPr>
              <w:t xml:space="preserve">Disabled users can still login</w:t>
            </w:r>
          </w:p>
        </w:tc>
        <w:tc>
          <w:tcPr>
            <w:tcW w:type="dxa" w:w="2000"/>
            <w:tcBorders>
              <w:top w:val="single" w:color="D0D5DD" w:sz="1"/>
              <w:left w:val="single" w:color="D0D5DD" w:sz="1"/>
              <w:bottom w:val="single" w:color="D0D5DD" w:sz="1"/>
              <w:right w:val="single" w:color="D0D5DD" w:sz="1"/>
            </w:tcBorders>
            <w:shd w:fill="FEE2E2" w:val="clear"/>
            <w:tcMar>
              <w:top w:type="dxa" w:w="60"/>
              <w:left w:type="dxa" w:w="80"/>
              <w:bottom w:type="dxa" w:w="60"/>
              <w:right w:type="dxa" w:w="80"/>
            </w:tcMar>
          </w:tcPr>
          <w:p>
            <w:pPr>
              <w:jc w:val="center"/>
            </w:pPr>
            <w:r>
              <w:rPr>
                <w:rFonts w:ascii="Arial" w:cs="Arial" w:eastAsia="Arial" w:hAnsi="Arial"/>
                <w:b/>
                <w:bCs/>
                <w:color w:val="C0392B"/>
                <w:sz w:val="17"/>
                <w:szCs w:val="17"/>
              </w:rPr>
              <w:t xml:space="preserve">CRITICAL</w:t>
            </w:r>
          </w:p>
        </w:tc>
        <w:tc>
          <w:tcPr>
            <w:tcW w:type="dxa" w:w="2000"/>
            <w:tcBorders>
              <w:top w:val="single" w:color="D0D5DD" w:sz="1"/>
              <w:left w:val="single" w:color="D0D5DD" w:sz="1"/>
              <w:bottom w:val="single" w:color="D0D5DD" w:sz="1"/>
              <w:right w:val="single" w:color="D0D5DD" w:sz="1"/>
            </w:tcBorders>
            <w:shd w:fill="FEE2E2" w:val="clear"/>
            <w:tcMar>
              <w:top w:type="dxa" w:w="60"/>
              <w:left w:type="dxa" w:w="80"/>
              <w:bottom w:type="dxa" w:w="60"/>
              <w:right w:type="dxa" w:w="80"/>
            </w:tcMar>
          </w:tcPr>
          <w:p>
            <w:pPr>
              <w:jc w:val="center"/>
            </w:pPr>
            <w:r>
              <w:rPr>
                <w:rFonts w:ascii="Arial" w:cs="Arial" w:eastAsia="Arial" w:hAnsi="Arial"/>
                <w:b/>
                <w:bCs/>
                <w:color w:val="C0392B"/>
                <w:sz w:val="17"/>
                <w:szCs w:val="17"/>
              </w:rPr>
              <w:t xml:space="preserve">CRITICAL</w:t>
            </w:r>
          </w:p>
        </w:tc>
      </w:tr>
      <w:tr>
        <w:tc>
          <w:tcPr>
            <w:tcW w:type="dxa" w:w="600"/>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3</w:t>
            </w:r>
          </w:p>
        </w:tc>
        <w:tc>
          <w:tcPr>
            <w:tcW w:type="dxa" w:w="900"/>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tcPr>
          <w:p>
            <w:r>
              <w:rPr>
                <w:rFonts w:ascii="Arial" w:cs="Arial" w:eastAsia="Arial" w:hAnsi="Arial"/>
                <w:b/>
                <w:bCs/>
                <w:color w:val="C0392B"/>
                <w:sz w:val="18"/>
                <w:szCs w:val="18"/>
              </w:rPr>
              <w:t xml:space="preserve">ACC-01</w:t>
            </w:r>
          </w:p>
        </w:tc>
        <w:tc>
          <w:tcPr>
            <w:tcW w:type="dxa" w:w="3526"/>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tcPr>
          <w:p>
            <w:r>
              <w:rPr>
                <w:rFonts w:ascii="Arial" w:cs="Arial" w:eastAsia="Arial" w:hAnsi="Arial"/>
                <w:sz w:val="18"/>
                <w:szCs w:val="18"/>
              </w:rPr>
              <w:t xml:space="preserve">Ledger not updated on edit — silent drift</w:t>
            </w:r>
          </w:p>
        </w:tc>
        <w:tc>
          <w:tcPr>
            <w:tcW w:type="dxa" w:w="2000"/>
            <w:tcBorders>
              <w:top w:val="single" w:color="D0D5DD" w:sz="1"/>
              <w:left w:val="single" w:color="D0D5DD" w:sz="1"/>
              <w:bottom w:val="single" w:color="D0D5DD" w:sz="1"/>
              <w:right w:val="single" w:color="D0D5DD" w:sz="1"/>
            </w:tcBorders>
            <w:shd w:fill="FFF0F0" w:val="clear"/>
            <w:tcMar>
              <w:top w:type="dxa" w:w="60"/>
              <w:left w:type="dxa" w:w="80"/>
              <w:bottom w:type="dxa" w:w="60"/>
              <w:right w:type="dxa" w:w="80"/>
            </w:tcMar>
          </w:tcPr>
          <w:p>
            <w:pPr>
              <w:jc w:val="center"/>
            </w:pPr>
            <w:r>
              <w:rPr>
                <w:rFonts w:ascii="Arial" w:cs="Arial" w:eastAsia="Arial" w:hAnsi="Arial"/>
                <w:b/>
                <w:bCs/>
                <w:color w:val="C0392B"/>
                <w:sz w:val="17"/>
                <w:szCs w:val="17"/>
              </w:rPr>
              <w:t xml:space="preserve">HIGH</w:t>
            </w:r>
          </w:p>
        </w:tc>
        <w:tc>
          <w:tcPr>
            <w:tcW w:type="dxa" w:w="2000"/>
            <w:tcBorders>
              <w:top w:val="single" w:color="D0D5DD" w:sz="1"/>
              <w:left w:val="single" w:color="D0D5DD" w:sz="1"/>
              <w:bottom w:val="single" w:color="D0D5DD" w:sz="1"/>
              <w:right w:val="single" w:color="D0D5DD" w:sz="1"/>
            </w:tcBorders>
            <w:shd w:fill="FEE2E2" w:val="clear"/>
            <w:tcMar>
              <w:top w:type="dxa" w:w="60"/>
              <w:left w:type="dxa" w:w="80"/>
              <w:bottom w:type="dxa" w:w="60"/>
              <w:right w:type="dxa" w:w="80"/>
            </w:tcMar>
          </w:tcPr>
          <w:p>
            <w:pPr>
              <w:jc w:val="center"/>
            </w:pPr>
            <w:r>
              <w:rPr>
                <w:rFonts w:ascii="Arial" w:cs="Arial" w:eastAsia="Arial" w:hAnsi="Arial"/>
                <w:b/>
                <w:bCs/>
                <w:color w:val="C0392B"/>
                <w:sz w:val="17"/>
                <w:szCs w:val="17"/>
              </w:rPr>
              <w:t xml:space="preserve">CRITICAL</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4</w:t>
            </w:r>
          </w:p>
        </w:tc>
        <w:tc>
          <w:tcPr>
            <w:tcW w:type="dxa" w:w="900"/>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tcPr>
          <w:p>
            <w:r>
              <w:rPr>
                <w:rFonts w:ascii="Arial" w:cs="Arial" w:eastAsia="Arial" w:hAnsi="Arial"/>
                <w:b/>
                <w:bCs/>
                <w:color w:val="C0392B"/>
                <w:sz w:val="18"/>
                <w:szCs w:val="18"/>
              </w:rPr>
              <w:t xml:space="preserve">DB-01</w:t>
            </w:r>
          </w:p>
        </w:tc>
        <w:tc>
          <w:tcPr>
            <w:tcW w:type="dxa" w:w="3526"/>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tcPr>
          <w:p>
            <w:r>
              <w:rPr>
                <w:rFonts w:ascii="Arial" w:cs="Arial" w:eastAsia="Arial" w:hAnsi="Arial"/>
                <w:sz w:val="18"/>
                <w:szCs w:val="18"/>
              </w:rPr>
              <w:t xml:space="preserve">REAL→NUMERIC migration may have silently failed</w:t>
            </w:r>
          </w:p>
        </w:tc>
        <w:tc>
          <w:tcPr>
            <w:tcW w:type="dxa" w:w="2000"/>
            <w:tcBorders>
              <w:top w:val="single" w:color="D0D5DD" w:sz="1"/>
              <w:left w:val="single" w:color="D0D5DD" w:sz="1"/>
              <w:bottom w:val="single" w:color="D0D5DD" w:sz="1"/>
              <w:right w:val="single" w:color="D0D5DD" w:sz="1"/>
            </w:tcBorders>
            <w:shd w:fill="FFFBEB" w:val="clear"/>
            <w:tcMar>
              <w:top w:type="dxa" w:w="60"/>
              <w:left w:type="dxa" w:w="80"/>
              <w:bottom w:type="dxa" w:w="60"/>
              <w:right w:type="dxa" w:w="80"/>
            </w:tcMar>
          </w:tcPr>
          <w:p>
            <w:pPr>
              <w:jc w:val="center"/>
            </w:pPr>
            <w:r>
              <w:rPr>
                <w:rFonts w:ascii="Arial" w:cs="Arial" w:eastAsia="Arial" w:hAnsi="Arial"/>
                <w:b/>
                <w:bCs/>
                <w:color w:val="D97706"/>
                <w:sz w:val="17"/>
                <w:szCs w:val="17"/>
              </w:rPr>
              <w:t xml:space="preserve">MEDIUM</w:t>
            </w:r>
          </w:p>
        </w:tc>
        <w:tc>
          <w:tcPr>
            <w:tcW w:type="dxa" w:w="2000"/>
            <w:tcBorders>
              <w:top w:val="single" w:color="D0D5DD" w:sz="1"/>
              <w:left w:val="single" w:color="D0D5DD" w:sz="1"/>
              <w:bottom w:val="single" w:color="D0D5DD" w:sz="1"/>
              <w:right w:val="single" w:color="D0D5DD" w:sz="1"/>
            </w:tcBorders>
            <w:shd w:fill="FEE2E2" w:val="clear"/>
            <w:tcMar>
              <w:top w:type="dxa" w:w="60"/>
              <w:left w:type="dxa" w:w="80"/>
              <w:bottom w:type="dxa" w:w="60"/>
              <w:right w:type="dxa" w:w="80"/>
            </w:tcMar>
          </w:tcPr>
          <w:p>
            <w:pPr>
              <w:jc w:val="center"/>
            </w:pPr>
            <w:r>
              <w:rPr>
                <w:rFonts w:ascii="Arial" w:cs="Arial" w:eastAsia="Arial" w:hAnsi="Arial"/>
                <w:b/>
                <w:bCs/>
                <w:color w:val="C0392B"/>
                <w:sz w:val="17"/>
                <w:szCs w:val="17"/>
              </w:rPr>
              <w:t xml:space="preserve">CRITICAL</w:t>
            </w:r>
          </w:p>
        </w:tc>
      </w:tr>
      <w:tr>
        <w:tc>
          <w:tcPr>
            <w:tcW w:type="dxa" w:w="600"/>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5</w:t>
            </w:r>
          </w:p>
        </w:tc>
        <w:tc>
          <w:tcPr>
            <w:tcW w:type="dxa" w:w="900"/>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tcPr>
          <w:p>
            <w:r>
              <w:rPr>
                <w:rFonts w:ascii="Arial" w:cs="Arial" w:eastAsia="Arial" w:hAnsi="Arial"/>
                <w:b/>
                <w:bCs/>
                <w:color w:val="C0392B"/>
                <w:sz w:val="18"/>
                <w:szCs w:val="18"/>
              </w:rPr>
              <w:t xml:space="preserve">SEC-03</w:t>
            </w:r>
          </w:p>
        </w:tc>
        <w:tc>
          <w:tcPr>
            <w:tcW w:type="dxa" w:w="3526"/>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tcPr>
          <w:p>
            <w:r>
              <w:rPr>
                <w:rFonts w:ascii="Arial" w:cs="Arial" w:eastAsia="Arial" w:hAnsi="Arial"/>
                <w:sz w:val="18"/>
                <w:szCs w:val="18"/>
              </w:rPr>
              <w:t xml:space="preserve">Sessions never expire</w:t>
            </w:r>
          </w:p>
        </w:tc>
        <w:tc>
          <w:tcPr>
            <w:tcW w:type="dxa" w:w="2000"/>
            <w:tcBorders>
              <w:top w:val="single" w:color="D0D5DD" w:sz="1"/>
              <w:left w:val="single" w:color="D0D5DD" w:sz="1"/>
              <w:bottom w:val="single" w:color="D0D5DD" w:sz="1"/>
              <w:right w:val="single" w:color="D0D5DD" w:sz="1"/>
            </w:tcBorders>
            <w:shd w:fill="FEE2E2" w:val="clear"/>
            <w:tcMar>
              <w:top w:type="dxa" w:w="60"/>
              <w:left w:type="dxa" w:w="80"/>
              <w:bottom w:type="dxa" w:w="60"/>
              <w:right w:type="dxa" w:w="80"/>
            </w:tcMar>
          </w:tcPr>
          <w:p>
            <w:pPr>
              <w:jc w:val="center"/>
            </w:pPr>
            <w:r>
              <w:rPr>
                <w:rFonts w:ascii="Arial" w:cs="Arial" w:eastAsia="Arial" w:hAnsi="Arial"/>
                <w:b/>
                <w:bCs/>
                <w:color w:val="C0392B"/>
                <w:sz w:val="17"/>
                <w:szCs w:val="17"/>
              </w:rPr>
              <w:t xml:space="preserve">CRITICAL</w:t>
            </w:r>
          </w:p>
        </w:tc>
        <w:tc>
          <w:tcPr>
            <w:tcW w:type="dxa" w:w="2000"/>
            <w:tcBorders>
              <w:top w:val="single" w:color="D0D5DD" w:sz="1"/>
              <w:left w:val="single" w:color="D0D5DD" w:sz="1"/>
              <w:bottom w:val="single" w:color="D0D5DD" w:sz="1"/>
              <w:right w:val="single" w:color="D0D5DD" w:sz="1"/>
            </w:tcBorders>
            <w:shd w:fill="FFF0F0" w:val="clear"/>
            <w:tcMar>
              <w:top w:type="dxa" w:w="60"/>
              <w:left w:type="dxa" w:w="80"/>
              <w:bottom w:type="dxa" w:w="60"/>
              <w:right w:type="dxa" w:w="80"/>
            </w:tcMar>
          </w:tcPr>
          <w:p>
            <w:pPr>
              <w:jc w:val="center"/>
            </w:pPr>
            <w:r>
              <w:rPr>
                <w:rFonts w:ascii="Arial" w:cs="Arial" w:eastAsia="Arial" w:hAnsi="Arial"/>
                <w:b/>
                <w:bCs/>
                <w:color w:val="C0392B"/>
                <w:sz w:val="17"/>
                <w:szCs w:val="17"/>
              </w:rPr>
              <w:t xml:space="preserve">HIGH</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6</w:t>
            </w:r>
          </w:p>
        </w:tc>
        <w:tc>
          <w:tcPr>
            <w:tcW w:type="dxa" w:w="900"/>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tcPr>
          <w:p>
            <w:r>
              <w:rPr>
                <w:rFonts w:ascii="Arial" w:cs="Arial" w:eastAsia="Arial" w:hAnsi="Arial"/>
                <w:b/>
                <w:bCs/>
                <w:color w:val="C0392B"/>
                <w:sz w:val="18"/>
                <w:szCs w:val="18"/>
              </w:rPr>
              <w:t xml:space="preserve">SEC-07</w:t>
            </w:r>
          </w:p>
        </w:tc>
        <w:tc>
          <w:tcPr>
            <w:tcW w:type="dxa" w:w="3526"/>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tcPr>
          <w:p>
            <w:r>
              <w:rPr>
                <w:rFonts w:ascii="Arial" w:cs="Arial" w:eastAsia="Arial" w:hAnsi="Arial"/>
                <w:sz w:val="18"/>
                <w:szCs w:val="18"/>
              </w:rPr>
              <w:t xml:space="preserve">Full data reset — only text confirmation</w:t>
            </w:r>
          </w:p>
        </w:tc>
        <w:tc>
          <w:tcPr>
            <w:tcW w:type="dxa" w:w="2000"/>
            <w:tcBorders>
              <w:top w:val="single" w:color="D0D5DD" w:sz="1"/>
              <w:left w:val="single" w:color="D0D5DD" w:sz="1"/>
              <w:bottom w:val="single" w:color="D0D5DD" w:sz="1"/>
              <w:right w:val="single" w:color="D0D5DD" w:sz="1"/>
            </w:tcBorders>
            <w:shd w:fill="FEE2E2" w:val="clear"/>
            <w:tcMar>
              <w:top w:type="dxa" w:w="60"/>
              <w:left w:type="dxa" w:w="80"/>
              <w:bottom w:type="dxa" w:w="60"/>
              <w:right w:type="dxa" w:w="80"/>
            </w:tcMar>
          </w:tcPr>
          <w:p>
            <w:pPr>
              <w:jc w:val="center"/>
            </w:pPr>
            <w:r>
              <w:rPr>
                <w:rFonts w:ascii="Arial" w:cs="Arial" w:eastAsia="Arial" w:hAnsi="Arial"/>
                <w:b/>
                <w:bCs/>
                <w:color w:val="C0392B"/>
                <w:sz w:val="17"/>
                <w:szCs w:val="17"/>
              </w:rPr>
              <w:t xml:space="preserve">CRITICAL</w:t>
            </w:r>
          </w:p>
        </w:tc>
        <w:tc>
          <w:tcPr>
            <w:tcW w:type="dxa" w:w="2000"/>
            <w:tcBorders>
              <w:top w:val="single" w:color="D0D5DD" w:sz="1"/>
              <w:left w:val="single" w:color="D0D5DD" w:sz="1"/>
              <w:bottom w:val="single" w:color="D0D5DD" w:sz="1"/>
              <w:right w:val="single" w:color="D0D5DD" w:sz="1"/>
            </w:tcBorders>
            <w:shd w:fill="FFF0F0" w:val="clear"/>
            <w:tcMar>
              <w:top w:type="dxa" w:w="60"/>
              <w:left w:type="dxa" w:w="80"/>
              <w:bottom w:type="dxa" w:w="60"/>
              <w:right w:type="dxa" w:w="80"/>
            </w:tcMar>
          </w:tcPr>
          <w:p>
            <w:pPr>
              <w:jc w:val="center"/>
            </w:pPr>
            <w:r>
              <w:rPr>
                <w:rFonts w:ascii="Arial" w:cs="Arial" w:eastAsia="Arial" w:hAnsi="Arial"/>
                <w:b/>
                <w:bCs/>
                <w:color w:val="C0392B"/>
                <w:sz w:val="17"/>
                <w:szCs w:val="17"/>
              </w:rPr>
              <w:t xml:space="preserve">HIGH</w:t>
            </w:r>
          </w:p>
        </w:tc>
      </w:tr>
      <w:tr>
        <w:tc>
          <w:tcPr>
            <w:tcW w:type="dxa" w:w="600"/>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7</w:t>
            </w:r>
          </w:p>
        </w:tc>
        <w:tc>
          <w:tcPr>
            <w:tcW w:type="dxa" w:w="900"/>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tcPr>
          <w:p>
            <w:r>
              <w:rPr>
                <w:rFonts w:ascii="Arial" w:cs="Arial" w:eastAsia="Arial" w:hAnsi="Arial"/>
                <w:b/>
                <w:bCs/>
                <w:color w:val="C0392B"/>
                <w:sz w:val="18"/>
                <w:szCs w:val="18"/>
              </w:rPr>
              <w:t xml:space="preserve">ACC-02</w:t>
            </w:r>
          </w:p>
        </w:tc>
        <w:tc>
          <w:tcPr>
            <w:tcW w:type="dxa" w:w="3526"/>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tcPr>
          <w:p>
            <w:r>
              <w:rPr>
                <w:rFonts w:ascii="Arial" w:cs="Arial" w:eastAsia="Arial" w:hAnsi="Arial"/>
                <w:sz w:val="18"/>
                <w:szCs w:val="18"/>
              </w:rPr>
              <w:t xml:space="preserve">Ledger validation SQL bug — always reports OK</w:t>
            </w:r>
          </w:p>
        </w:tc>
        <w:tc>
          <w:tcPr>
            <w:tcW w:type="dxa" w:w="2000"/>
            <w:tcBorders>
              <w:top w:val="single" w:color="D0D5DD" w:sz="1"/>
              <w:left w:val="single" w:color="D0D5DD" w:sz="1"/>
              <w:bottom w:val="single" w:color="D0D5DD" w:sz="1"/>
              <w:right w:val="single" w:color="D0D5DD" w:sz="1"/>
            </w:tcBorders>
            <w:shd w:fill="FFFBEB" w:val="clear"/>
            <w:tcMar>
              <w:top w:type="dxa" w:w="60"/>
              <w:left w:type="dxa" w:w="80"/>
              <w:bottom w:type="dxa" w:w="60"/>
              <w:right w:type="dxa" w:w="80"/>
            </w:tcMar>
          </w:tcPr>
          <w:p>
            <w:pPr>
              <w:jc w:val="center"/>
            </w:pPr>
            <w:r>
              <w:rPr>
                <w:rFonts w:ascii="Arial" w:cs="Arial" w:eastAsia="Arial" w:hAnsi="Arial"/>
                <w:b/>
                <w:bCs/>
                <w:color w:val="D97706"/>
                <w:sz w:val="17"/>
                <w:szCs w:val="17"/>
              </w:rPr>
              <w:t xml:space="preserve">MEDIUM</w:t>
            </w:r>
          </w:p>
        </w:tc>
        <w:tc>
          <w:tcPr>
            <w:tcW w:type="dxa" w:w="2000"/>
            <w:tcBorders>
              <w:top w:val="single" w:color="D0D5DD" w:sz="1"/>
              <w:left w:val="single" w:color="D0D5DD" w:sz="1"/>
              <w:bottom w:val="single" w:color="D0D5DD" w:sz="1"/>
              <w:right w:val="single" w:color="D0D5DD" w:sz="1"/>
            </w:tcBorders>
            <w:shd w:fill="FEE2E2" w:val="clear"/>
            <w:tcMar>
              <w:top w:type="dxa" w:w="60"/>
              <w:left w:type="dxa" w:w="80"/>
              <w:bottom w:type="dxa" w:w="60"/>
              <w:right w:type="dxa" w:w="80"/>
            </w:tcMar>
          </w:tcPr>
          <w:p>
            <w:pPr>
              <w:jc w:val="center"/>
            </w:pPr>
            <w:r>
              <w:rPr>
                <w:rFonts w:ascii="Arial" w:cs="Arial" w:eastAsia="Arial" w:hAnsi="Arial"/>
                <w:b/>
                <w:bCs/>
                <w:color w:val="C0392B"/>
                <w:sz w:val="17"/>
                <w:szCs w:val="17"/>
              </w:rPr>
              <w:t xml:space="preserve">CRITICAL</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8</w:t>
            </w:r>
          </w:p>
        </w:tc>
        <w:tc>
          <w:tcPr>
            <w:tcW w:type="dxa" w:w="900"/>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tcPr>
          <w:p>
            <w:r>
              <w:rPr>
                <w:rFonts w:ascii="Arial" w:cs="Arial" w:eastAsia="Arial" w:hAnsi="Arial"/>
                <w:b/>
                <w:bCs/>
                <w:color w:val="C0392B"/>
                <w:sz w:val="18"/>
                <w:szCs w:val="18"/>
              </w:rPr>
              <w:t xml:space="preserve">ACC-03</w:t>
            </w:r>
          </w:p>
        </w:tc>
        <w:tc>
          <w:tcPr>
            <w:tcW w:type="dxa" w:w="3526"/>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tcPr>
          <w:p>
            <w:r>
              <w:rPr>
                <w:rFonts w:ascii="Arial" w:cs="Arial" w:eastAsia="Arial" w:hAnsi="Arial"/>
                <w:sz w:val="18"/>
                <w:szCs w:val="18"/>
              </w:rPr>
              <w:t xml:space="preserve">Archiving distorts outstanding balances</w:t>
            </w:r>
          </w:p>
        </w:tc>
        <w:tc>
          <w:tcPr>
            <w:tcW w:type="dxa" w:w="2000"/>
            <w:tcBorders>
              <w:top w:val="single" w:color="D0D5DD" w:sz="1"/>
              <w:left w:val="single" w:color="D0D5DD" w:sz="1"/>
              <w:bottom w:val="single" w:color="D0D5DD" w:sz="1"/>
              <w:right w:val="single" w:color="D0D5DD" w:sz="1"/>
            </w:tcBorders>
            <w:shd w:fill="FFFBEB" w:val="clear"/>
            <w:tcMar>
              <w:top w:type="dxa" w:w="60"/>
              <w:left w:type="dxa" w:w="80"/>
              <w:bottom w:type="dxa" w:w="60"/>
              <w:right w:type="dxa" w:w="80"/>
            </w:tcMar>
          </w:tcPr>
          <w:p>
            <w:pPr>
              <w:jc w:val="center"/>
            </w:pPr>
            <w:r>
              <w:rPr>
                <w:rFonts w:ascii="Arial" w:cs="Arial" w:eastAsia="Arial" w:hAnsi="Arial"/>
                <w:b/>
                <w:bCs/>
                <w:color w:val="D97706"/>
                <w:sz w:val="17"/>
                <w:szCs w:val="17"/>
              </w:rPr>
              <w:t xml:space="preserve">MEDIUM</w:t>
            </w:r>
          </w:p>
        </w:tc>
        <w:tc>
          <w:tcPr>
            <w:tcW w:type="dxa" w:w="2000"/>
            <w:tcBorders>
              <w:top w:val="single" w:color="D0D5DD" w:sz="1"/>
              <w:left w:val="single" w:color="D0D5DD" w:sz="1"/>
              <w:bottom w:val="single" w:color="D0D5DD" w:sz="1"/>
              <w:right w:val="single" w:color="D0D5DD" w:sz="1"/>
            </w:tcBorders>
            <w:shd w:fill="FEE2E2" w:val="clear"/>
            <w:tcMar>
              <w:top w:type="dxa" w:w="60"/>
              <w:left w:type="dxa" w:w="80"/>
              <w:bottom w:type="dxa" w:w="60"/>
              <w:right w:type="dxa" w:w="80"/>
            </w:tcMar>
          </w:tcPr>
          <w:p>
            <w:pPr>
              <w:jc w:val="center"/>
            </w:pPr>
            <w:r>
              <w:rPr>
                <w:rFonts w:ascii="Arial" w:cs="Arial" w:eastAsia="Arial" w:hAnsi="Arial"/>
                <w:b/>
                <w:bCs/>
                <w:color w:val="C0392B"/>
                <w:sz w:val="17"/>
                <w:szCs w:val="17"/>
              </w:rPr>
              <w:t xml:space="preserve">CRITICAL</w:t>
            </w:r>
          </w:p>
        </w:tc>
      </w:tr>
      <w:tr>
        <w:tc>
          <w:tcPr>
            <w:tcW w:type="dxa" w:w="600"/>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9</w:t>
            </w:r>
          </w:p>
        </w:tc>
        <w:tc>
          <w:tcPr>
            <w:tcW w:type="dxa" w:w="900"/>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tcPr>
          <w:p>
            <w:r>
              <w:rPr>
                <w:rFonts w:ascii="Arial" w:cs="Arial" w:eastAsia="Arial" w:hAnsi="Arial"/>
                <w:b/>
                <w:bCs/>
                <w:color w:val="C0392B"/>
                <w:sz w:val="18"/>
                <w:szCs w:val="18"/>
              </w:rPr>
              <w:t xml:space="preserve">ARCH-01</w:t>
            </w:r>
          </w:p>
        </w:tc>
        <w:tc>
          <w:tcPr>
            <w:tcW w:type="dxa" w:w="3526"/>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tcPr>
          <w:p>
            <w:r>
              <w:rPr>
                <w:rFonts w:ascii="Arial" w:cs="Arial" w:eastAsia="Arial" w:hAnsi="Arial"/>
                <w:sz w:val="18"/>
                <w:szCs w:val="18"/>
              </w:rPr>
              <w:t xml:space="preserve">Duplicate add-sale route — divergent accounting</w:t>
            </w:r>
          </w:p>
        </w:tc>
        <w:tc>
          <w:tcPr>
            <w:tcW w:type="dxa" w:w="2000"/>
            <w:tcBorders>
              <w:top w:val="single" w:color="D0D5DD" w:sz="1"/>
              <w:left w:val="single" w:color="D0D5DD" w:sz="1"/>
              <w:bottom w:val="single" w:color="D0D5DD" w:sz="1"/>
              <w:right w:val="single" w:color="D0D5DD" w:sz="1"/>
            </w:tcBorders>
            <w:shd w:fill="FFF0F0" w:val="clear"/>
            <w:tcMar>
              <w:top w:type="dxa" w:w="60"/>
              <w:left w:type="dxa" w:w="80"/>
              <w:bottom w:type="dxa" w:w="60"/>
              <w:right w:type="dxa" w:w="80"/>
            </w:tcMar>
          </w:tcPr>
          <w:p>
            <w:pPr>
              <w:jc w:val="center"/>
            </w:pPr>
            <w:r>
              <w:rPr>
                <w:rFonts w:ascii="Arial" w:cs="Arial" w:eastAsia="Arial" w:hAnsi="Arial"/>
                <w:b/>
                <w:bCs/>
                <w:color w:val="C0392B"/>
                <w:sz w:val="17"/>
                <w:szCs w:val="17"/>
              </w:rPr>
              <w:t xml:space="preserve">HIGH</w:t>
            </w:r>
          </w:p>
        </w:tc>
        <w:tc>
          <w:tcPr>
            <w:tcW w:type="dxa" w:w="2000"/>
            <w:tcBorders>
              <w:top w:val="single" w:color="D0D5DD" w:sz="1"/>
              <w:left w:val="single" w:color="D0D5DD" w:sz="1"/>
              <w:bottom w:val="single" w:color="D0D5DD" w:sz="1"/>
              <w:right w:val="single" w:color="D0D5DD" w:sz="1"/>
            </w:tcBorders>
            <w:shd w:fill="FFF0F0" w:val="clear"/>
            <w:tcMar>
              <w:top w:type="dxa" w:w="60"/>
              <w:left w:type="dxa" w:w="80"/>
              <w:bottom w:type="dxa" w:w="60"/>
              <w:right w:type="dxa" w:w="80"/>
            </w:tcMar>
          </w:tcPr>
          <w:p>
            <w:pPr>
              <w:jc w:val="center"/>
            </w:pPr>
            <w:r>
              <w:rPr>
                <w:rFonts w:ascii="Arial" w:cs="Arial" w:eastAsia="Arial" w:hAnsi="Arial"/>
                <w:b/>
                <w:bCs/>
                <w:color w:val="C0392B"/>
                <w:sz w:val="17"/>
                <w:szCs w:val="17"/>
              </w:rPr>
              <w:t xml:space="preserve">HIGH</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10</w:t>
            </w:r>
          </w:p>
        </w:tc>
        <w:tc>
          <w:tcPr>
            <w:tcW w:type="dxa" w:w="900"/>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tcPr>
          <w:p>
            <w:r>
              <w:rPr>
                <w:rFonts w:ascii="Arial" w:cs="Arial" w:eastAsia="Arial" w:hAnsi="Arial"/>
                <w:b/>
                <w:bCs/>
                <w:color w:val="C0392B"/>
                <w:sz w:val="18"/>
                <w:szCs w:val="18"/>
              </w:rPr>
              <w:t xml:space="preserve">SEC-04</w:t>
            </w:r>
          </w:p>
        </w:tc>
        <w:tc>
          <w:tcPr>
            <w:tcW w:type="dxa" w:w="3526"/>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tcPr>
          <w:p>
            <w:r>
              <w:rPr>
                <w:rFonts w:ascii="Arial" w:cs="Arial" w:eastAsia="Arial" w:hAnsi="Arial"/>
                <w:sz w:val="18"/>
                <w:szCs w:val="18"/>
              </w:rPr>
              <w:t xml:space="preserve">Hardcoded fallback secret key (on GitHub)</w:t>
            </w:r>
          </w:p>
        </w:tc>
        <w:tc>
          <w:tcPr>
            <w:tcW w:type="dxa" w:w="2000"/>
            <w:tcBorders>
              <w:top w:val="single" w:color="D0D5DD" w:sz="1"/>
              <w:left w:val="single" w:color="D0D5DD" w:sz="1"/>
              <w:bottom w:val="single" w:color="D0D5DD" w:sz="1"/>
              <w:right w:val="single" w:color="D0D5DD" w:sz="1"/>
            </w:tcBorders>
            <w:shd w:fill="FEE2E2" w:val="clear"/>
            <w:tcMar>
              <w:top w:type="dxa" w:w="60"/>
              <w:left w:type="dxa" w:w="80"/>
              <w:bottom w:type="dxa" w:w="60"/>
              <w:right w:type="dxa" w:w="80"/>
            </w:tcMar>
          </w:tcPr>
          <w:p>
            <w:pPr>
              <w:jc w:val="center"/>
            </w:pPr>
            <w:r>
              <w:rPr>
                <w:rFonts w:ascii="Arial" w:cs="Arial" w:eastAsia="Arial" w:hAnsi="Arial"/>
                <w:b/>
                <w:bCs/>
                <w:color w:val="C0392B"/>
                <w:sz w:val="17"/>
                <w:szCs w:val="17"/>
              </w:rPr>
              <w:t xml:space="preserve">CRITICAL</w:t>
            </w:r>
          </w:p>
        </w:tc>
        <w:tc>
          <w:tcPr>
            <w:tcW w:type="dxa" w:w="2000"/>
            <w:tcBorders>
              <w:top w:val="single" w:color="D0D5DD" w:sz="1"/>
              <w:left w:val="single" w:color="D0D5DD" w:sz="1"/>
              <w:bottom w:val="single" w:color="D0D5DD" w:sz="1"/>
              <w:right w:val="single" w:color="D0D5DD" w:sz="1"/>
            </w:tcBorders>
            <w:shd w:fill="FFFBEB" w:val="clear"/>
            <w:tcMar>
              <w:top w:type="dxa" w:w="60"/>
              <w:left w:type="dxa" w:w="80"/>
              <w:bottom w:type="dxa" w:w="60"/>
              <w:right w:type="dxa" w:w="80"/>
            </w:tcMar>
          </w:tcPr>
          <w:p>
            <w:pPr>
              <w:jc w:val="center"/>
            </w:pPr>
            <w:r>
              <w:rPr>
                <w:rFonts w:ascii="Arial" w:cs="Arial" w:eastAsia="Arial" w:hAnsi="Arial"/>
                <w:b/>
                <w:bCs/>
                <w:color w:val="D97706"/>
                <w:sz w:val="17"/>
                <w:szCs w:val="17"/>
              </w:rPr>
              <w:t xml:space="preserve">MEDIUM</w:t>
            </w:r>
          </w:p>
        </w:tc>
      </w:tr>
      <w:tr>
        <w:tc>
          <w:tcPr>
            <w:tcW w:type="dxa" w:w="600"/>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11</w:t>
            </w:r>
          </w:p>
        </w:tc>
        <w:tc>
          <w:tcPr>
            <w:tcW w:type="dxa" w:w="900"/>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tcPr>
          <w:p>
            <w:r>
              <w:rPr>
                <w:rFonts w:ascii="Arial" w:cs="Arial" w:eastAsia="Arial" w:hAnsi="Arial"/>
                <w:b/>
                <w:bCs/>
                <w:color w:val="C0392B"/>
                <w:sz w:val="18"/>
                <w:szCs w:val="18"/>
              </w:rPr>
              <w:t xml:space="preserve">TRV-01</w:t>
            </w:r>
          </w:p>
        </w:tc>
        <w:tc>
          <w:tcPr>
            <w:tcW w:type="dxa" w:w="3526"/>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tcPr>
          <w:p>
            <w:r>
              <w:rPr>
                <w:rFonts w:ascii="Arial" w:cs="Arial" w:eastAsia="Arial" w:hAnsi="Arial"/>
                <w:sz w:val="18"/>
                <w:szCs w:val="18"/>
              </w:rPr>
              <w:t xml:space="preserve">No ticket number field — BSP reconciliation impossible</w:t>
            </w:r>
          </w:p>
        </w:tc>
        <w:tc>
          <w:tcPr>
            <w:tcW w:type="dxa" w:w="2000"/>
            <w:tcBorders>
              <w:top w:val="single" w:color="D0D5DD" w:sz="1"/>
              <w:left w:val="single" w:color="D0D5DD" w:sz="1"/>
              <w:bottom w:val="single" w:color="D0D5DD" w:sz="1"/>
              <w:right w:val="single" w:color="D0D5DD" w:sz="1"/>
            </w:tcBorders>
            <w:shd w:fill="FFFBEB" w:val="clear"/>
            <w:tcMar>
              <w:top w:type="dxa" w:w="60"/>
              <w:left w:type="dxa" w:w="80"/>
              <w:bottom w:type="dxa" w:w="60"/>
              <w:right w:type="dxa" w:w="80"/>
            </w:tcMar>
          </w:tcPr>
          <w:p>
            <w:pPr>
              <w:jc w:val="center"/>
            </w:pPr>
            <w:r>
              <w:rPr>
                <w:rFonts w:ascii="Arial" w:cs="Arial" w:eastAsia="Arial" w:hAnsi="Arial"/>
                <w:b/>
                <w:bCs/>
                <w:color w:val="D97706"/>
                <w:sz w:val="17"/>
                <w:szCs w:val="17"/>
              </w:rPr>
              <w:t xml:space="preserve">MEDIUM</w:t>
            </w:r>
          </w:p>
        </w:tc>
        <w:tc>
          <w:tcPr>
            <w:tcW w:type="dxa" w:w="2000"/>
            <w:tcBorders>
              <w:top w:val="single" w:color="D0D5DD" w:sz="1"/>
              <w:left w:val="single" w:color="D0D5DD" w:sz="1"/>
              <w:bottom w:val="single" w:color="D0D5DD" w:sz="1"/>
              <w:right w:val="single" w:color="D0D5DD" w:sz="1"/>
            </w:tcBorders>
            <w:shd w:fill="FFF0F0" w:val="clear"/>
            <w:tcMar>
              <w:top w:type="dxa" w:w="60"/>
              <w:left w:type="dxa" w:w="80"/>
              <w:bottom w:type="dxa" w:w="60"/>
              <w:right w:type="dxa" w:w="80"/>
            </w:tcMar>
          </w:tcPr>
          <w:p>
            <w:pPr>
              <w:jc w:val="center"/>
            </w:pPr>
            <w:r>
              <w:rPr>
                <w:rFonts w:ascii="Arial" w:cs="Arial" w:eastAsia="Arial" w:hAnsi="Arial"/>
                <w:b/>
                <w:bCs/>
                <w:color w:val="C0392B"/>
                <w:sz w:val="17"/>
                <w:szCs w:val="17"/>
              </w:rPr>
              <w:t xml:space="preserve">HIGH</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12</w:t>
            </w:r>
          </w:p>
        </w:tc>
        <w:tc>
          <w:tcPr>
            <w:tcW w:type="dxa" w:w="900"/>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tcPr>
          <w:p>
            <w:r>
              <w:rPr>
                <w:rFonts w:ascii="Arial" w:cs="Arial" w:eastAsia="Arial" w:hAnsi="Arial"/>
                <w:b/>
                <w:bCs/>
                <w:color w:val="C0392B"/>
                <w:sz w:val="18"/>
                <w:szCs w:val="18"/>
              </w:rPr>
              <w:t xml:space="preserve">ACC-05</w:t>
            </w:r>
          </w:p>
        </w:tc>
        <w:tc>
          <w:tcPr>
            <w:tcW w:type="dxa" w:w="3526"/>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tcPr>
          <w:p>
            <w:r>
              <w:rPr>
                <w:rFonts w:ascii="Arial" w:cs="Arial" w:eastAsia="Arial" w:hAnsi="Arial"/>
                <w:sz w:val="18"/>
                <w:szCs w:val="18"/>
              </w:rPr>
              <w:t xml:space="preserve">Refund does not reduce original sale profit</w:t>
            </w:r>
          </w:p>
        </w:tc>
        <w:tc>
          <w:tcPr>
            <w:tcW w:type="dxa" w:w="2000"/>
            <w:tcBorders>
              <w:top w:val="single" w:color="D0D5DD" w:sz="1"/>
              <w:left w:val="single" w:color="D0D5DD" w:sz="1"/>
              <w:bottom w:val="single" w:color="D0D5DD" w:sz="1"/>
              <w:right w:val="single" w:color="D0D5DD" w:sz="1"/>
            </w:tcBorders>
            <w:shd w:fill="F0FFF4" w:val="clear"/>
            <w:tcMar>
              <w:top w:type="dxa" w:w="60"/>
              <w:left w:type="dxa" w:w="80"/>
              <w:bottom w:type="dxa" w:w="60"/>
              <w:right w:type="dxa" w:w="80"/>
            </w:tcMar>
          </w:tcPr>
          <w:p>
            <w:pPr>
              <w:jc w:val="center"/>
            </w:pPr>
            <w:r>
              <w:rPr>
                <w:rFonts w:ascii="Arial" w:cs="Arial" w:eastAsia="Arial" w:hAnsi="Arial"/>
                <w:b/>
                <w:bCs/>
                <w:color w:val="1E7B34"/>
                <w:sz w:val="17"/>
                <w:szCs w:val="17"/>
              </w:rPr>
              <w:t xml:space="preserve">LOW</w:t>
            </w:r>
          </w:p>
        </w:tc>
        <w:tc>
          <w:tcPr>
            <w:tcW w:type="dxa" w:w="2000"/>
            <w:tcBorders>
              <w:top w:val="single" w:color="D0D5DD" w:sz="1"/>
              <w:left w:val="single" w:color="D0D5DD" w:sz="1"/>
              <w:bottom w:val="single" w:color="D0D5DD" w:sz="1"/>
              <w:right w:val="single" w:color="D0D5DD" w:sz="1"/>
            </w:tcBorders>
            <w:shd w:fill="FFF0F0" w:val="clear"/>
            <w:tcMar>
              <w:top w:type="dxa" w:w="60"/>
              <w:left w:type="dxa" w:w="80"/>
              <w:bottom w:type="dxa" w:w="60"/>
              <w:right w:type="dxa" w:w="80"/>
            </w:tcMar>
          </w:tcPr>
          <w:p>
            <w:pPr>
              <w:jc w:val="center"/>
            </w:pPr>
            <w:r>
              <w:rPr>
                <w:rFonts w:ascii="Arial" w:cs="Arial" w:eastAsia="Arial" w:hAnsi="Arial"/>
                <w:b/>
                <w:bCs/>
                <w:color w:val="C0392B"/>
                <w:sz w:val="17"/>
                <w:szCs w:val="17"/>
              </w:rPr>
              <w:t xml:space="preserve">HIGH</w:t>
            </w:r>
          </w:p>
        </w:tc>
      </w:tr>
      <w:tr>
        <w:tc>
          <w:tcPr>
            <w:tcW w:type="dxa" w:w="600"/>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13</w:t>
            </w:r>
          </w:p>
        </w:tc>
        <w:tc>
          <w:tcPr>
            <w:tcW w:type="dxa" w:w="900"/>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tcPr>
          <w:p>
            <w:r>
              <w:rPr>
                <w:rFonts w:ascii="Arial" w:cs="Arial" w:eastAsia="Arial" w:hAnsi="Arial"/>
                <w:b/>
                <w:bCs/>
                <w:color w:val="C0392B"/>
                <w:sz w:val="18"/>
                <w:szCs w:val="18"/>
              </w:rPr>
              <w:t xml:space="preserve">ARCH-03</w:t>
            </w:r>
          </w:p>
        </w:tc>
        <w:tc>
          <w:tcPr>
            <w:tcW w:type="dxa" w:w="3526"/>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tcPr>
          <w:p>
            <w:r>
              <w:rPr>
                <w:rFonts w:ascii="Arial" w:cs="Arial" w:eastAsia="Arial" w:hAnsi="Arial"/>
                <w:sz w:val="18"/>
                <w:szCs w:val="18"/>
              </w:rPr>
              <w:t xml:space="preserve">No DB connection pooling</w:t>
            </w:r>
          </w:p>
        </w:tc>
        <w:tc>
          <w:tcPr>
            <w:tcW w:type="dxa" w:w="2000"/>
            <w:tcBorders>
              <w:top w:val="single" w:color="D0D5DD" w:sz="1"/>
              <w:left w:val="single" w:color="D0D5DD" w:sz="1"/>
              <w:bottom w:val="single" w:color="D0D5DD" w:sz="1"/>
              <w:right w:val="single" w:color="D0D5DD" w:sz="1"/>
            </w:tcBorders>
            <w:shd w:fill="FFF0F0" w:val="clear"/>
            <w:tcMar>
              <w:top w:type="dxa" w:w="60"/>
              <w:left w:type="dxa" w:w="80"/>
              <w:bottom w:type="dxa" w:w="60"/>
              <w:right w:type="dxa" w:w="80"/>
            </w:tcMar>
          </w:tcPr>
          <w:p>
            <w:pPr>
              <w:jc w:val="center"/>
            </w:pPr>
            <w:r>
              <w:rPr>
                <w:rFonts w:ascii="Arial" w:cs="Arial" w:eastAsia="Arial" w:hAnsi="Arial"/>
                <w:b/>
                <w:bCs/>
                <w:color w:val="C0392B"/>
                <w:sz w:val="17"/>
                <w:szCs w:val="17"/>
              </w:rPr>
              <w:t xml:space="preserve">HIGH</w:t>
            </w:r>
          </w:p>
        </w:tc>
        <w:tc>
          <w:tcPr>
            <w:tcW w:type="dxa" w:w="2000"/>
            <w:tcBorders>
              <w:top w:val="single" w:color="D0D5DD" w:sz="1"/>
              <w:left w:val="single" w:color="D0D5DD" w:sz="1"/>
              <w:bottom w:val="single" w:color="D0D5DD" w:sz="1"/>
              <w:right w:val="single" w:color="D0D5DD" w:sz="1"/>
            </w:tcBorders>
            <w:shd w:fill="F0FFF4" w:val="clear"/>
            <w:tcMar>
              <w:top w:type="dxa" w:w="60"/>
              <w:left w:type="dxa" w:w="80"/>
              <w:bottom w:type="dxa" w:w="60"/>
              <w:right w:type="dxa" w:w="80"/>
            </w:tcMar>
          </w:tcPr>
          <w:p>
            <w:pPr>
              <w:jc w:val="center"/>
            </w:pPr>
            <w:r>
              <w:rPr>
                <w:rFonts w:ascii="Arial" w:cs="Arial" w:eastAsia="Arial" w:hAnsi="Arial"/>
                <w:b/>
                <w:bCs/>
                <w:color w:val="1E7B34"/>
                <w:sz w:val="17"/>
                <w:szCs w:val="17"/>
              </w:rPr>
              <w:t xml:space="preserve">LOW</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14</w:t>
            </w:r>
          </w:p>
        </w:tc>
        <w:tc>
          <w:tcPr>
            <w:tcW w:type="dxa" w:w="900"/>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tcPr>
          <w:p>
            <w:r>
              <w:rPr>
                <w:rFonts w:ascii="Arial" w:cs="Arial" w:eastAsia="Arial" w:hAnsi="Arial"/>
                <w:b/>
                <w:bCs/>
                <w:color w:val="C0392B"/>
                <w:sz w:val="18"/>
                <w:szCs w:val="18"/>
              </w:rPr>
              <w:t xml:space="preserve">ACC-06</w:t>
            </w:r>
          </w:p>
        </w:tc>
        <w:tc>
          <w:tcPr>
            <w:tcW w:type="dxa" w:w="3526"/>
            <w:tcBorders>
              <w:top w:val="single" w:color="D0D5DD" w:sz="1"/>
              <w:left w:val="single" w:color="D0D5DD" w:sz="1"/>
              <w:bottom w:val="single" w:color="D0D5DD" w:sz="1"/>
              <w:right w:val="single" w:color="D0D5DD" w:sz="1"/>
            </w:tcBorders>
            <w:shd w:fill="FFFFFF" w:val="clear"/>
            <w:tcMar>
              <w:top w:type="dxa" w:w="60"/>
              <w:left w:type="dxa" w:w="80"/>
              <w:bottom w:type="dxa" w:w="60"/>
              <w:right w:type="dxa" w:w="80"/>
            </w:tcMar>
          </w:tcPr>
          <w:p>
            <w:r>
              <w:rPr>
                <w:rFonts w:ascii="Arial" w:cs="Arial" w:eastAsia="Arial" w:hAnsi="Arial"/>
                <w:sz w:val="18"/>
                <w:szCs w:val="18"/>
              </w:rPr>
              <w:t xml:space="preserve">Duplicate payment risk — no idempotency</w:t>
            </w:r>
          </w:p>
        </w:tc>
        <w:tc>
          <w:tcPr>
            <w:tcW w:type="dxa" w:w="2000"/>
            <w:tcBorders>
              <w:top w:val="single" w:color="D0D5DD" w:sz="1"/>
              <w:left w:val="single" w:color="D0D5DD" w:sz="1"/>
              <w:bottom w:val="single" w:color="D0D5DD" w:sz="1"/>
              <w:right w:val="single" w:color="D0D5DD" w:sz="1"/>
            </w:tcBorders>
            <w:shd w:fill="FFFBEB" w:val="clear"/>
            <w:tcMar>
              <w:top w:type="dxa" w:w="60"/>
              <w:left w:type="dxa" w:w="80"/>
              <w:bottom w:type="dxa" w:w="60"/>
              <w:right w:type="dxa" w:w="80"/>
            </w:tcMar>
          </w:tcPr>
          <w:p>
            <w:pPr>
              <w:jc w:val="center"/>
            </w:pPr>
            <w:r>
              <w:rPr>
                <w:rFonts w:ascii="Arial" w:cs="Arial" w:eastAsia="Arial" w:hAnsi="Arial"/>
                <w:b/>
                <w:bCs/>
                <w:color w:val="D97706"/>
                <w:sz w:val="17"/>
                <w:szCs w:val="17"/>
              </w:rPr>
              <w:t xml:space="preserve">MEDIUM</w:t>
            </w:r>
          </w:p>
        </w:tc>
        <w:tc>
          <w:tcPr>
            <w:tcW w:type="dxa" w:w="2000"/>
            <w:tcBorders>
              <w:top w:val="single" w:color="D0D5DD" w:sz="1"/>
              <w:left w:val="single" w:color="D0D5DD" w:sz="1"/>
              <w:bottom w:val="single" w:color="D0D5DD" w:sz="1"/>
              <w:right w:val="single" w:color="D0D5DD" w:sz="1"/>
            </w:tcBorders>
            <w:shd w:fill="FFF0F0" w:val="clear"/>
            <w:tcMar>
              <w:top w:type="dxa" w:w="60"/>
              <w:left w:type="dxa" w:w="80"/>
              <w:bottom w:type="dxa" w:w="60"/>
              <w:right w:type="dxa" w:w="80"/>
            </w:tcMar>
          </w:tcPr>
          <w:p>
            <w:pPr>
              <w:jc w:val="center"/>
            </w:pPr>
            <w:r>
              <w:rPr>
                <w:rFonts w:ascii="Arial" w:cs="Arial" w:eastAsia="Arial" w:hAnsi="Arial"/>
                <w:b/>
                <w:bCs/>
                <w:color w:val="C0392B"/>
                <w:sz w:val="17"/>
                <w:szCs w:val="17"/>
              </w:rPr>
              <w:t xml:space="preserve">HIGH</w:t>
            </w:r>
          </w:p>
        </w:tc>
      </w:tr>
      <w:tr>
        <w:tc>
          <w:tcPr>
            <w:tcW w:type="dxa" w:w="600"/>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15</w:t>
            </w:r>
          </w:p>
        </w:tc>
        <w:tc>
          <w:tcPr>
            <w:tcW w:type="dxa" w:w="900"/>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tcPr>
          <w:p>
            <w:r>
              <w:rPr>
                <w:rFonts w:ascii="Arial" w:cs="Arial" w:eastAsia="Arial" w:hAnsi="Arial"/>
                <w:b/>
                <w:bCs/>
                <w:color w:val="C0392B"/>
                <w:sz w:val="18"/>
                <w:szCs w:val="18"/>
              </w:rPr>
              <w:t xml:space="preserve">SEC-05</w:t>
            </w:r>
          </w:p>
        </w:tc>
        <w:tc>
          <w:tcPr>
            <w:tcW w:type="dxa" w:w="3526"/>
            <w:tcBorders>
              <w:top w:val="single" w:color="D0D5DD" w:sz="1"/>
              <w:left w:val="single" w:color="D0D5DD" w:sz="1"/>
              <w:bottom w:val="single" w:color="D0D5DD" w:sz="1"/>
              <w:right w:val="single" w:color="D0D5DD" w:sz="1"/>
            </w:tcBorders>
            <w:shd w:fill="F2F4F7" w:val="clear"/>
            <w:tcMar>
              <w:top w:type="dxa" w:w="60"/>
              <w:left w:type="dxa" w:w="80"/>
              <w:bottom w:type="dxa" w:w="60"/>
              <w:right w:type="dxa" w:w="80"/>
            </w:tcMar>
          </w:tcPr>
          <w:p>
            <w:r>
              <w:rPr>
                <w:rFonts w:ascii="Arial" w:cs="Arial" w:eastAsia="Arial" w:hAnsi="Arial"/>
                <w:sz w:val="18"/>
                <w:szCs w:val="18"/>
              </w:rPr>
              <w:t xml:space="preserve">No brute-force protection on login</w:t>
            </w:r>
          </w:p>
        </w:tc>
        <w:tc>
          <w:tcPr>
            <w:tcW w:type="dxa" w:w="2000"/>
            <w:tcBorders>
              <w:top w:val="single" w:color="D0D5DD" w:sz="1"/>
              <w:left w:val="single" w:color="D0D5DD" w:sz="1"/>
              <w:bottom w:val="single" w:color="D0D5DD" w:sz="1"/>
              <w:right w:val="single" w:color="D0D5DD" w:sz="1"/>
            </w:tcBorders>
            <w:shd w:fill="FFF0F0" w:val="clear"/>
            <w:tcMar>
              <w:top w:type="dxa" w:w="60"/>
              <w:left w:type="dxa" w:w="80"/>
              <w:bottom w:type="dxa" w:w="60"/>
              <w:right w:type="dxa" w:w="80"/>
            </w:tcMar>
          </w:tcPr>
          <w:p>
            <w:pPr>
              <w:jc w:val="center"/>
            </w:pPr>
            <w:r>
              <w:rPr>
                <w:rFonts w:ascii="Arial" w:cs="Arial" w:eastAsia="Arial" w:hAnsi="Arial"/>
                <w:b/>
                <w:bCs/>
                <w:color w:val="C0392B"/>
                <w:sz w:val="17"/>
                <w:szCs w:val="17"/>
              </w:rPr>
              <w:t xml:space="preserve">HIGH</w:t>
            </w:r>
          </w:p>
        </w:tc>
        <w:tc>
          <w:tcPr>
            <w:tcW w:type="dxa" w:w="2000"/>
            <w:tcBorders>
              <w:top w:val="single" w:color="D0D5DD" w:sz="1"/>
              <w:left w:val="single" w:color="D0D5DD" w:sz="1"/>
              <w:bottom w:val="single" w:color="D0D5DD" w:sz="1"/>
              <w:right w:val="single" w:color="D0D5DD" w:sz="1"/>
            </w:tcBorders>
            <w:shd w:fill="FFFBEB" w:val="clear"/>
            <w:tcMar>
              <w:top w:type="dxa" w:w="60"/>
              <w:left w:type="dxa" w:w="80"/>
              <w:bottom w:type="dxa" w:w="60"/>
              <w:right w:type="dxa" w:w="80"/>
            </w:tcMar>
          </w:tcPr>
          <w:p>
            <w:pPr>
              <w:jc w:val="center"/>
            </w:pPr>
            <w:r>
              <w:rPr>
                <w:rFonts w:ascii="Arial" w:cs="Arial" w:eastAsia="Arial" w:hAnsi="Arial"/>
                <w:b/>
                <w:bCs/>
                <w:color w:val="D97706"/>
                <w:sz w:val="17"/>
                <w:szCs w:val="17"/>
              </w:rPr>
              <w:t xml:space="preserve">MEDIUM</w:t>
            </w:r>
          </w:p>
        </w:tc>
      </w:tr>
    </w:tbl>
    <w:p>
      <w:pPr>
        <w:spacing w:after="60" w:before="60"/>
      </w:pPr>
      <w:r>
        <w:t xml:space="preserve"/>
      </w:r>
    </w:p>
    <w:p>
      <w:r>
        <w:br w:type="page"/>
      </w:r>
    </w:p>
    <w:p>
      <w:pPr>
        <w:pStyle w:val="Heading1"/>
        <w:pageBreakBefore/>
        <w:pBdr>
          <w:bottom w:val="single" w:color="C8A84B" w:sz="4"/>
        </w:pBdr>
        <w:spacing w:after="160" w:before="240"/>
      </w:pPr>
      <w:r>
        <w:rPr>
          <w:rFonts w:ascii="Arial" w:cs="Arial" w:eastAsia="Arial" w:hAnsi="Arial"/>
          <w:b/>
          <w:bCs/>
          <w:color w:val="1B3A6B"/>
          <w:sz w:val="36"/>
          <w:szCs w:val="36"/>
        </w:rPr>
        <w:t xml:space="preserve">SECTION 9 — WHAT IS WORKING WELL</w:t>
      </w:r>
    </w:p>
    <w:p>
      <w:pPr>
        <w:spacing w:after="60" w:before="60"/>
      </w:pPr>
      <w:r>
        <w:rPr>
          <w:rFonts w:ascii="Arial" w:cs="Arial" w:eastAsia="Arial" w:hAnsi="Arial"/>
          <w:color w:val="000000"/>
          <w:sz w:val="20"/>
          <w:szCs w:val="20"/>
        </w:rPr>
        <w:t xml:space="preserve">A professional audit must acknowledge strengths. The following aspects of the system demonstrate solid engineering judgment and should be preserved and built upon: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80"/>
            </w:tcMar>
          </w:tcPr>
          <w:p>
            <w:r>
              <w:rPr>
                <w:rFonts w:ascii="Arial" w:cs="Arial" w:eastAsia="Arial" w:hAnsi="Arial"/>
                <w:b/>
                <w:bCs/>
                <w:color w:val="FFFFFF"/>
                <w:sz w:val="19"/>
                <w:szCs w:val="19"/>
              </w:rPr>
              <w:t xml:space="preserve">Strength</w:t>
            </w:r>
          </w:p>
        </w:tc>
        <w:tc>
          <w:tcPr>
            <w:tcW w:type="dxa" w:w="6826"/>
            <w:tcBorders>
              <w:top w:val="single" w:color="D0D5DD" w:sz="1"/>
              <w:left w:val="single" w:color="D0D5DD" w:sz="1"/>
              <w:bottom w:val="single" w:color="D0D5DD" w:sz="1"/>
              <w:right w:val="single" w:color="D0D5DD" w:sz="1"/>
            </w:tcBorders>
            <w:shd w:fill="1B3A6B" w:val="clear"/>
            <w:tcMar>
              <w:top w:type="dxa" w:w="80"/>
              <w:left w:type="dxa" w:w="80"/>
              <w:bottom w:type="dxa" w:w="80"/>
              <w:right w:type="dxa" w:w="120"/>
            </w:tcMar>
          </w:tcPr>
          <w:p>
            <w:r>
              <w:rPr>
                <w:rFonts w:ascii="Arial" w:cs="Arial" w:eastAsia="Arial" w:hAnsi="Arial"/>
                <w:color w:val="FFFFFF"/>
                <w:sz w:val="19"/>
                <w:szCs w:val="19"/>
              </w:rPr>
              <w:t xml:space="preserve">Detail</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Parameterized SQL</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All 100+ database queries use %s placeholders correctly. Zero SQL injection risk. This is the most important security practice and it is applied consistently throughout the entire codebase.</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bcrypt Password Hashing</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User passwords are hashed with bcrypt (cost factor default ~12). Modern, correct implementation. No plaintext passwords anywhere.</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Soft Deletes</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The deleted=TRUE pattern prevents accidental data loss. Records are never hard-deleted from the main workflow. This is correct practice for an accounting system.</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Audit Log</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The audit_logs table captures all CREATE, UPDATE, DELETE, LOGIN, LOGOUT, EXPORT, ARCHIVE, RESET actions with user_id, username, table_name, record_id, and detail. The coverage is comprehensive.</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Shadow Ledger Design</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The accounting_entries table with immutable entries and is_reversed/reversed_by pattern is architecturally correct and shows understanding of double-entry bookkeeping principles. The implementation gaps (ACC-01, ACC-02) are fixable without redesigning.</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Multi-Service Type Architecture</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Supporting FLIGHT, HOTEL, VISA, INSURANCE, TRANSFER, TOUR, PACKAGE in a single unified sales table with service-specific JSON fields is pragmatic and flexible. The conditional display in templates is well-implemented.</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Refunds Table Design</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The refunds table correctly captures gross_amount, cancellation_fee, refund_amount, supplier_penalty, and supplier_refund as separate fields. This is the correct financial decomposition of a refund.</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NUMERIC(12,3) Intent</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The attempt to migrate money columns to NUMERIC(12,3) demonstrates awareness of float precision problems. The intent is correct even if the execution has gaps (DB-01).</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Passenger Data Capture</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Capturing passenger name, passport, nationality, and date of birth for each booking is excellent for visa, insurance, and airline compliance requirements.</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PRG Pattern</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The Post-Redirect-Get pattern is correctly applied throughout all POST routes (return redirect() after successful form submission), preventing duplicate submissions on browser back/refresh.</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Partial Indexes</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Partial indexes (WHERE deleted=FALSE, WHERE buy_from IS NOT NULL) are sophisticated PostgreSQL usage that reduces index size and improves query performance on filtered data.</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80"/>
            </w:tcMar>
          </w:tcPr>
          <w:p>
            <w:r>
              <w:rPr>
                <w:rFonts w:ascii="Arial" w:cs="Arial" w:eastAsia="Arial" w:hAnsi="Arial"/>
                <w:b/>
                <w:bCs/>
                <w:color w:val="1B3A6B"/>
                <w:sz w:val="19"/>
                <w:szCs w:val="19"/>
              </w:rPr>
              <w:t xml:space="preserve">Per-Request DB Connection</w:t>
            </w:r>
          </w:p>
        </w:tc>
        <w:tc>
          <w:tcPr>
            <w:tcW w:type="dxa" w:w="6826"/>
            <w:tcBorders>
              <w:top w:val="single" w:color="D0D5DD" w:sz="1"/>
              <w:left w:val="single" w:color="D0D5DD" w:sz="1"/>
              <w:bottom w:val="single" w:color="D0D5DD" w:sz="1"/>
              <w:right w:val="single" w:color="D0D5DD" w:sz="1"/>
            </w:tcBorders>
            <w:shd w:fill="FFFFFF" w:val="clear"/>
            <w:tcMar>
              <w:top w:type="dxa" w:w="80"/>
              <w:left w:type="dxa" w:w="80"/>
              <w:bottom w:type="dxa" w:w="80"/>
              <w:right w:type="dxa" w:w="120"/>
            </w:tcMar>
          </w:tcPr>
          <w:p>
            <w:r>
              <w:rPr>
                <w:rFonts w:ascii="Arial" w:cs="Arial" w:eastAsia="Arial" w:hAnsi="Arial"/>
                <w:color w:val="000000"/>
                <w:sz w:val="19"/>
                <w:szCs w:val="19"/>
              </w:rPr>
              <w:t xml:space="preserve">Using Flask g object for per-request connection management ensures connections are always released at request end, preventing connection leaks. The connection healing logic (TRANSACTION_STATUS_INERROR handling) is thoughtful.</w:t>
            </w:r>
          </w:p>
        </w:tc>
      </w:tr>
    </w:tbl>
    <w:p>
      <w:pPr>
        <w:spacing w:after="60" w:before="60"/>
      </w:pPr>
      <w:r>
        <w:t xml:space="preserve"/>
      </w:r>
    </w:p>
    <w:p>
      <w:r>
        <w:br w:type="page"/>
      </w:r>
    </w:p>
    <w:p>
      <w:pPr>
        <w:pStyle w:val="Heading1"/>
        <w:pageBreakBefore/>
        <w:pBdr>
          <w:bottom w:val="single" w:color="C8A84B" w:sz="4"/>
        </w:pBdr>
        <w:spacing w:after="160" w:before="240"/>
      </w:pPr>
      <w:r>
        <w:rPr>
          <w:rFonts w:ascii="Arial" w:cs="Arial" w:eastAsia="Arial" w:hAnsi="Arial"/>
          <w:b/>
          <w:bCs/>
          <w:color w:val="1B3A6B"/>
          <w:sz w:val="36"/>
          <w:szCs w:val="36"/>
        </w:rPr>
        <w:t xml:space="preserve">APPENDIX — QUICK REFERENCE CODE FIXES</w:t>
      </w:r>
    </w:p>
    <w:p>
      <w:pPr>
        <w:pStyle w:val="Heading2"/>
        <w:spacing w:after="100" w:before="200"/>
      </w:pPr>
      <w:r>
        <w:rPr>
          <w:rFonts w:ascii="Arial" w:cs="Arial" w:eastAsia="Arial" w:hAnsi="Arial"/>
          <w:b/>
          <w:bCs/>
          <w:color w:val="1B3A6B"/>
          <w:sz w:val="28"/>
          <w:szCs w:val="28"/>
        </w:rPr>
        <w:t xml:space="preserve">A1. Fix SEC-01 — is_active Login Check</w:t>
      </w:r>
    </w:p>
    <w:p>
      <w:pPr>
        <w:spacing w:after="60" w:before="60"/>
      </w:pPr>
      <w:r>
        <w:rPr>
          <w:rFonts w:ascii="Arial" w:cs="Arial" w:eastAsia="Arial" w:hAnsi="Arial"/>
          <w:color w:val="000000"/>
          <w:sz w:val="20"/>
          <w:szCs w:val="20"/>
        </w:rPr>
        <w:t xml:space="preserve">Location: app.py, login route, after bcrypt.checkpw() check (approximately line 488)</w:t>
      </w:r>
    </w:p>
    <w:p>
      <w:pPr>
        <w:spacing w:after="60" w:before="60"/>
      </w:pPr>
      <w:r>
        <w:t xml:space="preserve"/>
      </w:r>
    </w:p>
    <w:p>
      <w:pPr>
        <w:spacing w:after="60" w:before="60"/>
      </w:pPr>
      <w:r>
        <w:rPr>
          <w:rFonts w:ascii="Arial" w:cs="Arial" w:eastAsia="Arial" w:hAnsi="Arial"/>
          <w:color w:val="000000"/>
          <w:sz w:val="20"/>
          <w:szCs w:val="20"/>
        </w:rPr>
        <w:t xml:space="preserve">CURRENT CODE:</w:t>
      </w:r>
    </w:p>
    <w:p>
      <w:pPr>
        <w:spacing w:after="60" w:before="60"/>
      </w:pPr>
      <w:r>
        <w:rPr>
          <w:rFonts w:ascii="Arial" w:cs="Arial" w:eastAsia="Arial" w:hAnsi="Arial"/>
          <w:color w:val="000000"/>
          <w:sz w:val="20"/>
          <w:szCs w:val="20"/>
        </w:rPr>
        <w:t xml:space="preserve">if user and bcrypt.checkpw(password, user['password_hash'].encode()):</w:t>
      </w:r>
    </w:p>
    <w:p>
      <w:pPr>
        <w:spacing w:after="60" w:before="60"/>
      </w:pPr>
      <w:r>
        <w:t xml:space="preserve"/>
      </w:r>
    </w:p>
    <w:p>
      <w:pPr>
        <w:spacing w:after="60" w:before="60"/>
      </w:pPr>
      <w:r>
        <w:rPr>
          <w:rFonts w:ascii="Arial" w:cs="Arial" w:eastAsia="Arial" w:hAnsi="Arial"/>
          <w:color w:val="000000"/>
          <w:sz w:val="20"/>
          <w:szCs w:val="20"/>
        </w:rPr>
        <w:t xml:space="preserve">REPLACE WITH:</w:t>
      </w:r>
    </w:p>
    <w:p>
      <w:pPr>
        <w:spacing w:after="60" w:before="60"/>
      </w:pPr>
      <w:r>
        <w:rPr>
          <w:rFonts w:ascii="Arial" w:cs="Arial" w:eastAsia="Arial" w:hAnsi="Arial"/>
          <w:color w:val="000000"/>
          <w:sz w:val="20"/>
          <w:szCs w:val="20"/>
        </w:rPr>
        <w:t xml:space="preserve">if user and bcrypt.checkpw(password, user['password_hash'].encode()):</w:t>
      </w:r>
    </w:p>
    <w:p>
      <w:pPr>
        <w:spacing w:after="60" w:before="60"/>
      </w:pPr>
      <w:r>
        <w:rPr>
          <w:rFonts w:ascii="Arial" w:cs="Arial" w:eastAsia="Arial" w:hAnsi="Arial"/>
          <w:color w:val="000000"/>
          <w:sz w:val="20"/>
          <w:szCs w:val="20"/>
        </w:rPr>
        <w:t xml:space="preserve">    if not user.get('is_active', True):</w:t>
      </w:r>
    </w:p>
    <w:p>
      <w:pPr>
        <w:spacing w:after="60" w:before="60"/>
      </w:pPr>
      <w:r>
        <w:rPr>
          <w:rFonts w:ascii="Arial" w:cs="Arial" w:eastAsia="Arial" w:hAnsi="Arial"/>
          <w:color w:val="000000"/>
          <w:sz w:val="20"/>
          <w:szCs w:val="20"/>
        </w:rPr>
        <w:t xml:space="preserve">        flash('Account is disabled. Contact your administrator.', 'danger')</w:t>
      </w:r>
    </w:p>
    <w:p>
      <w:pPr>
        <w:spacing w:after="60" w:before="60"/>
      </w:pPr>
      <w:r>
        <w:rPr>
          <w:rFonts w:ascii="Arial" w:cs="Arial" w:eastAsia="Arial" w:hAnsi="Arial"/>
          <w:color w:val="000000"/>
          <w:sz w:val="20"/>
          <w:szCs w:val="20"/>
        </w:rPr>
        <w:t xml:space="preserve">        return render_template('login.html', next=request.args.get('next', ''))</w:t>
      </w:r>
    </w:p>
    <w:p>
      <w:pPr>
        <w:spacing w:after="60" w:before="60"/>
      </w:pPr>
      <w:r>
        <w:t xml:space="preserve"/>
      </w:r>
    </w:p>
    <w:p>
      <w:pPr>
        <w:pStyle w:val="Heading2"/>
        <w:spacing w:after="100" w:before="200"/>
      </w:pPr>
      <w:r>
        <w:rPr>
          <w:rFonts w:ascii="Arial" w:cs="Arial" w:eastAsia="Arial" w:hAnsi="Arial"/>
          <w:b/>
          <w:bCs/>
          <w:color w:val="1B3A6B"/>
          <w:sz w:val="28"/>
          <w:szCs w:val="28"/>
        </w:rPr>
        <w:t xml:space="preserve">A2. Fix SEC-06 — Open Redirect</w:t>
      </w:r>
    </w:p>
    <w:p>
      <w:pPr>
        <w:spacing w:after="60" w:before="60"/>
      </w:pPr>
      <w:r>
        <w:rPr>
          <w:rFonts w:ascii="Arial" w:cs="Arial" w:eastAsia="Arial" w:hAnsi="Arial"/>
          <w:color w:val="000000"/>
          <w:sz w:val="20"/>
          <w:szCs w:val="20"/>
        </w:rPr>
        <w:t xml:space="preserve">Location: app.py, login route, approximately line 495</w:t>
      </w:r>
    </w:p>
    <w:p>
      <w:pPr>
        <w:spacing w:after="60" w:before="60"/>
      </w:pPr>
      <w:r>
        <w:t xml:space="preserve"/>
      </w:r>
    </w:p>
    <w:p>
      <w:pPr>
        <w:spacing w:after="60" w:before="60"/>
      </w:pPr>
      <w:r>
        <w:rPr>
          <w:rFonts w:ascii="Arial" w:cs="Arial" w:eastAsia="Arial" w:hAnsi="Arial"/>
          <w:color w:val="000000"/>
          <w:sz w:val="20"/>
          <w:szCs w:val="20"/>
        </w:rPr>
        <w:t xml:space="preserve">CURRENT CODE:</w:t>
      </w:r>
    </w:p>
    <w:p>
      <w:pPr>
        <w:spacing w:after="60" w:before="60"/>
      </w:pPr>
      <w:r>
        <w:rPr>
          <w:rFonts w:ascii="Arial" w:cs="Arial" w:eastAsia="Arial" w:hAnsi="Arial"/>
          <w:color w:val="000000"/>
          <w:sz w:val="20"/>
          <w:szCs w:val="20"/>
        </w:rPr>
        <w:t xml:space="preserve">next_page = request.form.get('next') or url_for('index')</w:t>
      </w:r>
    </w:p>
    <w:p>
      <w:pPr>
        <w:spacing w:after="60" w:before="60"/>
      </w:pPr>
      <w:r>
        <w:t xml:space="preserve"/>
      </w:r>
    </w:p>
    <w:p>
      <w:pPr>
        <w:spacing w:after="60" w:before="60"/>
      </w:pPr>
      <w:r>
        <w:rPr>
          <w:rFonts w:ascii="Arial" w:cs="Arial" w:eastAsia="Arial" w:hAnsi="Arial"/>
          <w:color w:val="000000"/>
          <w:sz w:val="20"/>
          <w:szCs w:val="20"/>
        </w:rPr>
        <w:t xml:space="preserve">REPLACE WITH:</w:t>
      </w:r>
    </w:p>
    <w:p>
      <w:pPr>
        <w:spacing w:after="60" w:before="60"/>
      </w:pPr>
      <w:r>
        <w:rPr>
          <w:rFonts w:ascii="Arial" w:cs="Arial" w:eastAsia="Arial" w:hAnsi="Arial"/>
          <w:color w:val="000000"/>
          <w:sz w:val="20"/>
          <w:szCs w:val="20"/>
        </w:rPr>
        <w:t xml:space="preserve">_next = request.form.get('next', '')</w:t>
      </w:r>
    </w:p>
    <w:p>
      <w:pPr>
        <w:spacing w:after="60" w:before="60"/>
      </w:pPr>
      <w:r>
        <w:rPr>
          <w:rFonts w:ascii="Arial" w:cs="Arial" w:eastAsia="Arial" w:hAnsi="Arial"/>
          <w:color w:val="000000"/>
          <w:sz w:val="20"/>
          <w:szCs w:val="20"/>
        </w:rPr>
        <w:t xml:space="preserve">next_page = _next if (_next and _next.startswith('/') and not _next.startswith('//')) else url_for('index')</w:t>
      </w:r>
    </w:p>
    <w:p>
      <w:pPr>
        <w:spacing w:after="60" w:before="60"/>
      </w:pPr>
      <w:r>
        <w:t xml:space="preserve"/>
      </w:r>
    </w:p>
    <w:p>
      <w:pPr>
        <w:pStyle w:val="Heading2"/>
        <w:spacing w:after="100" w:before="200"/>
      </w:pPr>
      <w:r>
        <w:rPr>
          <w:rFonts w:ascii="Arial" w:cs="Arial" w:eastAsia="Arial" w:hAnsi="Arial"/>
          <w:b/>
          <w:bCs/>
          <w:color w:val="1B3A6B"/>
          <w:sz w:val="28"/>
          <w:szCs w:val="28"/>
        </w:rPr>
        <w:t xml:space="preserve">A3. Fix ACC-07 — Supplier Payment Race Condition</w:t>
      </w:r>
    </w:p>
    <w:p>
      <w:pPr>
        <w:spacing w:after="60" w:before="60"/>
      </w:pPr>
      <w:r>
        <w:rPr>
          <w:rFonts w:ascii="Arial" w:cs="Arial" w:eastAsia="Arial" w:hAnsi="Arial"/>
          <w:color w:val="000000"/>
          <w:sz w:val="20"/>
          <w:szCs w:val="20"/>
        </w:rPr>
        <w:t xml:space="preserve">Location: app.py, add_supplier_payment route, approximately line 3682</w:t>
      </w:r>
    </w:p>
    <w:p>
      <w:pPr>
        <w:spacing w:after="60" w:before="60"/>
      </w:pPr>
      <w:r>
        <w:t xml:space="preserve"/>
      </w:r>
    </w:p>
    <w:p>
      <w:pPr>
        <w:spacing w:after="60" w:before="60"/>
      </w:pPr>
      <w:r>
        <w:rPr>
          <w:rFonts w:ascii="Arial" w:cs="Arial" w:eastAsia="Arial" w:hAnsi="Arial"/>
          <w:color w:val="000000"/>
          <w:sz w:val="20"/>
          <w:szCs w:val="20"/>
        </w:rPr>
        <w:t xml:space="preserve">CURRENT CODE (TWO QUERIES):</w:t>
      </w:r>
    </w:p>
    <w:p>
      <w:pPr>
        <w:spacing w:after="60" w:before="60"/>
      </w:pPr>
      <w:r>
        <w:rPr>
          <w:rFonts w:ascii="Arial" w:cs="Arial" w:eastAsia="Arial" w:hAnsi="Arial"/>
          <w:color w:val="000000"/>
          <w:sz w:val="20"/>
          <w:szCs w:val="20"/>
        </w:rPr>
        <w:t xml:space="preserve">execute_db("INSERT INTO supplier_payments (...) VALUES (...)", (...))</w:t>
      </w:r>
    </w:p>
    <w:p>
      <w:pPr>
        <w:spacing w:after="60" w:before="60"/>
      </w:pPr>
      <w:r>
        <w:rPr>
          <w:rFonts w:ascii="Arial" w:cs="Arial" w:eastAsia="Arial" w:hAnsi="Arial"/>
          <w:color w:val="000000"/>
          <w:sz w:val="20"/>
          <w:szCs w:val="20"/>
        </w:rPr>
        <w:t xml:space="preserve">sp_new_id = execute_db("SELECT id FROM supplier_payments ORDER BY id DESC LIMIT 1")</w:t>
      </w:r>
    </w:p>
    <w:p>
      <w:pPr>
        <w:spacing w:after="60" w:before="60"/>
      </w:pPr>
      <w:r>
        <w:t xml:space="preserve"/>
      </w:r>
    </w:p>
    <w:p>
      <w:pPr>
        <w:spacing w:after="60" w:before="60"/>
      </w:pPr>
      <w:r>
        <w:rPr>
          <w:rFonts w:ascii="Arial" w:cs="Arial" w:eastAsia="Arial" w:hAnsi="Arial"/>
          <w:color w:val="000000"/>
          <w:sz w:val="20"/>
          <w:szCs w:val="20"/>
        </w:rPr>
        <w:t xml:space="preserve">REPLACE WITH (ONE QUERY + RETURNING):</w:t>
      </w:r>
    </w:p>
    <w:p>
      <w:pPr>
        <w:spacing w:after="60" w:before="60"/>
      </w:pPr>
      <w:r>
        <w:rPr>
          <w:rFonts w:ascii="Arial" w:cs="Arial" w:eastAsia="Arial" w:hAnsi="Arial"/>
          <w:color w:val="000000"/>
          <w:sz w:val="20"/>
          <w:szCs w:val="20"/>
        </w:rPr>
        <w:t xml:space="preserve">sp_new_id = execute_db("INSERT INTO supplier_payments (...) VALUES (...) RETURNING id", (...))</w:t>
      </w:r>
    </w:p>
    <w:p>
      <w:pPr>
        <w:spacing w:after="60" w:before="60"/>
      </w:pPr>
      <w:r>
        <w:t xml:space="preserve"/>
      </w:r>
    </w:p>
    <w:p>
      <w:pPr>
        <w:pStyle w:val="Heading2"/>
        <w:spacing w:after="100" w:before="200"/>
      </w:pPr>
      <w:r>
        <w:rPr>
          <w:rFonts w:ascii="Arial" w:cs="Arial" w:eastAsia="Arial" w:hAnsi="Arial"/>
          <w:b/>
          <w:bCs/>
          <w:color w:val="1B3A6B"/>
          <w:sz w:val="28"/>
          <w:szCs w:val="28"/>
        </w:rPr>
        <w:t xml:space="preserve">A4. Fix SEC-03 — Session Expiry</w:t>
      </w:r>
    </w:p>
    <w:p>
      <w:pPr>
        <w:spacing w:after="60" w:before="60"/>
      </w:pPr>
      <w:r>
        <w:rPr>
          <w:rFonts w:ascii="Arial" w:cs="Arial" w:eastAsia="Arial" w:hAnsi="Arial"/>
          <w:color w:val="000000"/>
          <w:sz w:val="20"/>
          <w:szCs w:val="20"/>
        </w:rPr>
        <w:t xml:space="preserve">Location: app.py, after app = Flask(__name__) initialization (approximately line 15-17)</w:t>
      </w:r>
    </w:p>
    <w:p>
      <w:pPr>
        <w:spacing w:after="60" w:before="60"/>
      </w:pPr>
      <w:r>
        <w:t xml:space="preserve"/>
      </w:r>
    </w:p>
    <w:p>
      <w:pPr>
        <w:spacing w:after="60" w:before="60"/>
      </w:pPr>
      <w:r>
        <w:rPr>
          <w:rFonts w:ascii="Arial" w:cs="Arial" w:eastAsia="Arial" w:hAnsi="Arial"/>
          <w:color w:val="000000"/>
          <w:sz w:val="20"/>
          <w:szCs w:val="20"/>
        </w:rPr>
        <w:t xml:space="preserve">ADD AFTER SECRET_KEY LINE:</w:t>
      </w:r>
    </w:p>
    <w:p>
      <w:pPr>
        <w:spacing w:after="60" w:before="60"/>
      </w:pPr>
      <w:r>
        <w:rPr>
          <w:rFonts w:ascii="Arial" w:cs="Arial" w:eastAsia="Arial" w:hAnsi="Arial"/>
          <w:color w:val="000000"/>
          <w:sz w:val="20"/>
          <w:szCs w:val="20"/>
        </w:rPr>
        <w:t xml:space="preserve">from datetime import timedelta</w:t>
      </w:r>
    </w:p>
    <w:p>
      <w:pPr>
        <w:spacing w:after="60" w:before="60"/>
      </w:pPr>
      <w:r>
        <w:rPr>
          <w:rFonts w:ascii="Arial" w:cs="Arial" w:eastAsia="Arial" w:hAnsi="Arial"/>
          <w:color w:val="000000"/>
          <w:sz w:val="20"/>
          <w:szCs w:val="20"/>
        </w:rPr>
        <w:t xml:space="preserve">app.permanent_session_lifetime = timedelta(hours=8)</w:t>
      </w:r>
    </w:p>
    <w:p>
      <w:pPr>
        <w:spacing w:after="60" w:before="60"/>
      </w:pPr>
      <w:r>
        <w:t xml:space="preserve"/>
      </w:r>
    </w:p>
    <w:p>
      <w:pPr>
        <w:pStyle w:val="Heading2"/>
        <w:spacing w:after="100" w:before="200"/>
      </w:pPr>
      <w:r>
        <w:rPr>
          <w:rFonts w:ascii="Arial" w:cs="Arial" w:eastAsia="Arial" w:hAnsi="Arial"/>
          <w:b/>
          <w:bCs/>
          <w:color w:val="1B3A6B"/>
          <w:sz w:val="28"/>
          <w:szCs w:val="28"/>
        </w:rPr>
        <w:t xml:space="preserve">A5. Verify NUMERIC Migration — Run in Production</w:t>
      </w:r>
    </w:p>
    <w:p>
      <w:pPr>
        <w:spacing w:after="60" w:before="60"/>
      </w:pPr>
      <w:r>
        <w:rPr>
          <w:rFonts w:ascii="Arial" w:cs="Arial" w:eastAsia="Arial" w:hAnsi="Arial"/>
          <w:color w:val="000000"/>
          <w:sz w:val="20"/>
          <w:szCs w:val="20"/>
        </w:rPr>
        <w:t xml:space="preserve">Run this query directly in PostgreSQL to verify money columns have correct type:</w:t>
      </w:r>
    </w:p>
    <w:p>
      <w:pPr>
        <w:spacing w:after="60" w:before="60"/>
      </w:pPr>
      <w:r>
        <w:t xml:space="preserve"/>
      </w:r>
    </w:p>
    <w:p>
      <w:pPr>
        <w:spacing w:after="60" w:before="60"/>
      </w:pPr>
      <w:r>
        <w:rPr>
          <w:rFonts w:ascii="Arial" w:cs="Arial" w:eastAsia="Arial" w:hAnsi="Arial"/>
          <w:color w:val="000000"/>
          <w:sz w:val="20"/>
          <w:szCs w:val="20"/>
        </w:rPr>
        <w:t xml:space="preserve">SELECT table_name, column_name, data_type</w:t>
      </w:r>
    </w:p>
    <w:p>
      <w:pPr>
        <w:spacing w:after="60" w:before="60"/>
      </w:pPr>
      <w:r>
        <w:rPr>
          <w:rFonts w:ascii="Arial" w:cs="Arial" w:eastAsia="Arial" w:hAnsi="Arial"/>
          <w:color w:val="000000"/>
          <w:sz w:val="20"/>
          <w:szCs w:val="20"/>
        </w:rPr>
        <w:t xml:space="preserve">FROM information_schema.columns</w:t>
      </w:r>
    </w:p>
    <w:p>
      <w:pPr>
        <w:spacing w:after="60" w:before="60"/>
      </w:pPr>
      <w:r>
        <w:rPr>
          <w:rFonts w:ascii="Arial" w:cs="Arial" w:eastAsia="Arial" w:hAnsi="Arial"/>
          <w:color w:val="000000"/>
          <w:sz w:val="20"/>
          <w:szCs w:val="20"/>
        </w:rPr>
        <w:t xml:space="preserve">WHERE table_name IN ('sales', 'payments', 'supplier_payments')</w:t>
      </w:r>
    </w:p>
    <w:p>
      <w:pPr>
        <w:spacing w:after="60" w:before="60"/>
      </w:pPr>
      <w:r>
        <w:rPr>
          <w:rFonts w:ascii="Arial" w:cs="Arial" w:eastAsia="Arial" w:hAnsi="Arial"/>
          <w:color w:val="000000"/>
          <w:sz w:val="20"/>
          <w:szCs w:val="20"/>
        </w:rPr>
        <w:t xml:space="preserve">  AND column_name IN ('net', 'sell', 'profit', 'amount', 'net_cost', 'sell_price')</w:t>
      </w:r>
    </w:p>
    <w:p>
      <w:pPr>
        <w:spacing w:after="60" w:before="60"/>
      </w:pPr>
      <w:r>
        <w:rPr>
          <w:rFonts w:ascii="Arial" w:cs="Arial" w:eastAsia="Arial" w:hAnsi="Arial"/>
          <w:color w:val="000000"/>
          <w:sz w:val="20"/>
          <w:szCs w:val="20"/>
        </w:rPr>
        <w:t xml:space="preserve">ORDER BY table_name, column_name;</w:t>
      </w:r>
    </w:p>
    <w:p>
      <w:pPr>
        <w:spacing w:after="60" w:before="60"/>
      </w:pPr>
      <w:r>
        <w:t xml:space="preserve"/>
      </w:r>
    </w:p>
    <w:p>
      <w:pPr>
        <w:spacing w:after="60" w:before="60"/>
      </w:pPr>
      <w:r>
        <w:rPr>
          <w:rFonts w:ascii="Arial" w:cs="Arial" w:eastAsia="Arial" w:hAnsi="Arial"/>
          <w:color w:val="000000"/>
          <w:sz w:val="20"/>
          <w:szCs w:val="20"/>
        </w:rPr>
        <w:t xml:space="preserve">Expected result: data_type = "numeric" for all rows.</w:t>
      </w:r>
    </w:p>
    <w:p>
      <w:pPr>
        <w:spacing w:after="60" w:before="60"/>
      </w:pPr>
      <w:r>
        <w:rPr>
          <w:rFonts w:ascii="Arial" w:cs="Arial" w:eastAsia="Arial" w:hAnsi="Arial"/>
          <w:color w:val="000000"/>
          <w:sz w:val="20"/>
          <w:szCs w:val="20"/>
        </w:rPr>
        <w:t xml:space="preserve">If data_type = "double precision" — the migration failed. Run the ALTER TABLE commands from init_extension_db lines 2354-2366 manually in a transaction with explicit COMMIT.</w:t>
      </w:r>
    </w:p>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0D5DD" w:sz="1"/>
              <w:left w:val="single" w:color="D0D5DD" w:sz="1"/>
              <w:bottom w:val="single" w:color="D0D5DD" w:sz="1"/>
              <w:right w:val="single" w:color="D0D5DD" w:sz="1"/>
            </w:tcBorders>
            <w:shd w:fill="1B3A6B" w:val="clear"/>
            <w:tcMar>
              <w:top w:type="dxa" w:w="200"/>
              <w:left w:type="dxa" w:w="300"/>
              <w:bottom w:type="dxa" w:w="200"/>
              <w:right w:type="dxa" w:w="300"/>
            </w:tcMar>
          </w:tcPr>
          <w:p>
            <w:pPr>
              <w:jc w:val="center"/>
            </w:pPr>
            <w:r>
              <w:rPr>
                <w:rFonts w:ascii="Arial" w:cs="Arial" w:eastAsia="Arial" w:hAnsi="Arial"/>
                <w:b/>
                <w:bCs/>
                <w:color w:val="C8A84B"/>
                <w:sz w:val="28"/>
                <w:szCs w:val="28"/>
              </w:rPr>
              <w:t xml:space="preserve">END OF AUDIT REPORT</w:t>
            </w:r>
          </w:p>
          <w:p>
            <w:pPr>
              <w:jc w:val="center"/>
            </w:pPr>
            <w:r>
              <w:rPr>
                <w:rFonts w:ascii="Arial" w:cs="Arial" w:eastAsia="Arial" w:hAnsi="Arial"/>
                <w:color w:val="FFFFFF"/>
                <w:sz w:val="20"/>
                <w:szCs w:val="20"/>
              </w:rPr>
              <w:t xml:space="preserve">Alsondos Travel ERP — Enterprise Production Audit — May 2026</w:t>
            </w:r>
          </w:p>
          <w:p>
            <w:pPr>
              <w:jc w:val="center"/>
            </w:pPr>
            <w:r>
              <w:rPr>
                <w:rFonts w:ascii="Arial" w:cs="Arial" w:eastAsia="Arial" w:hAnsi="Arial"/>
                <w:color w:val="B0BEC5"/>
                <w:sz w:val="18"/>
                <w:szCs w:val="18"/>
              </w:rPr>
              <w:t xml:space="preserve">CONFIDENTIAL — For Management and Technical Staff Only</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pBdr>
      <w:tabs>
        <w:tab w:val="right" w:pos="8748"/>
      </w:tabs>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r>
      <w:rPr>
        <w:sz w:val="16"/>
        <w:szCs w:val="16"/>
      </w:rPr>
      <w:t xml:space="preserve">	</w:t>
    </w:r>
    <w:r>
      <w:rPr>
        <w:rFonts w:ascii="Arial" w:cs="Arial" w:eastAsia="Arial" w:hAnsi="Arial"/>
        <w:color w:val="4A5568"/>
        <w:sz w:val="16"/>
        <w:szCs w:val="16"/>
      </w:rPr>
      <w:t xml:space="preserve">Alsondos Travel ERP Audit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pBdr>
      <w:tabs>
        <w:tab w:val="right" w:pos="8748"/>
      </w:tabs>
    </w:pPr>
    <w:r>
      <w:rPr>
        <w:rFonts w:ascii="Arial" w:cs="Arial" w:eastAsia="Arial" w:hAnsi="Arial"/>
        <w:b/>
        <w:bCs/>
        <w:color w:val="1B3A6B"/>
        <w:sz w:val="16"/>
        <w:szCs w:val="16"/>
      </w:rPr>
      <w:t xml:space="preserve">ALSONDOS TRAVEL ERP — </w:t>
    </w:r>
    <w:r>
      <w:rPr>
        <w:rFonts w:ascii="Arial" w:cs="Arial" w:eastAsia="Arial" w:hAnsi="Arial"/>
        <w:color w:val="4A5568"/>
        <w:sz w:val="16"/>
        <w:szCs w:val="16"/>
      </w:rPr>
      <w:t xml:space="preserve">Enterprise Production Audit Report — May 2026</w:t>
    </w:r>
    <w:r>
      <w:rPr>
        <w:sz w:val="16"/>
        <w:szCs w:val="16"/>
      </w:rPr>
      <w:t xml:space="preserve">	</w:t>
    </w:r>
    <w:r>
      <w:rPr>
        <w:rFonts w:ascii="Arial" w:cs="Arial" w:eastAsia="Arial" w:hAnsi="Arial"/>
        <w:b/>
        <w:bCs/>
        <w:color w:val="C0392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60"/>
      <w:outlineLvl w:val="2"/>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2026-05-24T19:47:08.840Z</dcterms:created>
  <dcterms:modified xsi:type="dcterms:W3CDTF">2026-05-24T19:47:08.845Z</dcterms:modified>
</cp:coreProperties>
</file>

<file path=docProps/custom.xml><?xml version="1.0" encoding="utf-8"?>
<Properties xmlns="http://schemas.openxmlformats.org/officeDocument/2006/custom-properties" xmlns:vt="http://schemas.openxmlformats.org/officeDocument/2006/docPropsVTypes"/>
</file>