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843DB" w14:textId="4EE16B27" w:rsidR="00E211E2" w:rsidRDefault="00E211E2" w:rsidP="00E211E2">
      <w:pPr>
        <w:rPr>
          <w:rFonts w:cstheme="minorHAnsi"/>
          <w:b/>
          <w:bCs/>
        </w:rPr>
      </w:pPr>
      <w:r>
        <w:rPr>
          <w:rFonts w:cstheme="minorHAnsi"/>
          <w:b/>
          <w:bCs/>
        </w:rPr>
        <w:t>Credit One Customer Default Identification Report</w:t>
      </w:r>
    </w:p>
    <w:p w14:paraId="044FEAE0" w14:textId="77777777" w:rsidR="00E211E2" w:rsidRDefault="00E211E2" w:rsidP="00E211E2">
      <w:pPr>
        <w:rPr>
          <w:rFonts w:cstheme="minorHAnsi"/>
          <w:b/>
          <w:bCs/>
        </w:rPr>
      </w:pPr>
      <w:r>
        <w:rPr>
          <w:rFonts w:cstheme="minorHAnsi"/>
          <w:b/>
          <w:bCs/>
        </w:rPr>
        <w:t>By Omar Chavez</w:t>
      </w:r>
    </w:p>
    <w:p w14:paraId="08F23D57" w14:textId="4491912B" w:rsidR="00E211E2" w:rsidRDefault="00E211E2" w:rsidP="00E211E2">
      <w:pPr>
        <w:rPr>
          <w:rFonts w:cstheme="minorHAnsi"/>
          <w:b/>
          <w:bCs/>
        </w:rPr>
      </w:pPr>
      <w:r>
        <w:rPr>
          <w:rFonts w:cstheme="minorHAnsi"/>
          <w:b/>
          <w:bCs/>
        </w:rPr>
        <w:t>1/24/2022</w:t>
      </w:r>
    </w:p>
    <w:p w14:paraId="0F23A359" w14:textId="77777777" w:rsidR="00515949" w:rsidRDefault="00515949" w:rsidP="00E211E2">
      <w:pPr>
        <w:rPr>
          <w:rFonts w:cstheme="minorHAnsi"/>
          <w:b/>
          <w:bCs/>
        </w:rPr>
      </w:pPr>
    </w:p>
    <w:p w14:paraId="23479A7B" w14:textId="77777777" w:rsidR="00515949" w:rsidRDefault="00515949" w:rsidP="00E211E2">
      <w:pPr>
        <w:rPr>
          <w:rFonts w:cstheme="minorHAnsi"/>
          <w:b/>
          <w:bCs/>
        </w:rPr>
      </w:pPr>
    </w:p>
    <w:p w14:paraId="57955CD9" w14:textId="378A7EA3" w:rsidR="00E211E2" w:rsidRDefault="00E211E2" w:rsidP="00E61C9A">
      <w:pPr>
        <w:rPr>
          <w:rFonts w:cstheme="minorHAnsi"/>
          <w:b/>
          <w:bCs/>
        </w:rPr>
      </w:pPr>
      <w:r>
        <w:rPr>
          <w:rFonts w:cstheme="minorHAnsi"/>
          <w:b/>
          <w:bCs/>
        </w:rPr>
        <w:t>How To Ensure That Customers Can/Will Pay Their Loans</w:t>
      </w:r>
    </w:p>
    <w:p w14:paraId="467FDE78" w14:textId="77777777" w:rsidR="00515949" w:rsidRDefault="00515949" w:rsidP="00515949">
      <w:pPr>
        <w:tabs>
          <w:tab w:val="left" w:pos="3533"/>
        </w:tabs>
        <w:rPr>
          <w:rFonts w:cstheme="minorHAnsi"/>
        </w:rPr>
      </w:pPr>
      <w:r>
        <w:rPr>
          <w:rFonts w:cstheme="minorHAnsi"/>
        </w:rPr>
        <w:t xml:space="preserve">During the exploratory data analysis, some patterns were identified in the data that can help us identify customers that will not default. </w:t>
      </w:r>
    </w:p>
    <w:p w14:paraId="75F71809" w14:textId="38C08478" w:rsidR="00515949" w:rsidRDefault="00515949" w:rsidP="00515949">
      <w:pPr>
        <w:tabs>
          <w:tab w:val="left" w:pos="3533"/>
        </w:tabs>
        <w:rPr>
          <w:rFonts w:cstheme="minorHAnsi"/>
        </w:rPr>
      </w:pPr>
      <w:r>
        <w:rPr>
          <w:rFonts w:cstheme="minorHAnsi"/>
        </w:rPr>
        <w:t xml:space="preserve">For example, the chart below illustrates default rates when compared to </w:t>
      </w:r>
      <w:r w:rsidR="0080277A">
        <w:rPr>
          <w:rFonts w:cstheme="minorHAnsi"/>
        </w:rPr>
        <w:t>education level</w:t>
      </w:r>
      <w:r>
        <w:rPr>
          <w:rFonts w:cstheme="minorHAnsi"/>
        </w:rPr>
        <w:t>.</w:t>
      </w:r>
      <w:r w:rsidR="0080277A">
        <w:rPr>
          <w:rFonts w:cstheme="minorHAnsi"/>
        </w:rPr>
        <w:t xml:space="preserve"> This chart shows us that, excluding ‘Other Education’, default rates are inversely related to education level. Which is to say, that default rates are highest in people with only a high school education, and are lowest in people with a graduate level degree.  </w:t>
      </w:r>
    </w:p>
    <w:p w14:paraId="0451BF95" w14:textId="77777777" w:rsidR="0080277A" w:rsidRDefault="00515949" w:rsidP="0080277A">
      <w:pPr>
        <w:keepNext/>
        <w:tabs>
          <w:tab w:val="left" w:pos="3533"/>
        </w:tabs>
      </w:pPr>
      <w:r>
        <w:rPr>
          <w:rFonts w:cstheme="minorHAnsi"/>
          <w:noProof/>
        </w:rPr>
        <w:drawing>
          <wp:inline distT="0" distB="0" distL="0" distR="0" wp14:anchorId="32E1D040" wp14:editId="70C92426">
            <wp:extent cx="5943600" cy="2853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53055"/>
                    </a:xfrm>
                    <a:prstGeom prst="rect">
                      <a:avLst/>
                    </a:prstGeom>
                    <a:noFill/>
                    <a:ln>
                      <a:noFill/>
                    </a:ln>
                  </pic:spPr>
                </pic:pic>
              </a:graphicData>
            </a:graphic>
          </wp:inline>
        </w:drawing>
      </w:r>
    </w:p>
    <w:p w14:paraId="4F2F7924" w14:textId="5F472AF2" w:rsidR="0080277A" w:rsidRDefault="0080277A" w:rsidP="0080277A">
      <w:pPr>
        <w:pStyle w:val="Caption"/>
        <w:jc w:val="center"/>
      </w:pPr>
      <w:r>
        <w:t xml:space="preserve">Figure </w:t>
      </w:r>
      <w:fldSimple w:instr=" SEQ Figure \* ARABIC ">
        <w:r w:rsidR="00936CB2">
          <w:rPr>
            <w:noProof/>
          </w:rPr>
          <w:t>1</w:t>
        </w:r>
      </w:fldSimple>
      <w:r>
        <w:t>: Comparing Education Level to Default Rates</w:t>
      </w:r>
    </w:p>
    <w:p w14:paraId="4080480B" w14:textId="77777777" w:rsidR="000B6F33" w:rsidRDefault="0080277A" w:rsidP="00515949">
      <w:pPr>
        <w:tabs>
          <w:tab w:val="left" w:pos="3533"/>
        </w:tabs>
        <w:rPr>
          <w:rFonts w:cstheme="minorHAnsi"/>
        </w:rPr>
      </w:pPr>
      <w:r>
        <w:rPr>
          <w:rFonts w:cstheme="minorHAnsi"/>
        </w:rPr>
        <w:t xml:space="preserve">Another </w:t>
      </w:r>
      <w:r w:rsidR="000B6F33">
        <w:rPr>
          <w:rFonts w:cstheme="minorHAnsi"/>
        </w:rPr>
        <w:t>interesting</w:t>
      </w:r>
      <w:r>
        <w:rPr>
          <w:rFonts w:cstheme="minorHAnsi"/>
        </w:rPr>
        <w:t xml:space="preserve"> observation made was that </w:t>
      </w:r>
      <w:r w:rsidR="000B6F33">
        <w:rPr>
          <w:rFonts w:cstheme="minorHAnsi"/>
        </w:rPr>
        <w:t xml:space="preserve">default rates were highest in people that were divorced (26%) as opposed to married individuals (20.95%), and single/unmarried individuals (23.46%). Figure 2 below illustrates this phenomenon. </w:t>
      </w:r>
    </w:p>
    <w:p w14:paraId="1DA38019" w14:textId="77777777" w:rsidR="000B6F33" w:rsidRDefault="000B6F33" w:rsidP="000B6F33">
      <w:pPr>
        <w:keepNext/>
        <w:tabs>
          <w:tab w:val="left" w:pos="3533"/>
        </w:tabs>
      </w:pPr>
      <w:r>
        <w:rPr>
          <w:rFonts w:cstheme="minorHAnsi"/>
          <w:noProof/>
        </w:rPr>
        <w:lastRenderedPageBreak/>
        <w:drawing>
          <wp:inline distT="0" distB="0" distL="0" distR="0" wp14:anchorId="4EDF3786" wp14:editId="1D8863FD">
            <wp:extent cx="5943600" cy="3059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59430"/>
                    </a:xfrm>
                    <a:prstGeom prst="rect">
                      <a:avLst/>
                    </a:prstGeom>
                    <a:noFill/>
                    <a:ln>
                      <a:noFill/>
                    </a:ln>
                  </pic:spPr>
                </pic:pic>
              </a:graphicData>
            </a:graphic>
          </wp:inline>
        </w:drawing>
      </w:r>
    </w:p>
    <w:p w14:paraId="24760CEF" w14:textId="21B1338E" w:rsidR="000B6F33" w:rsidRDefault="000B6F33" w:rsidP="000B6F33">
      <w:pPr>
        <w:pStyle w:val="Caption"/>
        <w:jc w:val="center"/>
      </w:pPr>
      <w:r>
        <w:t xml:space="preserve">Figure </w:t>
      </w:r>
      <w:fldSimple w:instr=" SEQ Figure \* ARABIC ">
        <w:r w:rsidR="00936CB2">
          <w:rPr>
            <w:noProof/>
          </w:rPr>
          <w:t>2</w:t>
        </w:r>
      </w:fldSimple>
      <w:r>
        <w:t>: Default Rates Compared to Marriage Status. 1 = Single. 2 = Married. 3 = Divorced</w:t>
      </w:r>
    </w:p>
    <w:p w14:paraId="54F1FA16" w14:textId="00CBE8F0" w:rsidR="000B6F33" w:rsidRDefault="000B6F33" w:rsidP="00936CB2">
      <w:pPr>
        <w:tabs>
          <w:tab w:val="left" w:pos="6439"/>
        </w:tabs>
        <w:rPr>
          <w:rFonts w:cstheme="minorHAnsi"/>
        </w:rPr>
      </w:pPr>
      <w:r>
        <w:rPr>
          <w:rFonts w:cstheme="minorHAnsi"/>
        </w:rPr>
        <w:t xml:space="preserve">Another interesting find was found when default rates were compared to balance limits. </w:t>
      </w:r>
    </w:p>
    <w:p w14:paraId="6214088A" w14:textId="77777777" w:rsidR="000B6F33" w:rsidRPr="00AD0FC0" w:rsidRDefault="000B6F33" w:rsidP="000B6F33">
      <w:pPr>
        <w:tabs>
          <w:tab w:val="left" w:pos="6439"/>
        </w:tabs>
        <w:rPr>
          <w:rFonts w:cstheme="minorHAnsi"/>
        </w:rPr>
      </w:pPr>
      <w:r w:rsidRPr="00AD0FC0">
        <w:rPr>
          <w:rFonts w:cstheme="minorHAnsi"/>
        </w:rPr>
        <w:t xml:space="preserve">Default rates go down as limit balance increases. Default rates are especially high in the first bucket of </w:t>
      </w:r>
      <w:r>
        <w:rPr>
          <w:rFonts w:cstheme="minorHAnsi"/>
        </w:rPr>
        <w:t>$</w:t>
      </w:r>
      <w:r w:rsidRPr="00AD0FC0">
        <w:rPr>
          <w:rFonts w:cstheme="minorHAnsi"/>
        </w:rPr>
        <w:t>9,999-$50,000.</w:t>
      </w:r>
      <w:r>
        <w:rPr>
          <w:rFonts w:cstheme="minorHAnsi"/>
        </w:rPr>
        <w:t xml:space="preserve"> This is very significant. There needs to be more scrutiny done on people that apply for loans in this range.   </w:t>
      </w:r>
    </w:p>
    <w:p w14:paraId="27650C95" w14:textId="3B95E1BA" w:rsidR="00936CB2" w:rsidRDefault="00936CB2" w:rsidP="00936CB2">
      <w:pPr>
        <w:pStyle w:val="Caption"/>
        <w:keepNext/>
        <w:jc w:val="right"/>
      </w:pPr>
      <w:r>
        <w:t xml:space="preserve">Table </w:t>
      </w:r>
      <w:fldSimple w:instr=" SEQ Table \* ARABIC ">
        <w:r w:rsidR="00820149">
          <w:rPr>
            <w:noProof/>
          </w:rPr>
          <w:t>1</w:t>
        </w:r>
      </w:fldSimple>
      <w:r>
        <w:t>: Default Rates at Each Balance Limit Level</w:t>
      </w:r>
    </w:p>
    <w:tbl>
      <w:tblPr>
        <w:tblpPr w:leftFromText="180" w:rightFromText="180" w:vertAnchor="text" w:horzAnchor="margin" w:tblpXSpec="right" w:tblpY="152"/>
        <w:tblW w:w="3340" w:type="dxa"/>
        <w:tblLook w:val="04A0" w:firstRow="1" w:lastRow="0" w:firstColumn="1" w:lastColumn="0" w:noHBand="0" w:noVBand="1"/>
      </w:tblPr>
      <w:tblGrid>
        <w:gridCol w:w="2080"/>
        <w:gridCol w:w="1260"/>
      </w:tblGrid>
      <w:tr w:rsidR="00936CB2" w14:paraId="68B06673" w14:textId="77777777" w:rsidTr="00936CB2">
        <w:trPr>
          <w:trHeight w:val="29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C00704" w14:textId="77777777" w:rsidR="00936CB2" w:rsidRDefault="00936CB2" w:rsidP="00936CB2">
            <w:pPr>
              <w:jc w:val="center"/>
              <w:rPr>
                <w:rFonts w:ascii="Calibri" w:hAnsi="Calibri" w:cs="Calibri"/>
                <w:color w:val="000000"/>
              </w:rPr>
            </w:pPr>
            <w:r>
              <w:rPr>
                <w:rFonts w:ascii="Calibri" w:hAnsi="Calibri" w:cs="Calibri"/>
                <w:color w:val="000000"/>
              </w:rPr>
              <w:t>Balance Limit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3D9E198" w14:textId="77777777" w:rsidR="00936CB2" w:rsidRDefault="00936CB2" w:rsidP="00936CB2">
            <w:pPr>
              <w:jc w:val="center"/>
              <w:rPr>
                <w:rFonts w:ascii="Calibri" w:hAnsi="Calibri" w:cs="Calibri"/>
                <w:color w:val="000000"/>
              </w:rPr>
            </w:pPr>
            <w:r>
              <w:rPr>
                <w:rFonts w:ascii="Calibri" w:hAnsi="Calibri" w:cs="Calibri"/>
                <w:color w:val="000000"/>
              </w:rPr>
              <w:t>Default Rate</w:t>
            </w:r>
          </w:p>
        </w:tc>
      </w:tr>
      <w:tr w:rsidR="00936CB2" w14:paraId="56DAE09A" w14:textId="77777777" w:rsidTr="00936CB2">
        <w:trPr>
          <w:trHeight w:val="29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525728A3" w14:textId="77777777" w:rsidR="00936CB2" w:rsidRDefault="00936CB2" w:rsidP="00936CB2">
            <w:pPr>
              <w:rPr>
                <w:rFonts w:ascii="Calibri" w:hAnsi="Calibri" w:cs="Calibri"/>
                <w:color w:val="000000"/>
              </w:rPr>
            </w:pPr>
            <w:r>
              <w:rPr>
                <w:rFonts w:ascii="Calibri" w:hAnsi="Calibri" w:cstheme="minorHAnsi"/>
                <w:color w:val="000000"/>
              </w:rPr>
              <w:t xml:space="preserve">$9999-50,000          </w:t>
            </w:r>
          </w:p>
        </w:tc>
        <w:tc>
          <w:tcPr>
            <w:tcW w:w="1260" w:type="dxa"/>
            <w:tcBorders>
              <w:top w:val="nil"/>
              <w:left w:val="nil"/>
              <w:bottom w:val="single" w:sz="4" w:space="0" w:color="auto"/>
              <w:right w:val="single" w:sz="4" w:space="0" w:color="auto"/>
            </w:tcBorders>
            <w:shd w:val="clear" w:color="auto" w:fill="auto"/>
            <w:noWrap/>
            <w:vAlign w:val="bottom"/>
            <w:hideMark/>
          </w:tcPr>
          <w:p w14:paraId="74BECD67" w14:textId="77777777" w:rsidR="00936CB2" w:rsidRDefault="00936CB2" w:rsidP="00936CB2">
            <w:pPr>
              <w:jc w:val="right"/>
              <w:rPr>
                <w:rFonts w:ascii="Calibri" w:hAnsi="Calibri" w:cs="Calibri"/>
                <w:color w:val="000000"/>
              </w:rPr>
            </w:pPr>
            <w:r>
              <w:rPr>
                <w:rFonts w:ascii="Calibri" w:hAnsi="Calibri" w:cs="Calibri"/>
                <w:color w:val="000000"/>
              </w:rPr>
              <w:t>31.79%</w:t>
            </w:r>
          </w:p>
        </w:tc>
      </w:tr>
      <w:tr w:rsidR="00936CB2" w14:paraId="5C577902" w14:textId="77777777" w:rsidTr="00936CB2">
        <w:trPr>
          <w:trHeight w:val="29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25E75B46" w14:textId="77777777" w:rsidR="00936CB2" w:rsidRDefault="00936CB2" w:rsidP="00936CB2">
            <w:pPr>
              <w:rPr>
                <w:rFonts w:ascii="Calibri" w:hAnsi="Calibri" w:cs="Calibri"/>
                <w:color w:val="000000"/>
              </w:rPr>
            </w:pPr>
            <w:r>
              <w:rPr>
                <w:rFonts w:ascii="Calibri" w:hAnsi="Calibri" w:cstheme="minorHAnsi"/>
                <w:color w:val="000000"/>
              </w:rPr>
              <w:t xml:space="preserve">$50,000-100,000       </w:t>
            </w:r>
          </w:p>
        </w:tc>
        <w:tc>
          <w:tcPr>
            <w:tcW w:w="1260" w:type="dxa"/>
            <w:tcBorders>
              <w:top w:val="nil"/>
              <w:left w:val="nil"/>
              <w:bottom w:val="single" w:sz="4" w:space="0" w:color="auto"/>
              <w:right w:val="single" w:sz="4" w:space="0" w:color="auto"/>
            </w:tcBorders>
            <w:shd w:val="clear" w:color="auto" w:fill="auto"/>
            <w:noWrap/>
            <w:vAlign w:val="bottom"/>
            <w:hideMark/>
          </w:tcPr>
          <w:p w14:paraId="37A5526A" w14:textId="77777777" w:rsidR="00936CB2" w:rsidRDefault="00936CB2" w:rsidP="00936CB2">
            <w:pPr>
              <w:jc w:val="right"/>
              <w:rPr>
                <w:rFonts w:ascii="Calibri" w:hAnsi="Calibri" w:cs="Calibri"/>
                <w:color w:val="000000"/>
              </w:rPr>
            </w:pPr>
            <w:r>
              <w:rPr>
                <w:rFonts w:ascii="Calibri" w:hAnsi="Calibri" w:cs="Calibri"/>
                <w:color w:val="000000"/>
              </w:rPr>
              <w:t>25.82%</w:t>
            </w:r>
          </w:p>
        </w:tc>
      </w:tr>
      <w:tr w:rsidR="00936CB2" w14:paraId="21239F40" w14:textId="77777777" w:rsidTr="00936CB2">
        <w:trPr>
          <w:trHeight w:val="29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22CA2D07" w14:textId="77777777" w:rsidR="00936CB2" w:rsidRDefault="00936CB2" w:rsidP="00936CB2">
            <w:pPr>
              <w:rPr>
                <w:rFonts w:ascii="Calibri" w:hAnsi="Calibri" w:cs="Calibri"/>
                <w:color w:val="000000"/>
              </w:rPr>
            </w:pPr>
            <w:r>
              <w:rPr>
                <w:rFonts w:ascii="Calibri" w:hAnsi="Calibri" w:cstheme="minorHAnsi"/>
                <w:color w:val="000000"/>
              </w:rPr>
              <w:t xml:space="preserve">$100,000-180,000      </w:t>
            </w:r>
          </w:p>
        </w:tc>
        <w:tc>
          <w:tcPr>
            <w:tcW w:w="1260" w:type="dxa"/>
            <w:tcBorders>
              <w:top w:val="nil"/>
              <w:left w:val="nil"/>
              <w:bottom w:val="single" w:sz="4" w:space="0" w:color="auto"/>
              <w:right w:val="single" w:sz="4" w:space="0" w:color="auto"/>
            </w:tcBorders>
            <w:shd w:val="clear" w:color="auto" w:fill="auto"/>
            <w:noWrap/>
            <w:vAlign w:val="bottom"/>
            <w:hideMark/>
          </w:tcPr>
          <w:p w14:paraId="412E1D37" w14:textId="77777777" w:rsidR="00936CB2" w:rsidRDefault="00936CB2" w:rsidP="00936CB2">
            <w:pPr>
              <w:jc w:val="right"/>
              <w:rPr>
                <w:rFonts w:ascii="Calibri" w:hAnsi="Calibri" w:cs="Calibri"/>
                <w:color w:val="000000"/>
              </w:rPr>
            </w:pPr>
            <w:r>
              <w:rPr>
                <w:rFonts w:ascii="Calibri" w:hAnsi="Calibri" w:cs="Calibri"/>
                <w:color w:val="000000"/>
              </w:rPr>
              <w:t>19.87%</w:t>
            </w:r>
          </w:p>
        </w:tc>
      </w:tr>
      <w:tr w:rsidR="00936CB2" w14:paraId="7156DB71" w14:textId="77777777" w:rsidTr="00936CB2">
        <w:trPr>
          <w:trHeight w:val="29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6EA10CAD" w14:textId="77777777" w:rsidR="00936CB2" w:rsidRDefault="00936CB2" w:rsidP="00936CB2">
            <w:pPr>
              <w:rPr>
                <w:rFonts w:ascii="Calibri" w:hAnsi="Calibri" w:cs="Calibri"/>
                <w:color w:val="000000"/>
              </w:rPr>
            </w:pPr>
            <w:r>
              <w:rPr>
                <w:rFonts w:ascii="Calibri" w:hAnsi="Calibri" w:cstheme="minorHAnsi"/>
                <w:color w:val="000000"/>
              </w:rPr>
              <w:t xml:space="preserve">$180,000-270,000      </w:t>
            </w:r>
          </w:p>
        </w:tc>
        <w:tc>
          <w:tcPr>
            <w:tcW w:w="1260" w:type="dxa"/>
            <w:tcBorders>
              <w:top w:val="nil"/>
              <w:left w:val="nil"/>
              <w:bottom w:val="single" w:sz="4" w:space="0" w:color="auto"/>
              <w:right w:val="single" w:sz="4" w:space="0" w:color="auto"/>
            </w:tcBorders>
            <w:shd w:val="clear" w:color="auto" w:fill="auto"/>
            <w:noWrap/>
            <w:vAlign w:val="bottom"/>
            <w:hideMark/>
          </w:tcPr>
          <w:p w14:paraId="33702C0E" w14:textId="77777777" w:rsidR="00936CB2" w:rsidRDefault="00936CB2" w:rsidP="00936CB2">
            <w:pPr>
              <w:jc w:val="right"/>
              <w:rPr>
                <w:rFonts w:ascii="Calibri" w:hAnsi="Calibri" w:cs="Calibri"/>
                <w:color w:val="000000"/>
              </w:rPr>
            </w:pPr>
            <w:r>
              <w:rPr>
                <w:rFonts w:ascii="Calibri" w:hAnsi="Calibri" w:cs="Calibri"/>
                <w:color w:val="000000"/>
              </w:rPr>
              <w:t>16.87%</w:t>
            </w:r>
          </w:p>
        </w:tc>
      </w:tr>
      <w:tr w:rsidR="00936CB2" w14:paraId="27645941" w14:textId="77777777" w:rsidTr="00936CB2">
        <w:trPr>
          <w:trHeight w:val="29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2C2D6D65" w14:textId="77777777" w:rsidR="00936CB2" w:rsidRDefault="00936CB2" w:rsidP="00936CB2">
            <w:pPr>
              <w:rPr>
                <w:rFonts w:ascii="Calibri" w:hAnsi="Calibri" w:cs="Calibri"/>
                <w:color w:val="000000"/>
              </w:rPr>
            </w:pPr>
            <w:r>
              <w:rPr>
                <w:rFonts w:ascii="Calibri" w:hAnsi="Calibri" w:cstheme="minorHAnsi"/>
                <w:color w:val="000000"/>
              </w:rPr>
              <w:t xml:space="preserve">$270,000-1,000,000    </w:t>
            </w:r>
          </w:p>
        </w:tc>
        <w:tc>
          <w:tcPr>
            <w:tcW w:w="1260" w:type="dxa"/>
            <w:tcBorders>
              <w:top w:val="nil"/>
              <w:left w:val="nil"/>
              <w:bottom w:val="single" w:sz="4" w:space="0" w:color="auto"/>
              <w:right w:val="single" w:sz="4" w:space="0" w:color="auto"/>
            </w:tcBorders>
            <w:shd w:val="clear" w:color="auto" w:fill="auto"/>
            <w:noWrap/>
            <w:vAlign w:val="bottom"/>
            <w:hideMark/>
          </w:tcPr>
          <w:p w14:paraId="65CA9288" w14:textId="77777777" w:rsidR="00936CB2" w:rsidRDefault="00936CB2" w:rsidP="00936CB2">
            <w:pPr>
              <w:jc w:val="right"/>
              <w:rPr>
                <w:rFonts w:ascii="Calibri" w:hAnsi="Calibri" w:cs="Calibri"/>
                <w:color w:val="000000"/>
              </w:rPr>
            </w:pPr>
            <w:r>
              <w:rPr>
                <w:rFonts w:ascii="Calibri" w:hAnsi="Calibri" w:cs="Calibri"/>
                <w:color w:val="000000"/>
              </w:rPr>
              <w:t>13.77%</w:t>
            </w:r>
          </w:p>
        </w:tc>
      </w:tr>
    </w:tbl>
    <w:p w14:paraId="407E32EA" w14:textId="345B7649" w:rsidR="000B6F33" w:rsidRDefault="00936CB2" w:rsidP="00515949">
      <w:pPr>
        <w:tabs>
          <w:tab w:val="left" w:pos="3533"/>
        </w:tabs>
        <w:rPr>
          <w:rFonts w:cstheme="minorHAnsi"/>
        </w:rPr>
      </w:pPr>
      <w:r>
        <w:rPr>
          <w:rFonts w:cstheme="minorHAnsi"/>
          <w:noProof/>
        </w:rPr>
        <w:drawing>
          <wp:anchor distT="0" distB="0" distL="114300" distR="114300" simplePos="0" relativeHeight="251658240" behindDoc="0" locked="0" layoutInCell="1" allowOverlap="1" wp14:anchorId="04401B75" wp14:editId="74EB48F7">
            <wp:simplePos x="0" y="0"/>
            <wp:positionH relativeFrom="column">
              <wp:posOffset>-223520</wp:posOffset>
            </wp:positionH>
            <wp:positionV relativeFrom="paragraph">
              <wp:posOffset>-13542</wp:posOffset>
            </wp:positionV>
            <wp:extent cx="3837940" cy="35934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7940" cy="3593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ABAF12B" wp14:editId="35037DB3">
                <wp:simplePos x="0" y="0"/>
                <wp:positionH relativeFrom="column">
                  <wp:posOffset>-223520</wp:posOffset>
                </wp:positionH>
                <wp:positionV relativeFrom="paragraph">
                  <wp:posOffset>3560445</wp:posOffset>
                </wp:positionV>
                <wp:extent cx="383794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837940" cy="635"/>
                        </a:xfrm>
                        <a:prstGeom prst="rect">
                          <a:avLst/>
                        </a:prstGeom>
                        <a:solidFill>
                          <a:prstClr val="white"/>
                        </a:solidFill>
                        <a:ln>
                          <a:noFill/>
                        </a:ln>
                      </wps:spPr>
                      <wps:txbx>
                        <w:txbxContent>
                          <w:p w14:paraId="186F4B84" w14:textId="66F69FD9" w:rsidR="00936CB2" w:rsidRPr="00381D7C" w:rsidRDefault="00936CB2" w:rsidP="00936CB2">
                            <w:pPr>
                              <w:pStyle w:val="Caption"/>
                              <w:rPr>
                                <w:rFonts w:cstheme="minorHAnsi"/>
                                <w:noProof/>
                              </w:rPr>
                            </w:pPr>
                            <w:r>
                              <w:t xml:space="preserve">Figure </w:t>
                            </w:r>
                            <w:fldSimple w:instr=" SEQ Figure \* ARABIC ">
                              <w:r>
                                <w:rPr>
                                  <w:noProof/>
                                </w:rPr>
                                <w:t>3</w:t>
                              </w:r>
                            </w:fldSimple>
                            <w:r>
                              <w:t>: Balance Limits Compared to Default Rates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BAF12B" id="_x0000_t202" coordsize="21600,21600" o:spt="202" path="m,l,21600r21600,l21600,xe">
                <v:stroke joinstyle="miter"/>
                <v:path gradientshapeok="t" o:connecttype="rect"/>
              </v:shapetype>
              <v:shape id="Text Box 4" o:spid="_x0000_s1026" type="#_x0000_t202" style="position:absolute;margin-left:-17.6pt;margin-top:280.35pt;width:302.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" stroked="f">
                <v:textbox style="mso-fit-shape-to-text:t" inset="0,0,0,0">
                  <w:txbxContent>
                    <w:p w14:paraId="186F4B84" w14:textId="66F69FD9" w:rsidR="00936CB2" w:rsidRPr="00381D7C" w:rsidRDefault="00936CB2" w:rsidP="00936CB2">
                      <w:pPr>
                        <w:pStyle w:val="Caption"/>
                        <w:rPr>
                          <w:rFonts w:cstheme="minorHAnsi"/>
                          <w:noProof/>
                        </w:rPr>
                      </w:pPr>
                      <w:r>
                        <w:t xml:space="preserve">Figure </w:t>
                      </w:r>
                      <w:fldSimple w:instr=" SEQ Figure \* ARABIC ">
                        <w:r>
                          <w:rPr>
                            <w:noProof/>
                          </w:rPr>
                          <w:t>3</w:t>
                        </w:r>
                      </w:fldSimple>
                      <w:r>
                        <w:t>: Balance Limits Compared to Default Rates</w:t>
                      </w:r>
                    </w:p>
                  </w:txbxContent>
                </v:textbox>
                <w10:wrap type="square"/>
              </v:shape>
            </w:pict>
          </mc:Fallback>
        </mc:AlternateContent>
      </w:r>
    </w:p>
    <w:p w14:paraId="7AC62875" w14:textId="23F16FDB" w:rsidR="00E211E2" w:rsidRDefault="00E211E2" w:rsidP="00E61C9A">
      <w:pPr>
        <w:rPr>
          <w:rFonts w:cstheme="minorHAnsi"/>
          <w:b/>
          <w:bCs/>
        </w:rPr>
      </w:pPr>
    </w:p>
    <w:p w14:paraId="07E891C8" w14:textId="5F277442" w:rsidR="00E211E2" w:rsidRDefault="00E211E2" w:rsidP="00E61C9A">
      <w:pPr>
        <w:rPr>
          <w:rFonts w:cstheme="minorHAnsi"/>
          <w:b/>
          <w:bCs/>
        </w:rPr>
      </w:pPr>
    </w:p>
    <w:p w14:paraId="66B2DFAB" w14:textId="7B9879D7" w:rsidR="00E211E2" w:rsidRDefault="00E211E2" w:rsidP="00E61C9A">
      <w:pPr>
        <w:rPr>
          <w:rFonts w:cstheme="minorHAnsi"/>
          <w:b/>
          <w:bCs/>
        </w:rPr>
      </w:pPr>
    </w:p>
    <w:p w14:paraId="238728F7" w14:textId="77C60C0A" w:rsidR="000B6F33" w:rsidRDefault="000B6F33" w:rsidP="00E61C9A">
      <w:pPr>
        <w:rPr>
          <w:rFonts w:cstheme="minorHAnsi"/>
          <w:b/>
          <w:bCs/>
        </w:rPr>
      </w:pPr>
    </w:p>
    <w:p w14:paraId="6B43F4A2" w14:textId="639470D4" w:rsidR="00820149" w:rsidRPr="00820149" w:rsidRDefault="00936CB2" w:rsidP="00820149">
      <w:pPr>
        <w:rPr>
          <w:rFonts w:cstheme="minorHAnsi"/>
        </w:rPr>
      </w:pPr>
      <w:r>
        <w:rPr>
          <w:rFonts w:cstheme="minorHAnsi"/>
        </w:rPr>
        <w:lastRenderedPageBreak/>
        <w:t xml:space="preserve">Finally, </w:t>
      </w:r>
      <w:r w:rsidR="00820149">
        <w:rPr>
          <w:rFonts w:cstheme="minorHAnsi"/>
        </w:rPr>
        <w:t xml:space="preserve">default rates were compared to age. The findings are shown in Table 2 below. Default </w:t>
      </w:r>
      <w:r w:rsidR="00820149" w:rsidRPr="00820149">
        <w:rPr>
          <w:rFonts w:cstheme="minorHAnsi"/>
        </w:rPr>
        <w:t xml:space="preserve">rate is highest in younger people and in the highest age bracket. It makes sense that the younger people would default more, but why do people </w:t>
      </w:r>
      <w:r w:rsidR="00820149" w:rsidRPr="00820149">
        <w:rPr>
          <w:rFonts w:cstheme="minorHAnsi"/>
        </w:rPr>
        <w:t>age</w:t>
      </w:r>
      <w:r w:rsidR="00820149">
        <w:rPr>
          <w:rFonts w:cstheme="minorHAnsi"/>
        </w:rPr>
        <w:t>d</w:t>
      </w:r>
      <w:r w:rsidR="00820149" w:rsidRPr="00820149">
        <w:rPr>
          <w:rFonts w:cstheme="minorHAnsi"/>
        </w:rPr>
        <w:t xml:space="preserve"> 43-79 default more? This is something that should be examine further.</w:t>
      </w:r>
    </w:p>
    <w:p w14:paraId="00EE99F1" w14:textId="290CD148" w:rsidR="000B6F33" w:rsidRDefault="000B6F33" w:rsidP="00E61C9A">
      <w:pPr>
        <w:rPr>
          <w:rFonts w:cstheme="minorHAnsi"/>
        </w:rPr>
      </w:pPr>
    </w:p>
    <w:p w14:paraId="6B889079" w14:textId="7A9DB915" w:rsidR="00820149" w:rsidRDefault="00820149" w:rsidP="00820149">
      <w:pPr>
        <w:pStyle w:val="Caption"/>
        <w:keepNext/>
      </w:pPr>
      <w:r>
        <w:t xml:space="preserve">Table </w:t>
      </w:r>
      <w:fldSimple w:instr=" SEQ Table \* ARABIC ">
        <w:r>
          <w:rPr>
            <w:noProof/>
          </w:rPr>
          <w:t>2</w:t>
        </w:r>
      </w:fldSimple>
      <w:r>
        <w:t>: Default Rates at Different Age Ranges</w:t>
      </w:r>
    </w:p>
    <w:tbl>
      <w:tblPr>
        <w:tblStyle w:val="TableGrid"/>
        <w:tblW w:w="0" w:type="auto"/>
        <w:tblLook w:val="04A0" w:firstRow="1" w:lastRow="0" w:firstColumn="1" w:lastColumn="0" w:noHBand="0" w:noVBand="1"/>
      </w:tblPr>
      <w:tblGrid>
        <w:gridCol w:w="1885"/>
        <w:gridCol w:w="1530"/>
      </w:tblGrid>
      <w:tr w:rsidR="00820149" w:rsidRPr="00820149" w14:paraId="5D7020CB" w14:textId="77777777" w:rsidTr="00A86EA7">
        <w:tc>
          <w:tcPr>
            <w:tcW w:w="1885" w:type="dxa"/>
          </w:tcPr>
          <w:p w14:paraId="156D6252" w14:textId="77777777" w:rsidR="00820149" w:rsidRPr="00820149" w:rsidRDefault="00820149" w:rsidP="00820149">
            <w:pPr>
              <w:spacing w:after="160" w:line="259" w:lineRule="auto"/>
              <w:rPr>
                <w:rFonts w:cstheme="minorHAnsi"/>
              </w:rPr>
            </w:pPr>
            <w:r w:rsidRPr="00820149">
              <w:rPr>
                <w:rFonts w:cstheme="minorHAnsi"/>
              </w:rPr>
              <w:t>Age Range</w:t>
            </w:r>
          </w:p>
        </w:tc>
        <w:tc>
          <w:tcPr>
            <w:tcW w:w="1530" w:type="dxa"/>
          </w:tcPr>
          <w:p w14:paraId="2061A7D4" w14:textId="77777777" w:rsidR="00820149" w:rsidRPr="00820149" w:rsidRDefault="00820149" w:rsidP="00820149">
            <w:pPr>
              <w:spacing w:after="160" w:line="259" w:lineRule="auto"/>
              <w:rPr>
                <w:rFonts w:cstheme="minorHAnsi"/>
              </w:rPr>
            </w:pPr>
            <w:r w:rsidRPr="00820149">
              <w:rPr>
                <w:rFonts w:cstheme="minorHAnsi"/>
              </w:rPr>
              <w:t>Default Rates</w:t>
            </w:r>
          </w:p>
        </w:tc>
      </w:tr>
      <w:tr w:rsidR="00820149" w:rsidRPr="00820149" w14:paraId="773715C2" w14:textId="77777777" w:rsidTr="00A86EA7">
        <w:tc>
          <w:tcPr>
            <w:tcW w:w="1885" w:type="dxa"/>
          </w:tcPr>
          <w:p w14:paraId="31A6EF1A" w14:textId="77777777" w:rsidR="00820149" w:rsidRPr="00820149" w:rsidRDefault="00820149" w:rsidP="00820149">
            <w:pPr>
              <w:spacing w:after="160" w:line="259" w:lineRule="auto"/>
              <w:rPr>
                <w:rFonts w:cstheme="minorHAnsi"/>
              </w:rPr>
            </w:pPr>
            <w:r w:rsidRPr="00820149">
              <w:rPr>
                <w:rFonts w:cstheme="minorHAnsi"/>
              </w:rPr>
              <w:t>20 – 37</w:t>
            </w:r>
          </w:p>
        </w:tc>
        <w:tc>
          <w:tcPr>
            <w:tcW w:w="1530" w:type="dxa"/>
          </w:tcPr>
          <w:p w14:paraId="6C2F8CBD" w14:textId="77777777" w:rsidR="00820149" w:rsidRPr="00820149" w:rsidRDefault="00820149" w:rsidP="00820149">
            <w:pPr>
              <w:spacing w:after="160" w:line="259" w:lineRule="auto"/>
              <w:rPr>
                <w:rFonts w:cstheme="minorHAnsi"/>
              </w:rPr>
            </w:pPr>
            <w:r w:rsidRPr="00820149">
              <w:rPr>
                <w:rFonts w:cstheme="minorHAnsi"/>
              </w:rPr>
              <w:t>24.21%</w:t>
            </w:r>
          </w:p>
        </w:tc>
      </w:tr>
      <w:tr w:rsidR="00820149" w:rsidRPr="00820149" w14:paraId="722AB9DC" w14:textId="77777777" w:rsidTr="00A86EA7">
        <w:tc>
          <w:tcPr>
            <w:tcW w:w="1885" w:type="dxa"/>
          </w:tcPr>
          <w:p w14:paraId="174AB149" w14:textId="77777777" w:rsidR="00820149" w:rsidRPr="00820149" w:rsidRDefault="00820149" w:rsidP="00820149">
            <w:pPr>
              <w:spacing w:after="160" w:line="259" w:lineRule="auto"/>
              <w:rPr>
                <w:rFonts w:cstheme="minorHAnsi"/>
              </w:rPr>
            </w:pPr>
            <w:r w:rsidRPr="00820149">
              <w:rPr>
                <w:rFonts w:cstheme="minorHAnsi"/>
              </w:rPr>
              <w:t>27 – 31</w:t>
            </w:r>
          </w:p>
        </w:tc>
        <w:tc>
          <w:tcPr>
            <w:tcW w:w="1530" w:type="dxa"/>
          </w:tcPr>
          <w:p w14:paraId="277FF019" w14:textId="77777777" w:rsidR="00820149" w:rsidRPr="00820149" w:rsidRDefault="00820149" w:rsidP="00820149">
            <w:pPr>
              <w:spacing w:after="160" w:line="259" w:lineRule="auto"/>
              <w:rPr>
                <w:rFonts w:cstheme="minorHAnsi"/>
              </w:rPr>
            </w:pPr>
            <w:r w:rsidRPr="00820149">
              <w:rPr>
                <w:rFonts w:cstheme="minorHAnsi"/>
              </w:rPr>
              <w:t>19.62%</w:t>
            </w:r>
          </w:p>
        </w:tc>
      </w:tr>
      <w:tr w:rsidR="00820149" w:rsidRPr="00820149" w14:paraId="11976F67" w14:textId="77777777" w:rsidTr="00A86EA7">
        <w:tc>
          <w:tcPr>
            <w:tcW w:w="1885" w:type="dxa"/>
          </w:tcPr>
          <w:p w14:paraId="6C291166" w14:textId="77777777" w:rsidR="00820149" w:rsidRPr="00820149" w:rsidRDefault="00820149" w:rsidP="00820149">
            <w:pPr>
              <w:spacing w:after="160" w:line="259" w:lineRule="auto"/>
              <w:rPr>
                <w:rFonts w:cstheme="minorHAnsi"/>
              </w:rPr>
            </w:pPr>
            <w:r w:rsidRPr="00820149">
              <w:rPr>
                <w:rFonts w:cstheme="minorHAnsi"/>
              </w:rPr>
              <w:t>31 – 37</w:t>
            </w:r>
          </w:p>
        </w:tc>
        <w:tc>
          <w:tcPr>
            <w:tcW w:w="1530" w:type="dxa"/>
          </w:tcPr>
          <w:p w14:paraId="7E8D6638" w14:textId="77777777" w:rsidR="00820149" w:rsidRPr="00820149" w:rsidRDefault="00820149" w:rsidP="00820149">
            <w:pPr>
              <w:spacing w:after="160" w:line="259" w:lineRule="auto"/>
              <w:rPr>
                <w:rFonts w:cstheme="minorHAnsi"/>
              </w:rPr>
            </w:pPr>
            <w:r w:rsidRPr="00820149">
              <w:rPr>
                <w:rFonts w:cstheme="minorHAnsi"/>
              </w:rPr>
              <w:t>20.52%</w:t>
            </w:r>
          </w:p>
        </w:tc>
      </w:tr>
      <w:tr w:rsidR="00820149" w:rsidRPr="00820149" w14:paraId="5CC519B5" w14:textId="77777777" w:rsidTr="00A86EA7">
        <w:tc>
          <w:tcPr>
            <w:tcW w:w="1885" w:type="dxa"/>
          </w:tcPr>
          <w:p w14:paraId="79997C09" w14:textId="77777777" w:rsidR="00820149" w:rsidRPr="00820149" w:rsidRDefault="00820149" w:rsidP="00820149">
            <w:pPr>
              <w:spacing w:after="160" w:line="259" w:lineRule="auto"/>
              <w:rPr>
                <w:rFonts w:cstheme="minorHAnsi"/>
              </w:rPr>
            </w:pPr>
            <w:r w:rsidRPr="00820149">
              <w:rPr>
                <w:rFonts w:cstheme="minorHAnsi"/>
              </w:rPr>
              <w:t>37 – 43</w:t>
            </w:r>
          </w:p>
        </w:tc>
        <w:tc>
          <w:tcPr>
            <w:tcW w:w="1530" w:type="dxa"/>
          </w:tcPr>
          <w:p w14:paraId="10385943" w14:textId="77777777" w:rsidR="00820149" w:rsidRPr="00820149" w:rsidRDefault="00820149" w:rsidP="00820149">
            <w:pPr>
              <w:spacing w:after="160" w:line="259" w:lineRule="auto"/>
              <w:rPr>
                <w:rFonts w:cstheme="minorHAnsi"/>
              </w:rPr>
            </w:pPr>
            <w:r w:rsidRPr="00820149">
              <w:rPr>
                <w:rFonts w:cstheme="minorHAnsi"/>
              </w:rPr>
              <w:t>21.70%</w:t>
            </w:r>
          </w:p>
        </w:tc>
      </w:tr>
      <w:tr w:rsidR="00820149" w:rsidRPr="00820149" w14:paraId="1A69B457" w14:textId="77777777" w:rsidTr="00A86EA7">
        <w:tc>
          <w:tcPr>
            <w:tcW w:w="1885" w:type="dxa"/>
          </w:tcPr>
          <w:p w14:paraId="107821B4" w14:textId="77777777" w:rsidR="00820149" w:rsidRPr="00820149" w:rsidRDefault="00820149" w:rsidP="00820149">
            <w:pPr>
              <w:spacing w:after="160" w:line="259" w:lineRule="auto"/>
              <w:rPr>
                <w:rFonts w:cstheme="minorHAnsi"/>
              </w:rPr>
            </w:pPr>
            <w:r w:rsidRPr="00820149">
              <w:rPr>
                <w:rFonts w:cstheme="minorHAnsi"/>
              </w:rPr>
              <w:t>43 -79</w:t>
            </w:r>
          </w:p>
        </w:tc>
        <w:tc>
          <w:tcPr>
            <w:tcW w:w="1530" w:type="dxa"/>
          </w:tcPr>
          <w:p w14:paraId="6BB1ADE9" w14:textId="77777777" w:rsidR="00820149" w:rsidRPr="00820149" w:rsidRDefault="00820149" w:rsidP="00820149">
            <w:pPr>
              <w:spacing w:after="160" w:line="259" w:lineRule="auto"/>
              <w:rPr>
                <w:rFonts w:cstheme="minorHAnsi"/>
              </w:rPr>
            </w:pPr>
            <w:r w:rsidRPr="00820149">
              <w:rPr>
                <w:rFonts w:cstheme="minorHAnsi"/>
              </w:rPr>
              <w:t>24.33%</w:t>
            </w:r>
          </w:p>
        </w:tc>
      </w:tr>
    </w:tbl>
    <w:p w14:paraId="06DBB908" w14:textId="77777777" w:rsidR="00820149" w:rsidRPr="00936CB2" w:rsidRDefault="00820149" w:rsidP="00E61C9A">
      <w:pPr>
        <w:rPr>
          <w:rFonts w:cstheme="minorHAnsi"/>
        </w:rPr>
      </w:pPr>
    </w:p>
    <w:p w14:paraId="4309D881" w14:textId="76336120" w:rsidR="000B6F33" w:rsidRDefault="000B6F33" w:rsidP="00820149">
      <w:pPr>
        <w:jc w:val="center"/>
        <w:rPr>
          <w:rFonts w:cstheme="minorHAnsi"/>
          <w:b/>
          <w:bCs/>
        </w:rPr>
      </w:pPr>
    </w:p>
    <w:p w14:paraId="48F3BAB0" w14:textId="67F0F6BB" w:rsidR="000B6F33" w:rsidRDefault="00820149" w:rsidP="00E61C9A">
      <w:pPr>
        <w:rPr>
          <w:rFonts w:cstheme="minorHAnsi"/>
          <w:b/>
          <w:bCs/>
        </w:rPr>
      </w:pPr>
      <w:r>
        <w:rPr>
          <w:rFonts w:cstheme="minorHAnsi"/>
          <w:b/>
          <w:bCs/>
        </w:rPr>
        <w:t xml:space="preserve">Can Customers Be Approved with High Certainty </w:t>
      </w:r>
    </w:p>
    <w:p w14:paraId="481C6823" w14:textId="0E1465FE" w:rsidR="000B6F33" w:rsidRPr="003667B1" w:rsidRDefault="00820149" w:rsidP="00E61C9A">
      <w:pPr>
        <w:rPr>
          <w:rFonts w:cstheme="minorHAnsi"/>
        </w:rPr>
      </w:pPr>
      <w:r>
        <w:rPr>
          <w:rFonts w:cstheme="minorHAnsi"/>
        </w:rPr>
        <w:t>After running three different predict</w:t>
      </w:r>
      <w:r w:rsidR="0054278C">
        <w:rPr>
          <w:rFonts w:cstheme="minorHAnsi"/>
        </w:rPr>
        <w:t xml:space="preserve">ive algorithms, there was an algorithm that achieved 77% accuracy in being able to take a customer and predict whether that customer defaulted or not. </w:t>
      </w:r>
      <w:r w:rsidR="003667B1">
        <w:rPr>
          <w:rFonts w:cstheme="minorHAnsi"/>
        </w:rPr>
        <w:t xml:space="preserve">This algorithm takes into account the trends pointed out above and determines if a customer will be credit worthy by looking at the past behaviors and patterns that we have discussed above. And because of the unpredictability of humans as individuals, the algorithm only had a 77% success rate. </w:t>
      </w:r>
      <w:r w:rsidR="003667B1">
        <w:rPr>
          <w:rFonts w:cstheme="minorHAnsi"/>
        </w:rPr>
        <w:t>There will always be risk in lending to people, simply because of the nature of people and they’re innate unpredictability.</w:t>
      </w:r>
    </w:p>
    <w:p w14:paraId="50FE2660" w14:textId="41131667" w:rsidR="000B6F33" w:rsidRDefault="000B6F33" w:rsidP="00E61C9A">
      <w:pPr>
        <w:rPr>
          <w:rFonts w:cstheme="minorHAnsi"/>
          <w:b/>
          <w:bCs/>
        </w:rPr>
      </w:pPr>
    </w:p>
    <w:p w14:paraId="144F4BFB" w14:textId="41229880" w:rsidR="000B6F33" w:rsidRDefault="000B6F33" w:rsidP="00E61C9A">
      <w:pPr>
        <w:rPr>
          <w:rFonts w:cstheme="minorHAnsi"/>
          <w:b/>
          <w:bCs/>
        </w:rPr>
      </w:pPr>
    </w:p>
    <w:p w14:paraId="674148CE" w14:textId="4E92ECAA" w:rsidR="000B6F33" w:rsidRDefault="000B6F33" w:rsidP="00E61C9A">
      <w:pPr>
        <w:rPr>
          <w:rFonts w:cstheme="minorHAnsi"/>
          <w:b/>
          <w:bCs/>
        </w:rPr>
      </w:pPr>
    </w:p>
    <w:p w14:paraId="758E09D3" w14:textId="651BDC36" w:rsidR="000B6F33" w:rsidRDefault="000B6F33" w:rsidP="00E61C9A">
      <w:pPr>
        <w:rPr>
          <w:rFonts w:cstheme="minorHAnsi"/>
          <w:b/>
          <w:bCs/>
        </w:rPr>
      </w:pPr>
    </w:p>
    <w:p w14:paraId="78DBE77E" w14:textId="274CD1D9" w:rsidR="000B6F33" w:rsidRDefault="000B6F33" w:rsidP="00E61C9A">
      <w:pPr>
        <w:rPr>
          <w:rFonts w:cstheme="minorHAnsi"/>
          <w:b/>
          <w:bCs/>
        </w:rPr>
      </w:pPr>
    </w:p>
    <w:p w14:paraId="491B3C16" w14:textId="77777777" w:rsidR="000B6F33" w:rsidRDefault="000B6F33" w:rsidP="00E61C9A">
      <w:pPr>
        <w:rPr>
          <w:rFonts w:cstheme="minorHAnsi"/>
          <w:b/>
          <w:bCs/>
        </w:rPr>
      </w:pPr>
    </w:p>
    <w:sectPr w:rsidR="000B6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C9A"/>
    <w:rsid w:val="00013658"/>
    <w:rsid w:val="000B6F33"/>
    <w:rsid w:val="000D16E3"/>
    <w:rsid w:val="003667B1"/>
    <w:rsid w:val="00515949"/>
    <w:rsid w:val="0054278C"/>
    <w:rsid w:val="005B38D4"/>
    <w:rsid w:val="0080277A"/>
    <w:rsid w:val="00820149"/>
    <w:rsid w:val="00936CB2"/>
    <w:rsid w:val="00940118"/>
    <w:rsid w:val="009C58C1"/>
    <w:rsid w:val="00E211E2"/>
    <w:rsid w:val="00E6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EFDB"/>
  <w15:chartTrackingRefBased/>
  <w15:docId w15:val="{53A65DFD-EF1B-49DF-8250-A9A8AA1B5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C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27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955818">
      <w:bodyDiv w:val="1"/>
      <w:marLeft w:val="0"/>
      <w:marRight w:val="0"/>
      <w:marTop w:val="0"/>
      <w:marBottom w:val="0"/>
      <w:divBdr>
        <w:top w:val="none" w:sz="0" w:space="0" w:color="auto"/>
        <w:left w:val="none" w:sz="0" w:space="0" w:color="auto"/>
        <w:bottom w:val="none" w:sz="0" w:space="0" w:color="auto"/>
        <w:right w:val="none" w:sz="0" w:space="0" w:color="auto"/>
      </w:divBdr>
    </w:div>
    <w:div w:id="142719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Chavez</dc:creator>
  <cp:keywords/>
  <dc:description/>
  <cp:lastModifiedBy>Omar Chavez</cp:lastModifiedBy>
  <cp:revision>1</cp:revision>
  <dcterms:created xsi:type="dcterms:W3CDTF">2022-01-24T04:05:00Z</dcterms:created>
  <dcterms:modified xsi:type="dcterms:W3CDTF">2022-01-25T04:13:00Z</dcterms:modified>
</cp:coreProperties>
</file>