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3A088" w14:textId="453AD166" w:rsidR="001A1140" w:rsidRPr="00471B7C" w:rsidRDefault="001A1140" w:rsidP="001A1140">
      <w:pPr>
        <w:spacing w:before="1512"/>
        <w:jc w:val="center"/>
        <w:rPr>
          <w:rFonts w:ascii="Arial" w:hAnsi="Arial" w:cs="Arial"/>
          <w:b/>
          <w:sz w:val="50"/>
          <w:szCs w:val="50"/>
          <w:lang w:val="es-ES"/>
        </w:rPr>
      </w:pPr>
      <w:r w:rsidRPr="006B4B9D">
        <w:rPr>
          <w:rFonts w:ascii="Arial" w:hAnsi="Arial" w:cs="Arial"/>
          <w:b/>
          <w:sz w:val="50"/>
          <w:szCs w:val="50"/>
        </w:rPr>
        <w:t>Laboratorio 0</w:t>
      </w:r>
      <w:r w:rsidR="00471B7C">
        <w:rPr>
          <w:rFonts w:ascii="Arial" w:hAnsi="Arial" w:cs="Arial"/>
          <w:b/>
          <w:sz w:val="50"/>
          <w:szCs w:val="50"/>
        </w:rPr>
        <w:t>4</w:t>
      </w:r>
      <w:r w:rsidRPr="006B4B9D">
        <w:rPr>
          <w:rFonts w:ascii="Arial" w:hAnsi="Arial" w:cs="Arial"/>
          <w:b/>
          <w:sz w:val="50"/>
          <w:szCs w:val="50"/>
        </w:rPr>
        <w:t xml:space="preserve"> -</w:t>
      </w:r>
      <w:r w:rsidR="00471B7C" w:rsidRPr="00471B7C">
        <w:rPr>
          <w:rFonts w:ascii="Arial" w:hAnsi="Arial" w:cs="Arial"/>
          <w:b/>
          <w:sz w:val="50"/>
          <w:szCs w:val="50"/>
        </w:rPr>
        <w:t>Administración por línea de comandos</w:t>
      </w:r>
    </w:p>
    <w:p w14:paraId="2A924B5D" w14:textId="77777777" w:rsidR="001A1140" w:rsidRPr="006B4B9D" w:rsidRDefault="001A1140">
      <w:pPr>
        <w:spacing w:before="1512"/>
        <w:jc w:val="center"/>
        <w:rPr>
          <w:rFonts w:ascii="Arial" w:hAnsi="Arial" w:cs="Arial"/>
          <w:b/>
          <w:sz w:val="40"/>
          <w:szCs w:val="40"/>
        </w:rPr>
      </w:pPr>
      <w:r w:rsidRPr="006B4B9D">
        <w:rPr>
          <w:rFonts w:ascii="Arial" w:hAnsi="Arial" w:cs="Arial"/>
          <w:b/>
          <w:sz w:val="40"/>
          <w:szCs w:val="40"/>
        </w:rPr>
        <w:t>Subdirección de Procesamiento de Datos -SDP</w:t>
      </w:r>
    </w:p>
    <w:p w14:paraId="4961ECFA" w14:textId="77777777" w:rsidR="001A1140" w:rsidRPr="006B4B9D" w:rsidRDefault="001A1140">
      <w:pPr>
        <w:spacing w:before="1512"/>
        <w:jc w:val="center"/>
        <w:rPr>
          <w:rFonts w:ascii="Arial" w:hAnsi="Arial" w:cs="Arial"/>
          <w:b/>
          <w:sz w:val="24"/>
          <w:szCs w:val="24"/>
        </w:rPr>
      </w:pPr>
      <w:r w:rsidRPr="006B4B9D">
        <w:rPr>
          <w:rFonts w:ascii="Arial" w:hAnsi="Arial" w:cs="Arial"/>
          <w:b/>
          <w:sz w:val="24"/>
          <w:szCs w:val="24"/>
        </w:rPr>
        <w:t>Equipo 09</w:t>
      </w:r>
    </w:p>
    <w:p w14:paraId="4CCD0385" w14:textId="77777777"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Integrantes:</w:t>
      </w:r>
    </w:p>
    <w:p w14:paraId="36B4CBE8" w14:textId="77777777"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Omar Ricardo Sánchez Castañeda</w:t>
      </w:r>
    </w:p>
    <w:p w14:paraId="50FF4A3D" w14:textId="77777777" w:rsidR="001A1140" w:rsidRPr="006B4B9D" w:rsidRDefault="001A1140" w:rsidP="001A1140">
      <w:pPr>
        <w:spacing w:after="0"/>
        <w:jc w:val="center"/>
        <w:rPr>
          <w:rFonts w:ascii="Arial" w:hAnsi="Arial" w:cs="Arial"/>
          <w:b/>
          <w:sz w:val="24"/>
          <w:szCs w:val="24"/>
        </w:rPr>
      </w:pPr>
    </w:p>
    <w:p w14:paraId="6CCFE085" w14:textId="77777777" w:rsidR="001A1140" w:rsidRPr="006B4B9D" w:rsidRDefault="001A1140" w:rsidP="001A1140">
      <w:pPr>
        <w:spacing w:after="0"/>
        <w:jc w:val="center"/>
        <w:rPr>
          <w:rFonts w:ascii="Arial" w:hAnsi="Arial" w:cs="Arial"/>
          <w:b/>
          <w:sz w:val="24"/>
          <w:szCs w:val="24"/>
        </w:rPr>
      </w:pPr>
    </w:p>
    <w:p w14:paraId="7DE550C3" w14:textId="77777777" w:rsidR="001A1140" w:rsidRPr="006B4B9D" w:rsidRDefault="001A1140" w:rsidP="001A1140">
      <w:pPr>
        <w:spacing w:after="0"/>
        <w:jc w:val="center"/>
        <w:rPr>
          <w:rFonts w:ascii="Arial" w:hAnsi="Arial" w:cs="Arial"/>
          <w:b/>
          <w:sz w:val="24"/>
          <w:szCs w:val="24"/>
        </w:rPr>
      </w:pPr>
    </w:p>
    <w:p w14:paraId="6158522F" w14:textId="77777777" w:rsidR="001A1140" w:rsidRPr="006B4B9D" w:rsidRDefault="001A1140" w:rsidP="001A1140">
      <w:pPr>
        <w:spacing w:after="0"/>
        <w:jc w:val="center"/>
        <w:rPr>
          <w:rFonts w:ascii="Arial" w:hAnsi="Arial" w:cs="Arial"/>
          <w:b/>
          <w:sz w:val="24"/>
          <w:szCs w:val="24"/>
        </w:rPr>
      </w:pPr>
    </w:p>
    <w:p w14:paraId="1455ACF8" w14:textId="77777777" w:rsidR="001A1140" w:rsidRPr="006B4B9D" w:rsidRDefault="001A1140" w:rsidP="001A1140">
      <w:pPr>
        <w:spacing w:after="0"/>
        <w:jc w:val="center"/>
        <w:rPr>
          <w:rFonts w:ascii="Arial" w:hAnsi="Arial" w:cs="Arial"/>
          <w:b/>
          <w:sz w:val="24"/>
          <w:szCs w:val="24"/>
        </w:rPr>
      </w:pPr>
    </w:p>
    <w:p w14:paraId="35D95C0B" w14:textId="77777777" w:rsidR="001A1140" w:rsidRDefault="001A1140" w:rsidP="001A1140">
      <w:pPr>
        <w:spacing w:after="0"/>
        <w:jc w:val="center"/>
        <w:rPr>
          <w:rFonts w:ascii="Arial" w:hAnsi="Arial" w:cs="Arial"/>
          <w:b/>
          <w:sz w:val="24"/>
          <w:szCs w:val="24"/>
        </w:rPr>
      </w:pPr>
    </w:p>
    <w:p w14:paraId="630CB1C0" w14:textId="77777777" w:rsidR="00BC6298" w:rsidRDefault="00BC6298" w:rsidP="001A1140">
      <w:pPr>
        <w:spacing w:after="0"/>
        <w:jc w:val="center"/>
        <w:rPr>
          <w:rFonts w:ascii="Arial" w:hAnsi="Arial" w:cs="Arial"/>
          <w:b/>
          <w:sz w:val="24"/>
          <w:szCs w:val="24"/>
        </w:rPr>
      </w:pPr>
    </w:p>
    <w:p w14:paraId="5A520516" w14:textId="77777777" w:rsidR="00BC6298" w:rsidRDefault="00BC6298" w:rsidP="001A1140">
      <w:pPr>
        <w:spacing w:after="0"/>
        <w:jc w:val="center"/>
        <w:rPr>
          <w:rFonts w:ascii="Arial" w:hAnsi="Arial" w:cs="Arial"/>
          <w:b/>
          <w:sz w:val="24"/>
          <w:szCs w:val="24"/>
        </w:rPr>
      </w:pPr>
    </w:p>
    <w:p w14:paraId="0979913A" w14:textId="77777777" w:rsidR="00BC6298" w:rsidRPr="006B4B9D" w:rsidRDefault="00BC6298" w:rsidP="001A1140">
      <w:pPr>
        <w:spacing w:after="0"/>
        <w:jc w:val="center"/>
        <w:rPr>
          <w:rFonts w:ascii="Arial" w:hAnsi="Arial" w:cs="Arial"/>
          <w:b/>
          <w:sz w:val="24"/>
          <w:szCs w:val="24"/>
        </w:rPr>
      </w:pPr>
    </w:p>
    <w:p w14:paraId="6EACE371" w14:textId="77777777" w:rsidR="001A1140" w:rsidRPr="006B4B9D" w:rsidRDefault="001A1140" w:rsidP="001A1140">
      <w:pPr>
        <w:spacing w:after="0"/>
        <w:jc w:val="center"/>
        <w:rPr>
          <w:rFonts w:ascii="Arial" w:hAnsi="Arial" w:cs="Arial"/>
          <w:b/>
          <w:sz w:val="24"/>
          <w:szCs w:val="24"/>
        </w:rPr>
      </w:pPr>
    </w:p>
    <w:p w14:paraId="799E50E5" w14:textId="77777777" w:rsidR="006B4B9D" w:rsidRPr="006B4B9D" w:rsidRDefault="006B4B9D" w:rsidP="001A1140">
      <w:pPr>
        <w:spacing w:after="0"/>
        <w:jc w:val="center"/>
        <w:rPr>
          <w:rFonts w:ascii="Arial" w:hAnsi="Arial" w:cs="Arial"/>
          <w:b/>
          <w:sz w:val="24"/>
          <w:szCs w:val="24"/>
        </w:rPr>
      </w:pPr>
    </w:p>
    <w:p w14:paraId="4992624B" w14:textId="77777777" w:rsidR="001A1140" w:rsidRPr="006B4B9D" w:rsidRDefault="001A1140" w:rsidP="001A1140">
      <w:pPr>
        <w:spacing w:after="0"/>
        <w:jc w:val="center"/>
        <w:rPr>
          <w:rFonts w:ascii="Arial" w:hAnsi="Arial" w:cs="Arial"/>
          <w:b/>
          <w:sz w:val="24"/>
          <w:szCs w:val="24"/>
        </w:rPr>
      </w:pPr>
    </w:p>
    <w:p w14:paraId="0FD1AFE4" w14:textId="77777777" w:rsidR="001A1140" w:rsidRPr="006B4B9D" w:rsidRDefault="001A1140" w:rsidP="001A1140">
      <w:pPr>
        <w:spacing w:after="0"/>
        <w:jc w:val="center"/>
        <w:rPr>
          <w:rFonts w:ascii="Arial" w:hAnsi="Arial" w:cs="Arial"/>
          <w:b/>
          <w:sz w:val="24"/>
          <w:szCs w:val="24"/>
        </w:rPr>
      </w:pPr>
    </w:p>
    <w:p w14:paraId="7A556CBB" w14:textId="77777777" w:rsidR="001A1140" w:rsidRPr="006B4B9D" w:rsidRDefault="001A1140" w:rsidP="001A1140">
      <w:pPr>
        <w:spacing w:after="0"/>
        <w:jc w:val="center"/>
        <w:rPr>
          <w:rFonts w:ascii="Arial" w:hAnsi="Arial" w:cs="Arial"/>
          <w:b/>
          <w:sz w:val="24"/>
          <w:szCs w:val="24"/>
        </w:rPr>
      </w:pPr>
    </w:p>
    <w:p w14:paraId="3A3936E6" w14:textId="77777777"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Curso KAFKA - DIAN - Pontificia Universidad Javeriana</w:t>
      </w:r>
    </w:p>
    <w:p w14:paraId="3FFBDDDC" w14:textId="77777777" w:rsidR="001A1140" w:rsidRPr="006B4B9D" w:rsidRDefault="001A1140" w:rsidP="001A1140">
      <w:pPr>
        <w:spacing w:after="0"/>
        <w:jc w:val="center"/>
        <w:rPr>
          <w:rFonts w:ascii="Arial" w:hAnsi="Arial" w:cs="Arial"/>
          <w:b/>
          <w:sz w:val="24"/>
          <w:szCs w:val="24"/>
        </w:rPr>
      </w:pPr>
      <w:r w:rsidRPr="006B4B9D">
        <w:rPr>
          <w:rFonts w:ascii="Arial" w:hAnsi="Arial" w:cs="Arial"/>
          <w:b/>
          <w:sz w:val="24"/>
          <w:szCs w:val="24"/>
        </w:rPr>
        <w:t>Pontificia Universidad Javeriana – Cali</w:t>
      </w:r>
    </w:p>
    <w:p w14:paraId="3C7B25A0" w14:textId="77777777" w:rsidR="001A1140" w:rsidRDefault="001A1140" w:rsidP="001A1140">
      <w:pPr>
        <w:spacing w:after="0"/>
        <w:jc w:val="center"/>
        <w:rPr>
          <w:rFonts w:ascii="Arial" w:hAnsi="Arial" w:cs="Arial"/>
          <w:b/>
          <w:sz w:val="24"/>
          <w:szCs w:val="24"/>
        </w:rPr>
      </w:pPr>
      <w:r w:rsidRPr="006B4B9D">
        <w:rPr>
          <w:rFonts w:ascii="Arial" w:hAnsi="Arial" w:cs="Arial"/>
          <w:b/>
          <w:sz w:val="24"/>
          <w:szCs w:val="24"/>
        </w:rPr>
        <w:t>Unidad Especial Dirección de Impuestos y Aduanas Nacionales -DIAN</w:t>
      </w:r>
    </w:p>
    <w:p w14:paraId="43D5B3A7" w14:textId="77777777" w:rsidR="00BC6298" w:rsidRDefault="00BC6298" w:rsidP="001A1140">
      <w:pPr>
        <w:spacing w:after="0"/>
        <w:jc w:val="center"/>
        <w:rPr>
          <w:rFonts w:ascii="Arial" w:hAnsi="Arial" w:cs="Arial"/>
          <w:b/>
          <w:sz w:val="24"/>
          <w:szCs w:val="24"/>
        </w:rPr>
      </w:pPr>
    </w:p>
    <w:p w14:paraId="2E5D9D84" w14:textId="77777777" w:rsidR="00BC6298" w:rsidRDefault="00BC6298" w:rsidP="001A1140">
      <w:pPr>
        <w:spacing w:after="0"/>
        <w:jc w:val="center"/>
        <w:rPr>
          <w:rFonts w:ascii="Arial" w:hAnsi="Arial" w:cs="Arial"/>
          <w:b/>
          <w:sz w:val="24"/>
          <w:szCs w:val="24"/>
        </w:rPr>
      </w:pPr>
    </w:p>
    <w:p w14:paraId="3F8417FC" w14:textId="77777777" w:rsidR="00471B7C" w:rsidRDefault="00471B7C" w:rsidP="00471B7C">
      <w:pPr>
        <w:pStyle w:val="Ttulo1"/>
        <w:jc w:val="center"/>
        <w:rPr>
          <w:rFonts w:ascii="Arial" w:hAnsi="Arial" w:cs="Arial"/>
          <w:color w:val="auto"/>
          <w:sz w:val="38"/>
          <w:szCs w:val="38"/>
        </w:rPr>
      </w:pPr>
      <w:r w:rsidRPr="00471B7C">
        <w:rPr>
          <w:rFonts w:ascii="Arial" w:hAnsi="Arial" w:cs="Arial"/>
          <w:color w:val="auto"/>
          <w:sz w:val="38"/>
          <w:szCs w:val="38"/>
        </w:rPr>
        <w:lastRenderedPageBreak/>
        <w:t>Administración por línea de comandos</w:t>
      </w:r>
    </w:p>
    <w:p w14:paraId="05315739" w14:textId="77777777" w:rsidR="009871AF" w:rsidRPr="009871AF" w:rsidRDefault="009871AF" w:rsidP="009871AF">
      <w:pPr>
        <w:rPr>
          <w:rFonts w:ascii="Arial" w:hAnsi="Arial" w:cs="Arial"/>
          <w:sz w:val="24"/>
          <w:szCs w:val="24"/>
        </w:rPr>
      </w:pPr>
    </w:p>
    <w:p w14:paraId="499DBD3A" w14:textId="77777777" w:rsidR="009871AF" w:rsidRPr="009871AF" w:rsidRDefault="009871AF" w:rsidP="009871AF">
      <w:pPr>
        <w:jc w:val="both"/>
        <w:rPr>
          <w:rFonts w:ascii="Arial" w:hAnsi="Arial" w:cs="Arial"/>
          <w:b/>
          <w:bCs/>
          <w:sz w:val="24"/>
          <w:szCs w:val="24"/>
          <w:lang w:val="es-ES"/>
        </w:rPr>
      </w:pPr>
      <w:r w:rsidRPr="009871AF">
        <w:rPr>
          <w:rFonts w:ascii="Arial" w:hAnsi="Arial" w:cs="Arial"/>
          <w:b/>
          <w:bCs/>
          <w:sz w:val="24"/>
          <w:szCs w:val="24"/>
          <w:lang w:val="es-ES"/>
        </w:rPr>
        <w:t>1. Desarrollo y resultados de la práctica</w:t>
      </w:r>
    </w:p>
    <w:p w14:paraId="69E9B76B"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El laboratorio tuvo como propósito examinar las capacidades de administración de Apache Kafka desde la línea de comandos, con énfasis en la configuración particular de tópicos, la modificación dinámica de parámetros, la aplicación de cuotas de producción, la inspección del almacenamiento y el control de creación de recursos. La práctica se desarrolló sobre un entorno compartido de AWS, utilizando Apache Kafka 3.9.0, tres brokers en contenedores Docker y el mecanismo de coordinación KRaft.</w:t>
      </w:r>
    </w:p>
    <w:p w14:paraId="7C6919CD"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Inicialmente se comprobó la disponibilidad de los tres brokers mediante Docker Compose. Posteriormente se creó el tópico equipo09.lab04.auditoria.acceso, cuya descripción confirmó seis particiones, factor de replicación 3 y los parámetros cleanup.policy=compact, min.insync.replicas=2 y segment.bytes=1048576. Esta configuración permite distribuir las particiones entre los brokers, conservar tres réplicas por partición y aplicar una política de compactación orientada a mantener el último valor registrado para cada clave. El tamaño de segmento configurado, equivalente a 1 MiB, facilita la generación de segmentos pequeños durante las pruebas, aunque no garantiza que la compactación se ejecute inmediatamente.</w:t>
      </w:r>
    </w:p>
    <w:p w14:paraId="65662B2D"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En la etapa de administración dinámica se utilizaron los parámetros delete.retention.ms=60000 y min.compaction.lag.ms=10000. El primero establece una retención de 60 segundos para las marcas de eliminación o tombstones dentro del mecanismo de compactación; el segundo determina que los registros deben tener al menos diez segundos de antigüedad antes de ser elegibles para compactación. La consulta de configuración mostró ambos parámetros con origen DYNAMIC_TOPIC_CONFIG, lo que confirmó su establecimiento a nivel de tópico sin reiniciar los brokers. Adicionalmente, se ejecutó --delete-config min.compaction.lag.ms, verificándose posteriormente que el parámetro dejó de figurar entre las configuraciones dinámicas particulares.</w:t>
      </w:r>
    </w:p>
    <w:p w14:paraId="7EA6E555"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Durante esta secuencia se identificó una incidencia relevante: la variable EQUIPO fue modificada de equipo09 a equipo08, y la variable TOPIC se reconstruyó con este último valor. Por consiguiente, las modificaciones dinámicas posteriores quedaron aplicadas sobre equipo08.lab04.auditoria.acceso y no sobre el tópico creado inicialmente para el Equipo 09. Esta situación evidencia la necesidad de comprobar los valores de las variables de entorno antes de ejecutar operaciones administrativas, especialmente cuando varias personas utilizan un mismo clúster.</w:t>
      </w:r>
    </w:p>
    <w:p w14:paraId="4798588D"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 xml:space="preserve">En la prueba de cuotas se configuró producer_byte_rate=1048576 para el identificador de cliente gen-facturacion. Kafka confirmó la actualización y reportó producer_byte_rate=1048576.0, equivalente a 1 MiB por segundo. Posteriormente se retiró la cuota mediante --delete-config producer_byte_rate, operación que también terminó satisfactoriamente. Sin embargo, no fue posible completar la comparación de rendimiento para los 20.000 eventos previstos, debido a dificultades en la ubicación del generador y al error ModuleNotFoundError: No module named 'confluent_kafka'. Aunque la biblioteca se instaló posteriormente en un entorno virtual, no quedó registrada una ejecución satisfactoria </w:t>
      </w:r>
      <w:r w:rsidRPr="009871AF">
        <w:rPr>
          <w:rFonts w:ascii="Arial" w:hAnsi="Arial" w:cs="Arial"/>
          <w:sz w:val="24"/>
          <w:szCs w:val="24"/>
          <w:lang w:val="es-ES"/>
        </w:rPr>
        <w:lastRenderedPageBreak/>
        <w:t>del productor utilizando simultáneamente la ruta correcta y dicho entorno. Por esta razón, la aplicación y eliminación de la cuota quedaron comprobadas, pero su impacto real sobre el tiempo de producción no pudo cuantificarse.</w:t>
      </w:r>
    </w:p>
    <w:p w14:paraId="5B2A085E"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inspección del almacenamiento mediante kafka-log-dirs.sh devolvió valores de 0 bytes para las particiones consultadas del tópico dian.facturacion.emitida en los tres brokers. Este resultado debe interpretarse dentro del alcance de la consulta realizada y no permite afirmar, por sí solo, que todo el clúster careciera de información. Finalmente, se intentó publicar un mensaje en el tópico inexistente topic.que.no.existe. El productor recibió advertencias UNKNOWN_TOPIC_OR_PARTITION y terminó con una excepción por tiempo de espera. La posterior consulta del inventario confirmó no se creó: correcto, demostrando que el clúster no permitió la creación automática del tópico solicitado.</w:t>
      </w:r>
    </w:p>
    <w:p w14:paraId="768FEFBD" w14:textId="77777777" w:rsidR="009871AF" w:rsidRPr="009871AF" w:rsidRDefault="009871AF" w:rsidP="009871AF">
      <w:pPr>
        <w:jc w:val="both"/>
        <w:rPr>
          <w:rFonts w:ascii="Arial" w:hAnsi="Arial" w:cs="Arial"/>
          <w:sz w:val="24"/>
          <w:szCs w:val="24"/>
          <w:lang w:val="es-ES"/>
        </w:rPr>
      </w:pPr>
    </w:p>
    <w:p w14:paraId="0AED0D97" w14:textId="77777777" w:rsidR="009871AF" w:rsidRPr="009871AF" w:rsidRDefault="009871AF" w:rsidP="009871AF">
      <w:pPr>
        <w:jc w:val="both"/>
        <w:rPr>
          <w:rFonts w:ascii="Arial" w:hAnsi="Arial" w:cs="Arial"/>
          <w:b/>
          <w:bCs/>
          <w:sz w:val="24"/>
          <w:szCs w:val="24"/>
          <w:lang w:val="es-ES"/>
        </w:rPr>
      </w:pPr>
      <w:r w:rsidRPr="009871AF">
        <w:rPr>
          <w:rFonts w:ascii="Arial" w:hAnsi="Arial" w:cs="Arial"/>
          <w:b/>
          <w:bCs/>
          <w:sz w:val="24"/>
          <w:szCs w:val="24"/>
          <w:lang w:val="es-ES"/>
        </w:rPr>
        <w:t>2. Respuestas a las preguntas del laboratorio</w:t>
      </w:r>
    </w:p>
    <w:p w14:paraId="432F0AEF" w14:textId="77777777" w:rsidR="009871AF" w:rsidRPr="009871AF" w:rsidRDefault="009871AF" w:rsidP="009871AF">
      <w:pPr>
        <w:jc w:val="both"/>
        <w:rPr>
          <w:rFonts w:ascii="Arial" w:hAnsi="Arial" w:cs="Arial"/>
          <w:sz w:val="24"/>
          <w:szCs w:val="24"/>
          <w:lang w:val="es-ES"/>
        </w:rPr>
      </w:pPr>
    </w:p>
    <w:p w14:paraId="7EC34BB0"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a) ¿Qué parámetro habría que cambiar, en qué nivel y con qué herramienta, para que la retención de dian.facturacion.emitida pase a 45 días sin reiniciar?</w:t>
      </w:r>
    </w:p>
    <w:p w14:paraId="253B891D" w14:textId="736F1E89"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Respuesta:</w:t>
      </w:r>
    </w:p>
    <w:p w14:paraId="7807DFD8"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Para establecer una retención de 45 días en el tópico dian.facturacion.emitida, debe modificarse el parámetro retention.ms, que determina el período durante el cual los registros pueden conservarse antes de que los segmentos antiguos resulten elegibles para eliminación, siempre que el tópico utilice la política de limpieza correspondiente.</w:t>
      </w:r>
    </w:p>
    <w:p w14:paraId="23F9C595"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Dado que el parámetro se expresa en milisegundos, el valor requerido se obtiene multiplicando 45 días por 24 horas, 60 minutos, 60 segundos y 1.000 milisegundos. El resultado es 3.888.000.000 milisegundos, equivalente a 45 días.</w:t>
      </w:r>
    </w:p>
    <w:p w14:paraId="4E14BA35"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modificación debe realizarse a nivel de tópico, mediante la herramienta administrativa kafka-configs.sh, utilizando las opciones --alter, --entity-type topics, --entity-name dian.facturacion.emitida y --add-config retention.ms=3888000000. En el entorno del laboratorio, esta operación puede ejecutarse desde el contenedor broker1, conectándose al clúster por medio de broker1:19092.</w:t>
      </w:r>
    </w:p>
    <w:p w14:paraId="6B04801E"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elección del nivel de tópico responde a un criterio de administración: no se pretende alterar la política general de retención del clúster, sino establecer una excepción aplicable exclusivamente a los mensajes de facturación. Kafka permite que determinados parámetros tengan valores particulares que prevalecen sobre la configuración general del broker. En consecuencia, modificar directamente server.properties o establecer una configuración predeterminada para todos los brokers tendría un alcance innecesariamente amplio y podría afectar otros tópicos que comparten la infraestructura.</w:t>
      </w:r>
    </w:p>
    <w:p w14:paraId="62347B6E"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 xml:space="preserve">La herramienta kafka-configs.sh permite realizar esta modificación dinámicamente, sin reiniciar los servidores. Para verificar el resultado, debe consultarse el tópico mediante --describe y comprobar que aparezca retention.ms=3888000000 con origen </w:t>
      </w:r>
      <w:r w:rsidRPr="009871AF">
        <w:rPr>
          <w:rFonts w:ascii="Arial" w:hAnsi="Arial" w:cs="Arial"/>
          <w:sz w:val="24"/>
          <w:szCs w:val="24"/>
          <w:lang w:val="es-ES"/>
        </w:rPr>
        <w:lastRenderedPageBreak/>
        <w:t>DYNAMIC_TOPIC_CONFIG. Esta información permite establecer que el valor particular fue incorporado a la configuración del tópico.</w:t>
      </w:r>
    </w:p>
    <w:p w14:paraId="70498910"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Es fundamental diferenciar este parámetro de delete.retention.ms, utilizado durante la práctica de compactación. Mientras retention.ms regula la elegibilidad de los segmentos antiguos para su eliminación por tiempo, delete.retention.ms se relaciona con la conservación de los registros de valor nulo que señalan eliminaciones lógicas dentro de un tópico compactado. Por tanto, modificar el segundo parámetro no constituye una solución equivalente al requerimiento de conservar durante 45 días los eventos de facturación.</w:t>
      </w:r>
    </w:p>
    <w:p w14:paraId="60AB8CA7"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Asimismo, debe verificarse la política cleanup.policy del tópico. Si se utiliza delete, la retención temporal permite eliminar segmentos antiguos conforme a las condiciones definidas; si únicamente se utiliza compact, el comportamiento se orienta a conservar el último valor por clave. Cuando se combinan ambas políticas, se aplican los dos mecanismos de limpieza.</w:t>
      </w:r>
    </w:p>
    <w:p w14:paraId="1C098C8B"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Por último, ampliar la retención no recupera información que ya haya sido eliminada. La modificación afecta las condiciones de conservación de los registros disponibles y futuros, pero no reconstruye datos previamente depurados. En un sistema institucional, esta medida debe acompañarse de una evaluación de la capacidad de almacenamiento, el volumen de eventos y las necesidades de reprocesamiento.</w:t>
      </w:r>
    </w:p>
    <w:p w14:paraId="35616971" w14:textId="77777777" w:rsidR="009871AF" w:rsidRPr="009871AF" w:rsidRDefault="009871AF" w:rsidP="009871AF">
      <w:pPr>
        <w:jc w:val="both"/>
        <w:rPr>
          <w:rFonts w:ascii="Arial" w:hAnsi="Arial" w:cs="Arial"/>
          <w:sz w:val="24"/>
          <w:szCs w:val="24"/>
          <w:lang w:val="es-ES"/>
        </w:rPr>
      </w:pPr>
    </w:p>
    <w:p w14:paraId="7516EFAF"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b) ¿Por qué la cuota no produce errores en el cliente sino solo lentitud?</w:t>
      </w:r>
    </w:p>
    <w:p w14:paraId="0BF61266" w14:textId="74DDC620"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Respuesta:</w:t>
      </w:r>
    </w:p>
    <w:p w14:paraId="7A2C9669"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Las cuotas de producción de Kafka constituyen un mecanismo de regulación del consumo de recursos que busca evitar que un productor utilice una proporción excesiva de la capacidad de los brokers. Su finalidad principal no es impedir el envío de mensajes válidos, sino controlar la velocidad con la que un cliente puede utilizar el servicio y proteger la estabilidad del clúster frente a cargas desproporcionadas.</w:t>
      </w:r>
    </w:p>
    <w:p w14:paraId="7BE4469F"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En el laboratorio se estableció el parámetro producer_byte_rate=1048576 para el cliente identificado como gen-facturacion. Esta configuración define una cuota de producción de 1 MiB por segundo, evaluada por los brokers sobre el tráfico correspondiente al cliente. Su aplicación depende de que el productor utilice efectivamente el identificador configurado y de que alcance un volumen de tráfico suficiente para superar el límite.</w:t>
      </w:r>
    </w:p>
    <w:p w14:paraId="778E09E2"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Cuando Kafka detecta que un productor está excediendo su cuota, puede aplicar un mecanismo denominado throttling, mediante el cual retrasa temporalmente las respuestas a sus solicitudes. De esta manera, el cliente reduce su velocidad efectiva de producción sin que necesariamente se rechacen los mensajes enviados.</w:t>
      </w:r>
    </w:p>
    <w:p w14:paraId="63232EBC"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Por ejemplo, si una aplicación intenta publicar datos a una velocidad superior a la cuota disponible, el broker puede introducir tiempos adicionales de espera. Como consecuencia, aumenta la latencia de las solicitudes y disminuye la cantidad de información procesada por unidad de tiempo. Este comportamiento permite moderar el uso de recursos sin recurrir inmediatamente a errores de autorización o rechazos de escritura.</w:t>
      </w:r>
    </w:p>
    <w:p w14:paraId="57C4D23D" w14:textId="77777777" w:rsidR="009871AF" w:rsidRPr="009871AF" w:rsidRDefault="009871AF" w:rsidP="009871AF">
      <w:pPr>
        <w:jc w:val="both"/>
        <w:rPr>
          <w:rFonts w:ascii="Arial" w:hAnsi="Arial" w:cs="Arial"/>
          <w:sz w:val="24"/>
          <w:szCs w:val="24"/>
          <w:lang w:val="es-ES"/>
        </w:rPr>
      </w:pPr>
    </w:p>
    <w:p w14:paraId="34C2563D"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lastRenderedPageBreak/>
        <w:t>Desde el punto de vista de la arquitectura, este mecanismo resulta especialmente útil en entornos compartidos, donde varios productores compiten por recursos de red, procesamiento y almacenamiento. Sin cuotas, un cliente que genere tráfico excesivo podría incrementar la latencia de otros sistemas conectados al mismo clúster. Al aplicar límites diferenciados, Kafka facilita una distribución más controlada de la capacidad y reduce el riesgo de que una carga particular afecte a los demás participantes.</w:t>
      </w:r>
    </w:p>
    <w:p w14:paraId="41C9AC1A"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Sin embargo, es necesario precisar que una cuota no garantiza la ausencia absoluta de errores. Si la demora introducida supera los tiempos máximos admitidos por el productor, pueden presentarse vencimientos de tiempo de espera, agotamiento de búferes o fallos de entrega. Por tanto, el comportamiento habitual es la reducción del rendimiento, pero existen condiciones en las que una limitación prolongada también puede provocar errores visibles para la aplicación.</w:t>
      </w:r>
    </w:p>
    <w:p w14:paraId="4948EECF"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En cuanto al resultado experimental, la terminal confirmó correctamente la configuración de la cuota, pero los intentos de generación de eventos fallaron antes de que pudiera desarrollarse una medición válida. Los tiempos de ejecución registrados correspondieron a errores de Python y no al procesamiento efectivo de mensajes. En consecuencia, no sería correcto atribuir esos tiempos a la regulación de Kafka ni afirmar que se observó directamente una disminución del rendimiento.</w:t>
      </w:r>
    </w:p>
    <w:p w14:paraId="6EB58D76"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Para validar completamente este comportamiento sería necesario ejecutar el mismo generador con idéntico volumen de eventos, primero utilizando el identificador gen-facturacion y después otro identificador sin cuota, manteniendo las demás condiciones equivalentes. La comparación debería considerar tiempo total de ejecución, eventos por segundo, bytes transmitidos y, cuando estén disponibles, métricas de throttle time. Esta metodología permitiría separar el efecto de la cuota de posibles diferencias ocasionadas por la infraestructura, la aplicación o la carga concurrente de otros usuarios.</w:t>
      </w:r>
    </w:p>
    <w:p w14:paraId="4600D6B0" w14:textId="77777777" w:rsidR="009871AF" w:rsidRPr="009871AF" w:rsidRDefault="009871AF" w:rsidP="009871AF">
      <w:pPr>
        <w:jc w:val="both"/>
        <w:rPr>
          <w:rFonts w:ascii="Arial" w:hAnsi="Arial" w:cs="Arial"/>
          <w:sz w:val="24"/>
          <w:szCs w:val="24"/>
          <w:lang w:val="es-ES"/>
        </w:rPr>
      </w:pPr>
    </w:p>
    <w:p w14:paraId="2938EA4B"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c) ¿Por qué en AWS compartido usamos tópicos con prefijo por equipo?</w:t>
      </w:r>
    </w:p>
    <w:p w14:paraId="414273F9" w14:textId="7484C082"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Respuesta:</w:t>
      </w:r>
    </w:p>
    <w:p w14:paraId="79738ECC"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utilización de prefijos por equipo responde a una necesidad de organización, identificación y control operativo dentro de un clúster Kafka compartido. En el laboratorio, varios grupos desarrollan prácticas sobre una misma infraestructura AWS, por lo que todos pueden encontrarse con un inventario común de tópicos, brokers y recursos administrativos.</w:t>
      </w:r>
    </w:p>
    <w:p w14:paraId="0ED03ABF"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En este contexto, utilizar denominaciones como equipo09.lab04.auditoria.acceso permite identificar a qué grupo pertenece un recurso, qué laboratorio lo originó y cuál es su finalidad funcional. Esta estructura facilita distinguir los tópicos de práctica de aquellos previamente definidos en el entorno y reduce las posibilidades de que dos equipos creen recursos con el mismo nombre.</w:t>
      </w:r>
    </w:p>
    <w:p w14:paraId="3F80CEE1" w14:textId="06670048"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 xml:space="preserve">El prefijo también contribuye a la trazabilidad de las actividades. Cuando se consulta el inventario del clúster, resulta más sencillo asociar cada tópico con el equipo que lo utiliza, revisar su configuración y comprender el contexto de una modificación. Esto resulta </w:t>
      </w:r>
      <w:r w:rsidRPr="009871AF">
        <w:rPr>
          <w:rFonts w:ascii="Arial" w:hAnsi="Arial" w:cs="Arial"/>
          <w:sz w:val="24"/>
          <w:szCs w:val="24"/>
          <w:lang w:val="es-ES"/>
        </w:rPr>
        <w:lastRenderedPageBreak/>
        <w:t>especialmente relevante en ejercicios donde se alteran políticas de compactación, tamaños de segmentos, retención o parámetros de replicación.</w:t>
      </w:r>
    </w:p>
    <w:p w14:paraId="07CBECF9"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Otra ventaja es el aislamiento lógico de las prácticas. Aunque los equipos compartan los mismos brokers, pueden trabajar con tópicos diferentes, manteniendo separados sus mensajes y configuraciones particulares. Así se reduce el riesgo de que las pruebas de un grupo alteren accidentalmente los resultados de otro.</w:t>
      </w:r>
    </w:p>
    <w:p w14:paraId="27403B5B"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evidencia de terminal permite identificar un caso concreto que confirma la importancia de esta convención. Durante el desarrollo de la práctica, la variable EQUIPO fue modificada de equipo09 a equipo08 y posteriormente se actualizó TOPIC. Como consecuencia, se creó un tópico con el prefijo del Equipo 08 y las modificaciones dinámicas posteriores quedaron dirigidas a ese recurso. El incidente demuestra que el uso de prefijos facilita identificar los recursos, pero no impide por sí solo que se ejecuten comandos sobre tópicos ajenos cuando se utilizan variables incorrectas.</w:t>
      </w:r>
    </w:p>
    <w:p w14:paraId="1F45C101"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Por esta razón, la convención de nombres debe complementarse con medidas de administración. Antes de ejecutar una operación de modificación o eliminación, es recomendable comprobar el valor efectivo de TOPIC, consultar el recurso de destino y verificar que corresponde al equipo autorizado. En ambientes con mayores exigencias de seguridad, esta práctica debe reforzarse mediante políticas de autorización, como las listas de control de acceso de Kafka (ACL), que restringen las operaciones permitidas a cada identidad.</w:t>
      </w:r>
    </w:p>
    <w:p w14:paraId="6426FE13"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Los prefijos tampoco proporcionan aislamiento físico: los equipos continúan compartiendo capacidad de procesamiento, red y almacenamiento. Por tanto, una administración adecuada debe considerar cuotas, monitoreo del consumo de recursos y mecanismos de autorización, además de la nomenclatura.</w:t>
      </w:r>
    </w:p>
    <w:p w14:paraId="37C78502"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En términos institucionales, el aprendizaje trasciende el laboratorio. La existencia de convenciones claras de nombres, responsabilidades identificadas y controles de modificación favorece la administración de plataformas de datos compartidas. Estas prácticas contribuyen a reducir errores operativos, mejorar la trazabilidad de los cambios y facilitar la gestión coordinada de los recursos tecnológicos.</w:t>
      </w:r>
    </w:p>
    <w:p w14:paraId="7C466DE5" w14:textId="77777777" w:rsidR="009871AF" w:rsidRPr="009871AF" w:rsidRDefault="009871AF" w:rsidP="009871AF">
      <w:pPr>
        <w:jc w:val="both"/>
        <w:rPr>
          <w:rFonts w:ascii="Arial" w:hAnsi="Arial" w:cs="Arial"/>
          <w:b/>
          <w:bCs/>
          <w:sz w:val="24"/>
          <w:szCs w:val="24"/>
          <w:lang w:val="es-ES"/>
        </w:rPr>
      </w:pPr>
    </w:p>
    <w:p w14:paraId="34F2F808" w14:textId="77777777" w:rsidR="009871AF" w:rsidRPr="009871AF" w:rsidRDefault="009871AF" w:rsidP="009871AF">
      <w:pPr>
        <w:jc w:val="both"/>
        <w:rPr>
          <w:rFonts w:ascii="Arial" w:hAnsi="Arial" w:cs="Arial"/>
          <w:sz w:val="24"/>
          <w:szCs w:val="24"/>
          <w:lang w:val="es-ES"/>
        </w:rPr>
      </w:pPr>
      <w:r w:rsidRPr="009871AF">
        <w:rPr>
          <w:rFonts w:ascii="Arial" w:hAnsi="Arial" w:cs="Arial"/>
          <w:b/>
          <w:bCs/>
          <w:sz w:val="24"/>
          <w:szCs w:val="24"/>
          <w:lang w:val="es-ES"/>
        </w:rPr>
        <w:t>3. Análisis de las incidencias y alcance de los resultados</w:t>
      </w:r>
    </w:p>
    <w:p w14:paraId="00084F26"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ejecución permitió reconocer una diferencia importante entre el éxito de una configuración administrativa y la verificación experimental de su comportamiento. Las consultas de Kafka confirmaron que los parámetros dinámicos y la cuota fueron aceptados por el clúster. Sin embargo, la prueba del productor no llegó a completarse debido a problemas de entorno que no estaban relacionados directamente con Kafka.</w:t>
      </w:r>
    </w:p>
    <w:p w14:paraId="47B9BB84"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 xml:space="preserve">El error ModuleNotFoundError indicó inicialmente que la biblioteca requerida por el productor no estaba disponible para el intérprete de Python utilizado. Aunque posteriormente se instaló confluent-kafka en un entorno virtual, varias ejecuciones continuaron fallando porque el archivo gen_eventos.py se invocó desde directorios incorrectos. Estos errores debieron diagnosticarse separadamente: la ausencia de la biblioteca corresponde a una dependencia </w:t>
      </w:r>
      <w:r w:rsidRPr="009871AF">
        <w:rPr>
          <w:rFonts w:ascii="Arial" w:hAnsi="Arial" w:cs="Arial"/>
          <w:sz w:val="24"/>
          <w:szCs w:val="24"/>
          <w:lang w:val="es-ES"/>
        </w:rPr>
        <w:lastRenderedPageBreak/>
        <w:t>del entorno de ejecución, mientras que la ausencia del archivo en la ruta indicada constituye un problema de localización del código.</w:t>
      </w:r>
    </w:p>
    <w:p w14:paraId="43A90397"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prueba de creación automática ofreció una evidencia más concluyente. El intento de publicar en un tópico inexistente generó advertencias sucesivas y finalizó con una excepción, sin que Kafka incorporara el tópico solicitado a su inventario. Esto permitió verificar el comportamiento previsto por la guía y demostrar la utilidad de restringir la creación automática de recursos.</w:t>
      </w:r>
    </w:p>
    <w:p w14:paraId="5E0E76F9"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En consecuencia, el laboratorio permitió validar de manera directa la administración de configuraciones por tópico, la gestión de cuotas y la restricción de autocreación. La comparación de rendimiento quedó pendiente de comprobación experimental y se mantiene expresamente diferenciada de los resultados observados.</w:t>
      </w:r>
    </w:p>
    <w:p w14:paraId="6BF72178" w14:textId="77777777" w:rsidR="009871AF" w:rsidRPr="009871AF" w:rsidRDefault="009871AF" w:rsidP="009871AF">
      <w:pPr>
        <w:jc w:val="both"/>
        <w:rPr>
          <w:rFonts w:ascii="Arial" w:hAnsi="Arial" w:cs="Arial"/>
          <w:sz w:val="24"/>
          <w:szCs w:val="24"/>
          <w:lang w:val="es-ES"/>
        </w:rPr>
      </w:pPr>
    </w:p>
    <w:p w14:paraId="02CBF1D5" w14:textId="77777777" w:rsidR="009871AF" w:rsidRPr="003C38A5" w:rsidRDefault="009871AF" w:rsidP="009871AF">
      <w:pPr>
        <w:jc w:val="both"/>
        <w:rPr>
          <w:rFonts w:ascii="Arial" w:hAnsi="Arial" w:cs="Arial"/>
          <w:b/>
          <w:bCs/>
          <w:sz w:val="24"/>
          <w:szCs w:val="24"/>
          <w:lang w:val="es-ES"/>
        </w:rPr>
      </w:pPr>
      <w:r w:rsidRPr="003C38A5">
        <w:rPr>
          <w:rFonts w:ascii="Arial" w:hAnsi="Arial" w:cs="Arial"/>
          <w:b/>
          <w:bCs/>
          <w:sz w:val="24"/>
          <w:szCs w:val="24"/>
          <w:lang w:val="es-ES"/>
        </w:rPr>
        <w:t>4. Conclusiones</w:t>
      </w:r>
    </w:p>
    <w:p w14:paraId="2B4EC8F6"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La práctica evidenció que Apache Kafka permite modificar determinadas configuraciones de forma dinámica, proporcionando flexibilidad administrativa sin requerir la interrupción del clúster. La consulta de los valores efectivos y su origen resulta indispensable para comprobar que las modificaciones se aplicaron sobre el recurso correcto y con la precedencia esperada.</w:t>
      </w:r>
    </w:p>
    <w:p w14:paraId="3B115CA2"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Asimismo, se estableció que las cuotas de producción constituyen mecanismos de regulación del consumo de recursos que pueden incrementar la latencia para mantener el tráfico dentro de los límites definidos. No obstante, su efectividad debe comprobarse mediante mediciones comparables y no únicamente a partir de la confirmación administrativa del parámetro.</w:t>
      </w:r>
    </w:p>
    <w:p w14:paraId="4CA6F9DD" w14:textId="77777777" w:rsidR="009871AF"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Finalmente, el trabajo puso de manifiesto la importancia de mantener convenciones de nombres y verificar las variables operativas en entornos compartidos. Los errores identificados no modifican los resultados que sí quedaron demostrados, pero ofrecen evidencia concreta de la necesidad de fortalecer las prácticas de validación, trazabilidad y control de cambios.</w:t>
      </w:r>
    </w:p>
    <w:p w14:paraId="0B2AE7EE" w14:textId="0C2C77A6" w:rsidR="00BC6298" w:rsidRPr="009871AF" w:rsidRDefault="009871AF" w:rsidP="009871AF">
      <w:pPr>
        <w:jc w:val="both"/>
        <w:rPr>
          <w:rFonts w:ascii="Arial" w:hAnsi="Arial" w:cs="Arial"/>
          <w:sz w:val="24"/>
          <w:szCs w:val="24"/>
          <w:lang w:val="es-ES"/>
        </w:rPr>
      </w:pPr>
      <w:r w:rsidRPr="009871AF">
        <w:rPr>
          <w:rFonts w:ascii="Arial" w:hAnsi="Arial" w:cs="Arial"/>
          <w:sz w:val="24"/>
          <w:szCs w:val="24"/>
          <w:lang w:val="es-ES"/>
        </w:rPr>
        <w:t>Desde una perspectiva de administración de plataformas de datos, el principal aprendizaje consiste en que una operación exitosa por CLI no es suficiente para garantizar el comportamiento esperado de un sistema. También se requiere comprobar su efecto, conservar evidencia de ejecución y diferenciar claramente entre configuraciones aplicadas, resultados medidos y condiciones pendientes de validación.</w:t>
      </w:r>
    </w:p>
    <w:sectPr w:rsidR="00BC6298" w:rsidRPr="009871AF" w:rsidSect="00034616">
      <w:footerReference w:type="even" r:id="rId8"/>
      <w:footerReference w:type="default" r:id="rId9"/>
      <w:footerReference w:type="first" r:id="rId10"/>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FB20A" w14:textId="77777777" w:rsidR="000A09D1" w:rsidRPr="006B4B9D" w:rsidRDefault="000A09D1">
      <w:pPr>
        <w:spacing w:after="0" w:line="240" w:lineRule="auto"/>
      </w:pPr>
      <w:r w:rsidRPr="006B4B9D">
        <w:separator/>
      </w:r>
    </w:p>
  </w:endnote>
  <w:endnote w:type="continuationSeparator" w:id="0">
    <w:p w14:paraId="04062EDF" w14:textId="77777777" w:rsidR="000A09D1" w:rsidRPr="006B4B9D" w:rsidRDefault="000A09D1">
      <w:pPr>
        <w:spacing w:after="0" w:line="240" w:lineRule="auto"/>
      </w:pPr>
      <w:r w:rsidRPr="006B4B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o">
    <w:panose1 w:val="020F0502020204030203"/>
    <w:charset w:val="00"/>
    <w:family w:val="swiss"/>
    <w:pitch w:val="variable"/>
    <w:sig w:usb0="A00000AF" w:usb1="5000604B"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C5D4B" w14:textId="77777777" w:rsidR="001A1140" w:rsidRPr="006B4B9D" w:rsidRDefault="001A1140">
    <w:pPr>
      <w:pStyle w:val="Piedepgina"/>
    </w:pPr>
    <w:r w:rsidRPr="006B4B9D">
      <w:rPr>
        <w:noProof/>
      </w:rPr>
      <mc:AlternateContent>
        <mc:Choice Requires="wps">
          <w:drawing>
            <wp:anchor distT="0" distB="0" distL="0" distR="0" simplePos="0" relativeHeight="251659264" behindDoc="0" locked="0" layoutInCell="1" allowOverlap="1" wp14:anchorId="532BD621" wp14:editId="53C29969">
              <wp:simplePos x="635" y="635"/>
              <wp:positionH relativeFrom="page">
                <wp:align>right</wp:align>
              </wp:positionH>
              <wp:positionV relativeFrom="page">
                <wp:align>bottom</wp:align>
              </wp:positionV>
              <wp:extent cx="1282700" cy="364490"/>
              <wp:effectExtent l="0" t="0" r="0" b="0"/>
              <wp:wrapNone/>
              <wp:docPr id="123352329" name="Cuadro de texto 2"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092204B4"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32BD621" id="_x0000_t202" coordsize="21600,21600" o:spt="202" path="m,l,21600r21600,l21600,xe">
              <v:stroke joinstyle="miter"/>
              <v:path gradientshapeok="t" o:connecttype="rect"/>
            </v:shapetype>
            <v:shape id="Cuadro de texto 2" o:spid="_x0000_s1026" type="#_x0000_t202" alt="Información Pública" style="position:absolute;margin-left:49.8pt;margin-top:0;width:101pt;height:28.7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" filled="f" stroked="f">
              <v:textbox style="mso-fit-shape-to-text:t" inset="0,0,20pt,15pt">
                <w:txbxContent>
                  <w:p w14:paraId="092204B4"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8D8EF" w14:textId="77777777" w:rsidR="002B7306" w:rsidRPr="006B4B9D" w:rsidRDefault="001A1140">
    <w:pPr>
      <w:pStyle w:val="Piedepgina"/>
      <w:jc w:val="right"/>
    </w:pPr>
    <w:r w:rsidRPr="006B4B9D">
      <w:rPr>
        <w:noProof/>
        <w:color w:val="646464"/>
        <w:sz w:val="17"/>
      </w:rPr>
      <mc:AlternateContent>
        <mc:Choice Requires="wps">
          <w:drawing>
            <wp:anchor distT="0" distB="0" distL="0" distR="0" simplePos="0" relativeHeight="251660288" behindDoc="0" locked="0" layoutInCell="1" allowOverlap="1" wp14:anchorId="6B8440C9" wp14:editId="4BB65196">
              <wp:simplePos x="752475" y="9439275"/>
              <wp:positionH relativeFrom="page">
                <wp:align>right</wp:align>
              </wp:positionH>
              <wp:positionV relativeFrom="page">
                <wp:align>bottom</wp:align>
              </wp:positionV>
              <wp:extent cx="1282700" cy="364490"/>
              <wp:effectExtent l="0" t="0" r="0" b="0"/>
              <wp:wrapNone/>
              <wp:docPr id="167234768" name="Cuadro de texto 3"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22CB3F2C"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8440C9" id="_x0000_t202" coordsize="21600,21600" o:spt="202" path="m,l,21600r21600,l21600,xe">
              <v:stroke joinstyle="miter"/>
              <v:path gradientshapeok="t" o:connecttype="rect"/>
            </v:shapetype>
            <v:shape id="Cuadro de texto 3" o:spid="_x0000_s1027" type="#_x0000_t202" alt="Información Pública" style="position:absolute;left:0;text-align:left;margin-left:49.8pt;margin-top:0;width:101pt;height:28.7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" filled="f" stroked="f">
              <v:textbox style="mso-fit-shape-to-text:t" inset="0,0,20pt,15pt">
                <w:txbxContent>
                  <w:p w14:paraId="22CB3F2C"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r w:rsidR="000A09D1" w:rsidRPr="006B4B9D">
      <w:rPr>
        <w:color w:val="646464"/>
        <w:sz w:val="17"/>
      </w:rPr>
      <w:t xml:space="preserve">Página </w:t>
    </w:r>
    <w:r w:rsidR="000A09D1" w:rsidRPr="006B4B9D">
      <w:fldChar w:fldCharType="begin"/>
    </w:r>
    <w:r w:rsidR="000A09D1" w:rsidRPr="006B4B9D">
      <w:instrText>PAGE</w:instrText>
    </w:r>
    <w:r w:rsidR="000A09D1" w:rsidRPr="006B4B9D">
      <w:fldChar w:fldCharType="separate"/>
    </w:r>
    <w:r w:rsidRPr="006B4B9D">
      <w:t>1</w:t>
    </w:r>
    <w:r w:rsidR="000A09D1" w:rsidRPr="006B4B9D">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CC59D" w14:textId="77777777" w:rsidR="001A1140" w:rsidRPr="006B4B9D" w:rsidRDefault="001A1140">
    <w:pPr>
      <w:pStyle w:val="Piedepgina"/>
    </w:pPr>
    <w:r w:rsidRPr="006B4B9D">
      <w:rPr>
        <w:noProof/>
      </w:rPr>
      <mc:AlternateContent>
        <mc:Choice Requires="wps">
          <w:drawing>
            <wp:anchor distT="0" distB="0" distL="0" distR="0" simplePos="0" relativeHeight="251658240" behindDoc="0" locked="0" layoutInCell="1" allowOverlap="1" wp14:anchorId="2C64B6FE" wp14:editId="2ECCFD66">
              <wp:simplePos x="635" y="635"/>
              <wp:positionH relativeFrom="page">
                <wp:align>right</wp:align>
              </wp:positionH>
              <wp:positionV relativeFrom="page">
                <wp:align>bottom</wp:align>
              </wp:positionV>
              <wp:extent cx="1282700" cy="364490"/>
              <wp:effectExtent l="0" t="0" r="0" b="0"/>
              <wp:wrapNone/>
              <wp:docPr id="1259253317" name="Cuadro de texto 1" descr="Información 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82700" cy="364490"/>
                      </a:xfrm>
                      <a:prstGeom prst="rect">
                        <a:avLst/>
                      </a:prstGeom>
                      <a:noFill/>
                      <a:ln>
                        <a:noFill/>
                      </a:ln>
                    </wps:spPr>
                    <wps:txbx>
                      <w:txbxContent>
                        <w:p w14:paraId="32BB441A"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64B6FE" id="_x0000_t202" coordsize="21600,21600" o:spt="202" path="m,l,21600r21600,l21600,xe">
              <v:stroke joinstyle="miter"/>
              <v:path gradientshapeok="t" o:connecttype="rect"/>
            </v:shapetype>
            <v:shape id="Cuadro de texto 1" o:spid="_x0000_s1028" type="#_x0000_t202" alt="Información Pública" style="position:absolute;margin-left:49.8pt;margin-top:0;width:101pt;height:28.7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" filled="f" stroked="f">
              <v:textbox style="mso-fit-shape-to-text:t" inset="0,0,20pt,15pt">
                <w:txbxContent>
                  <w:p w14:paraId="32BB441A" w14:textId="77777777" w:rsidR="001A1140" w:rsidRPr="006B4B9D" w:rsidRDefault="001A1140" w:rsidP="001A1140">
                    <w:pPr>
                      <w:spacing w:after="0"/>
                      <w:rPr>
                        <w:rFonts w:ascii="Calibri" w:eastAsia="Calibri" w:hAnsi="Calibri" w:cs="Calibri"/>
                        <w:color w:val="000000"/>
                        <w:sz w:val="20"/>
                        <w:szCs w:val="20"/>
                      </w:rPr>
                    </w:pPr>
                    <w:r w:rsidRPr="006B4B9D">
                      <w:rPr>
                        <w:rFonts w:ascii="Calibri" w:eastAsia="Calibri" w:hAnsi="Calibri" w:cs="Calibri"/>
                        <w:color w:val="000000"/>
                        <w:sz w:val="20"/>
                        <w:szCs w:val="20"/>
                      </w:rPr>
                      <w:t>Información 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23B54" w14:textId="77777777" w:rsidR="000A09D1" w:rsidRPr="006B4B9D" w:rsidRDefault="000A09D1">
      <w:pPr>
        <w:spacing w:after="0" w:line="240" w:lineRule="auto"/>
      </w:pPr>
      <w:r w:rsidRPr="006B4B9D">
        <w:separator/>
      </w:r>
    </w:p>
  </w:footnote>
  <w:footnote w:type="continuationSeparator" w:id="0">
    <w:p w14:paraId="00B4A244" w14:textId="77777777" w:rsidR="000A09D1" w:rsidRPr="006B4B9D" w:rsidRDefault="000A09D1">
      <w:pPr>
        <w:spacing w:after="0" w:line="240" w:lineRule="auto"/>
      </w:pPr>
      <w:r w:rsidRPr="006B4B9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A51506"/>
    <w:multiLevelType w:val="multilevel"/>
    <w:tmpl w:val="B3AC4C14"/>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8B5B8E"/>
    <w:multiLevelType w:val="multilevel"/>
    <w:tmpl w:val="4C04B97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034D06"/>
    <w:multiLevelType w:val="multilevel"/>
    <w:tmpl w:val="4C04B972"/>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816FAC"/>
    <w:multiLevelType w:val="hybridMultilevel"/>
    <w:tmpl w:val="C96CC3E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9FB719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27173D"/>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7C96560F"/>
    <w:multiLevelType w:val="hybridMultilevel"/>
    <w:tmpl w:val="8D30143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118651569">
    <w:abstractNumId w:val="8"/>
  </w:num>
  <w:num w:numId="2" w16cid:durableId="356468340">
    <w:abstractNumId w:val="6"/>
  </w:num>
  <w:num w:numId="3" w16cid:durableId="717559234">
    <w:abstractNumId w:val="5"/>
  </w:num>
  <w:num w:numId="4" w16cid:durableId="47609278">
    <w:abstractNumId w:val="4"/>
  </w:num>
  <w:num w:numId="5" w16cid:durableId="1771587422">
    <w:abstractNumId w:val="7"/>
  </w:num>
  <w:num w:numId="6" w16cid:durableId="686101973">
    <w:abstractNumId w:val="3"/>
  </w:num>
  <w:num w:numId="7" w16cid:durableId="1659259666">
    <w:abstractNumId w:val="2"/>
  </w:num>
  <w:num w:numId="8" w16cid:durableId="1878741261">
    <w:abstractNumId w:val="1"/>
  </w:num>
  <w:num w:numId="9" w16cid:durableId="1289972031">
    <w:abstractNumId w:val="0"/>
  </w:num>
  <w:num w:numId="10" w16cid:durableId="346828875">
    <w:abstractNumId w:val="15"/>
  </w:num>
  <w:num w:numId="11" w16cid:durableId="1764300979">
    <w:abstractNumId w:val="10"/>
  </w:num>
  <w:num w:numId="12" w16cid:durableId="1073353836">
    <w:abstractNumId w:val="11"/>
  </w:num>
  <w:num w:numId="13" w16cid:durableId="335619668">
    <w:abstractNumId w:val="9"/>
  </w:num>
  <w:num w:numId="14" w16cid:durableId="668293077">
    <w:abstractNumId w:val="12"/>
  </w:num>
  <w:num w:numId="15" w16cid:durableId="1895847433">
    <w:abstractNumId w:val="14"/>
  </w:num>
  <w:num w:numId="16" w16cid:durableId="17451036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D9"/>
    <w:rsid w:val="000A09D1"/>
    <w:rsid w:val="0015074B"/>
    <w:rsid w:val="001A1140"/>
    <w:rsid w:val="00255905"/>
    <w:rsid w:val="00272868"/>
    <w:rsid w:val="0029639D"/>
    <w:rsid w:val="002B7306"/>
    <w:rsid w:val="002C360F"/>
    <w:rsid w:val="003218EE"/>
    <w:rsid w:val="00326F90"/>
    <w:rsid w:val="003C38A5"/>
    <w:rsid w:val="00415FD6"/>
    <w:rsid w:val="00471B7C"/>
    <w:rsid w:val="00477884"/>
    <w:rsid w:val="00617F7F"/>
    <w:rsid w:val="006A0148"/>
    <w:rsid w:val="006B4B9D"/>
    <w:rsid w:val="008B5D7B"/>
    <w:rsid w:val="009871AF"/>
    <w:rsid w:val="009A15FB"/>
    <w:rsid w:val="009F319E"/>
    <w:rsid w:val="00AA1D8D"/>
    <w:rsid w:val="00AA7D6E"/>
    <w:rsid w:val="00B47730"/>
    <w:rsid w:val="00BB3C3C"/>
    <w:rsid w:val="00BC1E85"/>
    <w:rsid w:val="00BC6298"/>
    <w:rsid w:val="00C42FC9"/>
    <w:rsid w:val="00CB0664"/>
    <w:rsid w:val="00CF0CE7"/>
    <w:rsid w:val="00F86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A8DC2"/>
  <w14:defaultImageDpi w14:val="300"/>
  <w15:docId w15:val="{11FBA6E9-6DB5-4D6C-A01C-615E0C5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Lato" w:hAnsi="Lato"/>
      <w:sz w:val="21"/>
      <w:lang w:val="es-CO"/>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7365D"/>
      <w:sz w:val="3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F5597"/>
      <w:sz w:val="25"/>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44546A"/>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3F3F3"/>
      <w:spacing w:before="80" w:after="140" w:line="240" w:lineRule="auto"/>
      <w:ind w:left="259" w:right="259"/>
    </w:pPr>
    <w:rPr>
      <w:rFonts w:ascii="Liberation Mono" w:hAnsi="Liberation Mono"/>
      <w:color w:val="262626"/>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1007318">
      <w:bodyDiv w:val="1"/>
      <w:marLeft w:val="0"/>
      <w:marRight w:val="0"/>
      <w:marTop w:val="0"/>
      <w:marBottom w:val="0"/>
      <w:divBdr>
        <w:top w:val="none" w:sz="0" w:space="0" w:color="auto"/>
        <w:left w:val="none" w:sz="0" w:space="0" w:color="auto"/>
        <w:bottom w:val="none" w:sz="0" w:space="0" w:color="auto"/>
        <w:right w:val="none" w:sz="0" w:space="0" w:color="auto"/>
      </w:divBdr>
    </w:div>
    <w:div w:id="880439712">
      <w:bodyDiv w:val="1"/>
      <w:marLeft w:val="0"/>
      <w:marRight w:val="0"/>
      <w:marTop w:val="0"/>
      <w:marBottom w:val="0"/>
      <w:divBdr>
        <w:top w:val="none" w:sz="0" w:space="0" w:color="auto"/>
        <w:left w:val="none" w:sz="0" w:space="0" w:color="auto"/>
        <w:bottom w:val="none" w:sz="0" w:space="0" w:color="auto"/>
        <w:right w:val="none" w:sz="0" w:space="0" w:color="auto"/>
      </w:divBdr>
    </w:div>
    <w:div w:id="918948222">
      <w:bodyDiv w:val="1"/>
      <w:marLeft w:val="0"/>
      <w:marRight w:val="0"/>
      <w:marTop w:val="0"/>
      <w:marBottom w:val="0"/>
      <w:divBdr>
        <w:top w:val="none" w:sz="0" w:space="0" w:color="auto"/>
        <w:left w:val="none" w:sz="0" w:space="0" w:color="auto"/>
        <w:bottom w:val="none" w:sz="0" w:space="0" w:color="auto"/>
        <w:right w:val="none" w:sz="0" w:space="0" w:color="auto"/>
      </w:divBdr>
    </w:div>
    <w:div w:id="16258884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2808</Words>
  <Characters>15450</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01 - Anatomía de un clúster Kafka de tres brokers</vt:lpstr>
      <vt:lpstr/>
    </vt:vector>
  </TitlesOfParts>
  <Manager/>
  <Company/>
  <LinksUpToDate>false</LinksUpToDate>
  <CharactersWithSpaces>18222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01 - Anatomía de un clúster Kafka de tres brokers (informe actualizado)</dc:title>
  <dc:subject>Informe final con evidencia complementaria: failover, resincronización y conciliación de eventos</dc:subject>
  <dc:creator>Equipo 09</dc:creator>
  <cp:keywords>Kafka, KRaft, brokers, ISR, replicación, failover, AWS, code-server</cp:keywords>
  <dc:description>generated by python-docx</dc:description>
  <cp:lastModifiedBy>Omar Ricardo Sanchez Castañeda</cp:lastModifiedBy>
  <cp:revision>7</cp:revision>
  <dcterms:created xsi:type="dcterms:W3CDTF">2026-10-22T15:59:00Z</dcterms:created>
  <dcterms:modified xsi:type="dcterms:W3CDTF">2026-10-22T16:09:00Z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4b0eae45,75a3509,9f7ccd0</vt:lpwstr>
  </property>
  <property fmtid="{D5CDD505-2E9C-101B-9397-08002B2CF9AE}" pid="3" name="ClassificationContentMarkingFooterFontProps">
    <vt:lpwstr>#000000,10,Calibri</vt:lpwstr>
  </property>
  <property fmtid="{D5CDD505-2E9C-101B-9397-08002B2CF9AE}" pid="4" name="ClassificationContentMarkingFooterText">
    <vt:lpwstr>Información Pública</vt:lpwstr>
  </property>
  <property fmtid="{D5CDD505-2E9C-101B-9397-08002B2CF9AE}" pid="5" name="MSIP_Label_9238af61-cfb1-43e3-a724-fe68a71eee05_Enabled">
    <vt:lpwstr>true</vt:lpwstr>
  </property>
  <property fmtid="{D5CDD505-2E9C-101B-9397-08002B2CF9AE}" pid="6" name="MSIP_Label_9238af61-cfb1-43e3-a724-fe68a71eee05_SetDate">
    <vt:lpwstr>2026-10-08T19:10:46Z</vt:lpwstr>
  </property>
  <property fmtid="{D5CDD505-2E9C-101B-9397-08002B2CF9AE}" pid="7" name="MSIP_Label_9238af61-cfb1-43e3-a724-fe68a71eee05_Method">
    <vt:lpwstr>Privileged</vt:lpwstr>
  </property>
  <property fmtid="{D5CDD505-2E9C-101B-9397-08002B2CF9AE}" pid="8" name="MSIP_Label_9238af61-cfb1-43e3-a724-fe68a71eee05_Name">
    <vt:lpwstr>Pública</vt:lpwstr>
  </property>
  <property fmtid="{D5CDD505-2E9C-101B-9397-08002B2CF9AE}" pid="9" name="MSIP_Label_9238af61-cfb1-43e3-a724-fe68a71eee05_SiteId">
    <vt:lpwstr>fab26e5a-737a-4438-8ccd-8e465ecf21d8</vt:lpwstr>
  </property>
  <property fmtid="{D5CDD505-2E9C-101B-9397-08002B2CF9AE}" pid="10" name="MSIP_Label_9238af61-cfb1-43e3-a724-fe68a71eee05_ActionId">
    <vt:lpwstr>5d7655ef-0cc3-4e29-a8fb-9de2074e8878</vt:lpwstr>
  </property>
  <property fmtid="{D5CDD505-2E9C-101B-9397-08002B2CF9AE}" pid="11" name="MSIP_Label_9238af61-cfb1-43e3-a724-fe68a71eee05_ContentBits">
    <vt:lpwstr>2</vt:lpwstr>
  </property>
</Properties>
</file>