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dd0ea8b5030e69836793f6b3d9bc6ce876426e4"/>
    <w:p>
      <w:pPr>
        <w:pStyle w:val="Heading1"/>
      </w:pPr>
      <w:r>
        <w:t xml:space="preserve">CHECKLIST, CRONOGRAMA Y PLAN EJECUTABLE INVIMA</w:t>
      </w:r>
    </w:p>
    <w:bookmarkStart w:id="20" w:name="Xcf0875d8d6e79a094e683f11b3e9a530e31d851"/>
    <w:p>
      <w:pPr>
        <w:pStyle w:val="Heading2"/>
      </w:pPr>
      <w:r>
        <w:t xml:space="preserve">Dispositivo Médico HM-H100 (Holter ECG con IoT y AI)</w:t>
      </w:r>
    </w:p>
    <w:p>
      <w:r>
        <w:pict>
          <v:rect style="width:0;height:1.5pt" o:hralign="center" o:hrstd="t" o:hr="t"/>
        </w:pict>
      </w:r>
    </w:p>
    <w:bookmarkEnd w:id="20"/>
    <w:bookmarkStart w:id="33" w:name="X77a9d1bdd1045227ae44fc13f4331861b69fac1"/>
    <w:p>
      <w:pPr>
        <w:pStyle w:val="Heading2"/>
      </w:pPr>
      <w:r>
        <w:t xml:space="preserve">A) CHECKLIST COMPLETO DE DOCUMENTOS REGULATORIOS</w:t>
      </w:r>
    </w:p>
    <w:p>
      <w:pPr>
        <w:pStyle w:val="FirstParagraph"/>
      </w:pPr>
      <w:r>
        <w:rPr>
          <w:bCs/>
          <w:b/>
        </w:rPr>
        <w:t xml:space="preserve">Instrucciones:</w:t>
      </w:r>
      <w:r>
        <w:t xml:space="preserve"> </w:t>
      </w:r>
      <w:r>
        <w:t xml:space="preserve">Marcar con [X] cada elemento conforme se completa. Este checklist es CRÍTICO para garantizar que no se omita documentación.</w:t>
      </w:r>
    </w:p>
    <w:bookmarkStart w:id="21" w:name="Xb128411c5161957c19f5109267614ab90788fef"/>
    <w:p>
      <w:pPr>
        <w:pStyle w:val="Heading3"/>
      </w:pPr>
      <w:r>
        <w:t xml:space="preserve">FASE 1: DOCUMENTACIÓN TÉCNICA CENTRAL (SEMANA 1-2)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Especificación Técnica Completa</w:t>
      </w:r>
    </w:p>
    <w:p>
      <w:pPr>
        <w:numPr>
          <w:ilvl w:val="1"/>
          <w:numId w:val="1002"/>
        </w:numPr>
        <w:pStyle w:val="Compact"/>
      </w:pPr>
      <w:r>
        <w:t xml:space="preserve">Descripción detallada del dispositivo</w:t>
      </w:r>
    </w:p>
    <w:p>
      <w:pPr>
        <w:numPr>
          <w:ilvl w:val="1"/>
          <w:numId w:val="1002"/>
        </w:numPr>
        <w:pStyle w:val="Compact"/>
      </w:pPr>
      <w:r>
        <w:t xml:space="preserve">Componentes y partes</w:t>
      </w:r>
    </w:p>
    <w:p>
      <w:pPr>
        <w:numPr>
          <w:ilvl w:val="1"/>
          <w:numId w:val="1002"/>
        </w:numPr>
        <w:pStyle w:val="Compact"/>
      </w:pPr>
      <w:r>
        <w:t xml:space="preserve">Especificaciones eléctricas, físicas, de software</w:t>
      </w:r>
    </w:p>
    <w:p>
      <w:pPr>
        <w:numPr>
          <w:ilvl w:val="1"/>
          <w:numId w:val="1002"/>
        </w:numPr>
        <w:pStyle w:val="Compact"/>
      </w:pPr>
      <w:r>
        <w:t xml:space="preserve">Rangos de operación y almacenamiento</w:t>
      </w:r>
    </w:p>
    <w:p>
      <w:pPr>
        <w:numPr>
          <w:ilvl w:val="1"/>
          <w:numId w:val="1002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Especificaciones-HM-H100-v2.1.docx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Análisis de Riesgos (ISO 14971:2019)</w:t>
      </w:r>
    </w:p>
    <w:p>
      <w:pPr>
        <w:numPr>
          <w:ilvl w:val="1"/>
          <w:numId w:val="1003"/>
        </w:numPr>
        <w:pStyle w:val="Compact"/>
      </w:pPr>
      <w:r>
        <w:t xml:space="preserve">Identificación de peligros</w:t>
      </w:r>
    </w:p>
    <w:p>
      <w:pPr>
        <w:numPr>
          <w:ilvl w:val="1"/>
          <w:numId w:val="1003"/>
        </w:numPr>
        <w:pStyle w:val="Compact"/>
      </w:pPr>
      <w:r>
        <w:t xml:space="preserve">Evaluación de riesgos (severity x probability)</w:t>
      </w:r>
    </w:p>
    <w:p>
      <w:pPr>
        <w:numPr>
          <w:ilvl w:val="1"/>
          <w:numId w:val="1003"/>
        </w:numPr>
        <w:pStyle w:val="Compact"/>
      </w:pPr>
      <w:r>
        <w:t xml:space="preserve">Medidas de control</w:t>
      </w:r>
    </w:p>
    <w:p>
      <w:pPr>
        <w:numPr>
          <w:ilvl w:val="1"/>
          <w:numId w:val="1003"/>
        </w:numPr>
        <w:pStyle w:val="Compact"/>
      </w:pPr>
      <w:r>
        <w:t xml:space="preserve">Evaluación de riesgos residuales</w:t>
      </w:r>
    </w:p>
    <w:p>
      <w:pPr>
        <w:numPr>
          <w:ilvl w:val="1"/>
          <w:numId w:val="1003"/>
        </w:numPr>
        <w:pStyle w:val="Compact"/>
      </w:pPr>
      <w:r>
        <w:t xml:space="preserve">Tabla de trazabilidad riesgos-requisitos</w:t>
      </w:r>
    </w:p>
    <w:p>
      <w:pPr>
        <w:numPr>
          <w:ilvl w:val="1"/>
          <w:numId w:val="1003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Analisis-Riesgos-ISO14971.xlsx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Dossier Técnico Compilado</w:t>
      </w:r>
    </w:p>
    <w:p>
      <w:pPr>
        <w:numPr>
          <w:ilvl w:val="1"/>
          <w:numId w:val="1004"/>
        </w:numPr>
        <w:pStyle w:val="Compact"/>
      </w:pPr>
      <w:r>
        <w:t xml:space="preserve">Documentación integrada del dispositivo</w:t>
      </w:r>
    </w:p>
    <w:p>
      <w:pPr>
        <w:numPr>
          <w:ilvl w:val="1"/>
          <w:numId w:val="1004"/>
        </w:numPr>
        <w:pStyle w:val="Compact"/>
      </w:pPr>
      <w:r>
        <w:t xml:space="preserve">Índice con referencias cruzadas</w:t>
      </w:r>
    </w:p>
    <w:p>
      <w:pPr>
        <w:numPr>
          <w:ilvl w:val="1"/>
          <w:numId w:val="1004"/>
        </w:numPr>
        <w:pStyle w:val="Compact"/>
      </w:pPr>
      <w:r>
        <w:t xml:space="preserve">Historiales de cambios de versión</w:t>
      </w:r>
    </w:p>
    <w:p>
      <w:pPr>
        <w:numPr>
          <w:ilvl w:val="1"/>
          <w:numId w:val="1004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Dossier-Tecnico-HM-H100.pdf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Especificaciones de Software (IEC 62304:2015)</w:t>
      </w:r>
    </w:p>
    <w:p>
      <w:pPr>
        <w:numPr>
          <w:ilvl w:val="1"/>
          <w:numId w:val="1005"/>
        </w:numPr>
        <w:pStyle w:val="Compact"/>
      </w:pPr>
      <w:r>
        <w:t xml:space="preserve">Requisitos de software</w:t>
      </w:r>
    </w:p>
    <w:p>
      <w:pPr>
        <w:numPr>
          <w:ilvl w:val="1"/>
          <w:numId w:val="1005"/>
        </w:numPr>
        <w:pStyle w:val="Compact"/>
      </w:pPr>
      <w:r>
        <w:t xml:space="preserve">Especificación de diseño</w:t>
      </w:r>
    </w:p>
    <w:p>
      <w:pPr>
        <w:numPr>
          <w:ilvl w:val="1"/>
          <w:numId w:val="1005"/>
        </w:numPr>
        <w:pStyle w:val="Compact"/>
      </w:pPr>
      <w:r>
        <w:t xml:space="preserve">Diagrama de arquitectura</w:t>
      </w:r>
    </w:p>
    <w:p>
      <w:pPr>
        <w:numPr>
          <w:ilvl w:val="1"/>
          <w:numId w:val="1005"/>
        </w:numPr>
        <w:pStyle w:val="Compact"/>
      </w:pPr>
      <w:r>
        <w:t xml:space="preserve">Código fuente (disponible para auditoría)</w:t>
      </w:r>
    </w:p>
    <w:p>
      <w:pPr>
        <w:numPr>
          <w:ilvl w:val="1"/>
          <w:numId w:val="1005"/>
        </w:numPr>
        <w:pStyle w:val="Compact"/>
      </w:pPr>
      <w:r>
        <w:t xml:space="preserve">Trazabilidad requisitos-código</w:t>
      </w:r>
    </w:p>
    <w:p>
      <w:pPr>
        <w:numPr>
          <w:ilvl w:val="1"/>
          <w:numId w:val="1005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Validacion-Software-HM-H100.pdf</w:t>
      </w:r>
    </w:p>
    <w:bookmarkEnd w:id="21"/>
    <w:bookmarkStart w:id="22" w:name="X9f3b5adda754686fe920fe217eb730749e2d5ba"/>
    <w:p>
      <w:pPr>
        <w:pStyle w:val="Heading3"/>
      </w:pPr>
      <w:r>
        <w:t xml:space="preserve">FASE 2: DOCUMENTACIÓN DE FABRICACIÓN Y CALIDAD (SEMANA 2-3)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Manual de Calidad (ISO 13485:2016)</w:t>
      </w:r>
    </w:p>
    <w:p>
      <w:pPr>
        <w:numPr>
          <w:ilvl w:val="1"/>
          <w:numId w:val="1007"/>
        </w:numPr>
        <w:pStyle w:val="Compact"/>
      </w:pPr>
      <w:r>
        <w:t xml:space="preserve">Estructura del SGC</w:t>
      </w:r>
    </w:p>
    <w:p>
      <w:pPr>
        <w:numPr>
          <w:ilvl w:val="1"/>
          <w:numId w:val="1007"/>
        </w:numPr>
        <w:pStyle w:val="Compact"/>
      </w:pPr>
      <w:r>
        <w:t xml:space="preserve">Responsabilidades de calidad</w:t>
      </w:r>
    </w:p>
    <w:p>
      <w:pPr>
        <w:numPr>
          <w:ilvl w:val="1"/>
          <w:numId w:val="1007"/>
        </w:numPr>
        <w:pStyle w:val="Compact"/>
      </w:pPr>
      <w:r>
        <w:t xml:space="preserve">Procedimientos de control</w:t>
      </w:r>
    </w:p>
    <w:p>
      <w:pPr>
        <w:numPr>
          <w:ilvl w:val="1"/>
          <w:numId w:val="1007"/>
        </w:numPr>
        <w:pStyle w:val="Compact"/>
      </w:pPr>
      <w:r>
        <w:t xml:space="preserve">Gestión de cambios</w:t>
      </w:r>
    </w:p>
    <w:p>
      <w:pPr>
        <w:numPr>
          <w:ilvl w:val="1"/>
          <w:numId w:val="1007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Manual-Calidad-ISO13485.pdf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Procedimientos de Fabricación</w:t>
      </w:r>
    </w:p>
    <w:p>
      <w:pPr>
        <w:numPr>
          <w:ilvl w:val="1"/>
          <w:numId w:val="1008"/>
        </w:numPr>
        <w:pStyle w:val="Compact"/>
      </w:pPr>
      <w:r>
        <w:t xml:space="preserve">Procesos críticos de manufactura</w:t>
      </w:r>
    </w:p>
    <w:p>
      <w:pPr>
        <w:numPr>
          <w:ilvl w:val="1"/>
          <w:numId w:val="1008"/>
        </w:numPr>
        <w:pStyle w:val="Compact"/>
      </w:pPr>
      <w:r>
        <w:t xml:space="preserve">Especificaciones de componentes críticos</w:t>
      </w:r>
    </w:p>
    <w:p>
      <w:pPr>
        <w:numPr>
          <w:ilvl w:val="1"/>
          <w:numId w:val="1008"/>
        </w:numPr>
        <w:pStyle w:val="Compact"/>
      </w:pPr>
      <w:r>
        <w:t xml:space="preserve">Procesos de ensamblaje</w:t>
      </w:r>
    </w:p>
    <w:p>
      <w:pPr>
        <w:numPr>
          <w:ilvl w:val="1"/>
          <w:numId w:val="1008"/>
        </w:numPr>
        <w:pStyle w:val="Compact"/>
      </w:pPr>
      <w:r>
        <w:t xml:space="preserve">Pruebas en proceso</w:t>
      </w:r>
    </w:p>
    <w:p>
      <w:pPr>
        <w:numPr>
          <w:ilvl w:val="1"/>
          <w:numId w:val="1008"/>
        </w:numPr>
        <w:pStyle w:val="Compact"/>
      </w:pPr>
      <w:r>
        <w:t xml:space="preserve">Control de calidad en línea</w:t>
      </w:r>
    </w:p>
    <w:p>
      <w:pPr>
        <w:numPr>
          <w:ilvl w:val="1"/>
          <w:numId w:val="1008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Procedimientos-Fabricacion.docx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Procedimiento de Validación de Procesos</w:t>
      </w:r>
    </w:p>
    <w:p>
      <w:pPr>
        <w:numPr>
          <w:ilvl w:val="1"/>
          <w:numId w:val="1009"/>
        </w:numPr>
        <w:pStyle w:val="Compact"/>
      </w:pPr>
      <w:r>
        <w:t xml:space="preserve">Validación de esterilización (N/A si no estéril)</w:t>
      </w:r>
    </w:p>
    <w:p>
      <w:pPr>
        <w:numPr>
          <w:ilvl w:val="1"/>
          <w:numId w:val="1009"/>
        </w:numPr>
        <w:pStyle w:val="Compact"/>
      </w:pPr>
      <w:r>
        <w:t xml:space="preserve">Validación de empaques</w:t>
      </w:r>
    </w:p>
    <w:p>
      <w:pPr>
        <w:numPr>
          <w:ilvl w:val="1"/>
          <w:numId w:val="1009"/>
        </w:numPr>
        <w:pStyle w:val="Compact"/>
      </w:pPr>
      <w:r>
        <w:t xml:space="preserve">Calibración de equipos</w:t>
      </w:r>
    </w:p>
    <w:p>
      <w:pPr>
        <w:numPr>
          <w:ilvl w:val="1"/>
          <w:numId w:val="1009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Validacion-Procesos.docx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Plan de Control de Calidad</w:t>
      </w:r>
    </w:p>
    <w:p>
      <w:pPr>
        <w:numPr>
          <w:ilvl w:val="1"/>
          <w:numId w:val="1010"/>
        </w:numPr>
        <w:pStyle w:val="Compact"/>
      </w:pPr>
      <w:r>
        <w:t xml:space="preserve">Especificaciones de materias primas</w:t>
      </w:r>
    </w:p>
    <w:p>
      <w:pPr>
        <w:numPr>
          <w:ilvl w:val="1"/>
          <w:numId w:val="1010"/>
        </w:numPr>
        <w:pStyle w:val="Compact"/>
      </w:pPr>
      <w:r>
        <w:t xml:space="preserve">Inspección de recepción</w:t>
      </w:r>
    </w:p>
    <w:p>
      <w:pPr>
        <w:numPr>
          <w:ilvl w:val="1"/>
          <w:numId w:val="1010"/>
        </w:numPr>
        <w:pStyle w:val="Compact"/>
      </w:pPr>
      <w:r>
        <w:t xml:space="preserve">Pruebas en proceso</w:t>
      </w:r>
    </w:p>
    <w:p>
      <w:pPr>
        <w:numPr>
          <w:ilvl w:val="1"/>
          <w:numId w:val="1010"/>
        </w:numPr>
        <w:pStyle w:val="Compact"/>
      </w:pPr>
      <w:r>
        <w:t xml:space="preserve">Pruebas finales</w:t>
      </w:r>
    </w:p>
    <w:p>
      <w:pPr>
        <w:numPr>
          <w:ilvl w:val="1"/>
          <w:numId w:val="1010"/>
        </w:numPr>
        <w:pStyle w:val="Compact"/>
      </w:pPr>
      <w:r>
        <w:t xml:space="preserve">Criterios de aceptación/rechazo</w:t>
      </w:r>
    </w:p>
    <w:p>
      <w:pPr>
        <w:numPr>
          <w:ilvl w:val="1"/>
          <w:numId w:val="1010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Plan-Control-Calidad.xlsx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Gestión de Cambios Documentados</w:t>
      </w:r>
    </w:p>
    <w:p>
      <w:pPr>
        <w:numPr>
          <w:ilvl w:val="1"/>
          <w:numId w:val="1011"/>
        </w:numPr>
        <w:pStyle w:val="Compact"/>
      </w:pPr>
      <w:r>
        <w:t xml:space="preserve">Registro de todos los cambios de versión</w:t>
      </w:r>
    </w:p>
    <w:p>
      <w:pPr>
        <w:numPr>
          <w:ilvl w:val="1"/>
          <w:numId w:val="1011"/>
        </w:numPr>
        <w:pStyle w:val="Compact"/>
      </w:pPr>
      <w:r>
        <w:t xml:space="preserve">Evaluación del impacto regulatorio</w:t>
      </w:r>
    </w:p>
    <w:p>
      <w:pPr>
        <w:numPr>
          <w:ilvl w:val="1"/>
          <w:numId w:val="1011"/>
        </w:numPr>
        <w:pStyle w:val="Compact"/>
      </w:pPr>
      <w:r>
        <w:t xml:space="preserve">Validación de cambios</w:t>
      </w:r>
    </w:p>
    <w:p>
      <w:pPr>
        <w:numPr>
          <w:ilvl w:val="1"/>
          <w:numId w:val="1011"/>
        </w:numPr>
        <w:pStyle w:val="Compact"/>
      </w:pPr>
      <w:r>
        <w:t xml:space="preserve">Aprobaciones</w:t>
      </w:r>
    </w:p>
    <w:p>
      <w:pPr>
        <w:numPr>
          <w:ilvl w:val="1"/>
          <w:numId w:val="1011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Historial-Cambios-v1.0-v2.0-v2.1.xlsx</w:t>
      </w:r>
    </w:p>
    <w:bookmarkEnd w:id="22"/>
    <w:bookmarkStart w:id="23" w:name="X60aca20fb98dcfda266a2fea8d7b29d3a8545cd"/>
    <w:p>
      <w:pPr>
        <w:pStyle w:val="Heading3"/>
      </w:pPr>
      <w:r>
        <w:t xml:space="preserve">FASE 3: DOCUMENTACIÓN DE SEGURIDAD ELÉCTRICA Y EMC (SEMANA 3-4)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Pruebas de Seguridad Eléctrica (Certificado)</w:t>
      </w:r>
    </w:p>
    <w:p>
      <w:pPr>
        <w:numPr>
          <w:ilvl w:val="1"/>
          <w:numId w:val="1013"/>
        </w:numPr>
        <w:pStyle w:val="Compact"/>
      </w:pPr>
      <w:r>
        <w:t xml:space="preserve">Certificado de laboratorio acreditado</w:t>
      </w:r>
    </w:p>
    <w:p>
      <w:pPr>
        <w:numPr>
          <w:ilvl w:val="1"/>
          <w:numId w:val="1013"/>
        </w:numPr>
        <w:pStyle w:val="Compact"/>
      </w:pPr>
      <w:r>
        <w:t xml:space="preserve">Pruebas de aislamiento eléctrico (500V DC, ≥2MΩ)</w:t>
      </w:r>
    </w:p>
    <w:p>
      <w:pPr>
        <w:numPr>
          <w:ilvl w:val="1"/>
          <w:numId w:val="1013"/>
        </w:numPr>
        <w:pStyle w:val="Compact"/>
      </w:pPr>
      <w:r>
        <w:t xml:space="preserve">Corriente de fuga (&lt;100µA)</w:t>
      </w:r>
    </w:p>
    <w:p>
      <w:pPr>
        <w:numPr>
          <w:ilvl w:val="1"/>
          <w:numId w:val="1013"/>
        </w:numPr>
        <w:pStyle w:val="Compact"/>
      </w:pPr>
      <w:r>
        <w:t xml:space="preserve">Resistencia dieléctrica (AC 1500V por 1 minuto)</w:t>
      </w:r>
    </w:p>
    <w:p>
      <w:pPr>
        <w:numPr>
          <w:ilvl w:val="1"/>
          <w:numId w:val="1013"/>
        </w:numPr>
        <w:pStyle w:val="Compact"/>
      </w:pPr>
      <w:r>
        <w:t xml:space="preserve">Temperaturas superficiales (&lt;43°C)</w:t>
      </w:r>
    </w:p>
    <w:p>
      <w:pPr>
        <w:numPr>
          <w:ilvl w:val="1"/>
          <w:numId w:val="1013"/>
        </w:numPr>
        <w:pStyle w:val="Compact"/>
      </w:pPr>
      <w:r>
        <w:t xml:space="preserve">Laboratorio: [Completar]</w:t>
      </w:r>
    </w:p>
    <w:p>
      <w:pPr>
        <w:numPr>
          <w:ilvl w:val="1"/>
          <w:numId w:val="1013"/>
        </w:numPr>
        <w:pStyle w:val="Compact"/>
      </w:pPr>
      <w:r>
        <w:t xml:space="preserve">Certificado Nº: [Completar]</w:t>
      </w:r>
    </w:p>
    <w:p>
      <w:pPr>
        <w:numPr>
          <w:ilvl w:val="1"/>
          <w:numId w:val="1013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Certificado-Seguridad-Electrica-IEC60601.pdf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Pruebas de Compatibilidad Electromagnética - EMC</w:t>
      </w:r>
    </w:p>
    <w:p>
      <w:pPr>
        <w:numPr>
          <w:ilvl w:val="1"/>
          <w:numId w:val="1014"/>
        </w:numPr>
        <w:pStyle w:val="Compact"/>
      </w:pPr>
      <w:r>
        <w:t xml:space="preserve">Certificado de laboratorio acreditado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Emisiones:</w:t>
      </w:r>
    </w:p>
    <w:p>
      <w:pPr>
        <w:numPr>
          <w:ilvl w:val="2"/>
          <w:numId w:val="1015"/>
        </w:numPr>
        <w:pStyle w:val="Compact"/>
      </w:pPr>
      <w:r>
        <w:t xml:space="preserve">Radiadas (CISPR 11) - Clase A</w:t>
      </w:r>
    </w:p>
    <w:p>
      <w:pPr>
        <w:numPr>
          <w:ilvl w:val="2"/>
          <w:numId w:val="1015"/>
        </w:numPr>
        <w:pStyle w:val="Compact"/>
      </w:pPr>
      <w:r>
        <w:t xml:space="preserve">Conducidas (CISPR 11) - &lt;150dBµV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Inmunidad:</w:t>
      </w:r>
    </w:p>
    <w:p>
      <w:pPr>
        <w:numPr>
          <w:ilvl w:val="2"/>
          <w:numId w:val="1016"/>
        </w:numPr>
        <w:pStyle w:val="Compact"/>
      </w:pPr>
      <w:r>
        <w:t xml:space="preserve">Descarga electrostática (IEC 61000-4-2) ±8kV</w:t>
      </w:r>
    </w:p>
    <w:p>
      <w:pPr>
        <w:numPr>
          <w:ilvl w:val="2"/>
          <w:numId w:val="1016"/>
        </w:numPr>
        <w:pStyle w:val="Compact"/>
      </w:pPr>
      <w:r>
        <w:t xml:space="preserve">Campo radiado (IEC 61000-4-3) 10V/m</w:t>
      </w:r>
    </w:p>
    <w:p>
      <w:pPr>
        <w:numPr>
          <w:ilvl w:val="2"/>
          <w:numId w:val="1016"/>
        </w:numPr>
        <w:pStyle w:val="Compact"/>
      </w:pPr>
      <w:r>
        <w:t xml:space="preserve">Transitorios rápidos (IEC 61000-4-4) ±2kV</w:t>
      </w:r>
    </w:p>
    <w:p>
      <w:pPr>
        <w:numPr>
          <w:ilvl w:val="2"/>
          <w:numId w:val="1016"/>
        </w:numPr>
        <w:pStyle w:val="Compact"/>
      </w:pPr>
      <w:r>
        <w:t xml:space="preserve">Sobretensión (IEC 61000-4-5) ±2kV</w:t>
      </w:r>
    </w:p>
    <w:p>
      <w:pPr>
        <w:numPr>
          <w:ilvl w:val="2"/>
          <w:numId w:val="1016"/>
        </w:numPr>
        <w:pStyle w:val="Compact"/>
      </w:pPr>
      <w:r>
        <w:t xml:space="preserve">RF conducida (IEC 61000-4-6) 10V</w:t>
      </w:r>
    </w:p>
    <w:p>
      <w:pPr>
        <w:numPr>
          <w:ilvl w:val="2"/>
          <w:numId w:val="1016"/>
        </w:numPr>
        <w:pStyle w:val="Compact"/>
      </w:pPr>
      <w:r>
        <w:t xml:space="preserve">Campo magnético 50/60Hz (IEC 61000-4-8) 100A/m</w:t>
      </w:r>
    </w:p>
    <w:p>
      <w:pPr>
        <w:numPr>
          <w:ilvl w:val="2"/>
          <w:numId w:val="1016"/>
        </w:numPr>
        <w:pStyle w:val="Compact"/>
      </w:pPr>
      <w:r>
        <w:t xml:space="preserve">Variaciones de voltaje (IEC 61000-4-11)</w:t>
      </w:r>
    </w:p>
    <w:p>
      <w:pPr>
        <w:numPr>
          <w:ilvl w:val="1"/>
          <w:numId w:val="1014"/>
        </w:numPr>
        <w:pStyle w:val="Compact"/>
      </w:pPr>
      <w:r>
        <w:t xml:space="preserve">Laboratorio: [Completar]</w:t>
      </w:r>
    </w:p>
    <w:p>
      <w:pPr>
        <w:numPr>
          <w:ilvl w:val="1"/>
          <w:numId w:val="1014"/>
        </w:numPr>
        <w:pStyle w:val="Compact"/>
      </w:pPr>
      <w:r>
        <w:t xml:space="preserve">Certificado Nº: [Completar]</w:t>
      </w:r>
    </w:p>
    <w:p>
      <w:pPr>
        <w:numPr>
          <w:ilvl w:val="1"/>
          <w:numId w:val="1014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Certificado-EMC-IEC60601-1-2.pdf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Análisis de Seguridad Electromagnética</w:t>
      </w:r>
    </w:p>
    <w:p>
      <w:pPr>
        <w:numPr>
          <w:ilvl w:val="1"/>
          <w:numId w:val="1017"/>
        </w:numPr>
        <w:pStyle w:val="Compact"/>
      </w:pPr>
      <w:r>
        <w:t xml:space="preserve">Justificación de selección de ensayos</w:t>
      </w:r>
    </w:p>
    <w:p>
      <w:pPr>
        <w:numPr>
          <w:ilvl w:val="1"/>
          <w:numId w:val="1017"/>
        </w:numPr>
        <w:pStyle w:val="Compact"/>
      </w:pPr>
      <w:r>
        <w:t xml:space="preserve">Tabla de conformidad con normas</w:t>
      </w:r>
    </w:p>
    <w:p>
      <w:pPr>
        <w:numPr>
          <w:ilvl w:val="1"/>
          <w:numId w:val="1017"/>
        </w:numPr>
        <w:pStyle w:val="Compact"/>
      </w:pPr>
      <w:r>
        <w:t xml:space="preserve">Medidas implementadas</w:t>
      </w:r>
    </w:p>
    <w:p>
      <w:pPr>
        <w:numPr>
          <w:ilvl w:val="1"/>
          <w:numId w:val="1017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Analisis-EMC.docx</w:t>
      </w:r>
    </w:p>
    <w:bookmarkEnd w:id="23"/>
    <w:bookmarkStart w:id="24" w:name="Xd229ee5941c5abb1277f5feea11b17c97f0347e"/>
    <w:p>
      <w:pPr>
        <w:pStyle w:val="Heading3"/>
      </w:pPr>
      <w:r>
        <w:t xml:space="preserve">FASE 4: DOCUMENTACIÓN DE BIOCOMPATIBILIDAD (SEMANA 4-5)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Evaluación de Biocompatibilidad (ISO 10993-1:2018)</w:t>
      </w:r>
    </w:p>
    <w:p>
      <w:pPr>
        <w:numPr>
          <w:ilvl w:val="1"/>
          <w:numId w:val="1019"/>
        </w:numPr>
        <w:pStyle w:val="Compact"/>
      </w:pPr>
      <w:r>
        <w:t xml:space="preserve">Categización de dispositivo (ISO 10993-1)</w:t>
      </w:r>
    </w:p>
    <w:p>
      <w:pPr>
        <w:numPr>
          <w:ilvl w:val="1"/>
          <w:numId w:val="1019"/>
        </w:numPr>
        <w:pStyle w:val="Compact"/>
      </w:pPr>
      <w:r>
        <w:t xml:space="preserve">Matriz de ensayos requeridos</w:t>
      </w:r>
    </w:p>
    <w:p>
      <w:pPr>
        <w:numPr>
          <w:ilvl w:val="1"/>
          <w:numId w:val="1019"/>
        </w:numPr>
        <w:pStyle w:val="Compact"/>
      </w:pPr>
      <w:r>
        <w:t xml:space="preserve">Justificación de ensayos seleccionados</w:t>
      </w:r>
    </w:p>
    <w:p>
      <w:pPr>
        <w:numPr>
          <w:ilvl w:val="1"/>
          <w:numId w:val="1019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Evaluacion-Biocompatibilidad-ISO10993-1.pdf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Prueba de Citotoxicidad In Vitro (ISO 10993-5:2009)</w:t>
      </w:r>
    </w:p>
    <w:p>
      <w:pPr>
        <w:numPr>
          <w:ilvl w:val="1"/>
          <w:numId w:val="1020"/>
        </w:numPr>
        <w:pStyle w:val="Compact"/>
      </w:pPr>
      <w:r>
        <w:t xml:space="preserve">Certificado de laboratorio</w:t>
      </w:r>
    </w:p>
    <w:p>
      <w:pPr>
        <w:numPr>
          <w:ilvl w:val="1"/>
          <w:numId w:val="1020"/>
        </w:numPr>
        <w:pStyle w:val="Compact"/>
      </w:pPr>
      <w:r>
        <w:t xml:space="preserve">Material ensayado y extracto</w:t>
      </w:r>
    </w:p>
    <w:p>
      <w:pPr>
        <w:numPr>
          <w:ilvl w:val="1"/>
          <w:numId w:val="1020"/>
        </w:numPr>
        <w:pStyle w:val="Compact"/>
      </w:pPr>
      <w:r>
        <w:t xml:space="preserve">Metodología (cultivo celular)</w:t>
      </w:r>
    </w:p>
    <w:p>
      <w:pPr>
        <w:numPr>
          <w:ilvl w:val="1"/>
          <w:numId w:val="1020"/>
        </w:numPr>
        <w:pStyle w:val="Compact"/>
      </w:pPr>
      <w:r>
        <w:t xml:space="preserve">Resultados: Grado citotoxicidad ≤1</w:t>
      </w:r>
    </w:p>
    <w:p>
      <w:pPr>
        <w:numPr>
          <w:ilvl w:val="1"/>
          <w:numId w:val="1020"/>
        </w:numPr>
        <w:pStyle w:val="Compact"/>
      </w:pPr>
      <w:r>
        <w:t xml:space="preserve">Laboratorio: [Completar]</w:t>
      </w:r>
    </w:p>
    <w:p>
      <w:pPr>
        <w:numPr>
          <w:ilvl w:val="1"/>
          <w:numId w:val="1020"/>
        </w:numPr>
        <w:pStyle w:val="Compact"/>
      </w:pPr>
      <w:r>
        <w:t xml:space="preserve">Certificado Nº: [Completar]</w:t>
      </w:r>
    </w:p>
    <w:p>
      <w:pPr>
        <w:numPr>
          <w:ilvl w:val="1"/>
          <w:numId w:val="1020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Certificado-Citotoxicidad-ISO10993-5.pdf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Prueba de Irritación/Sensibilización Dermal</w:t>
      </w:r>
    </w:p>
    <w:p>
      <w:pPr>
        <w:numPr>
          <w:ilvl w:val="1"/>
          <w:numId w:val="1021"/>
        </w:numPr>
        <w:pStyle w:val="Compact"/>
      </w:pPr>
      <w:r>
        <w:t xml:space="preserve">Certificado de laboratorio</w:t>
      </w:r>
    </w:p>
    <w:p>
      <w:pPr>
        <w:numPr>
          <w:ilvl w:val="1"/>
          <w:numId w:val="1021"/>
        </w:numPr>
        <w:pStyle w:val="Compact"/>
      </w:pPr>
      <w:r>
        <w:t xml:space="preserve">Protocolo de prueba en piel humana o animal</w:t>
      </w:r>
    </w:p>
    <w:p>
      <w:pPr>
        <w:numPr>
          <w:ilvl w:val="1"/>
          <w:numId w:val="1021"/>
        </w:numPr>
        <w:pStyle w:val="Compact"/>
      </w:pPr>
      <w:r>
        <w:t xml:space="preserve">Resultados: No irritante / No sensibilizante</w:t>
      </w:r>
    </w:p>
    <w:p>
      <w:pPr>
        <w:numPr>
          <w:ilvl w:val="1"/>
          <w:numId w:val="1021"/>
        </w:numPr>
        <w:pStyle w:val="Compact"/>
      </w:pPr>
      <w:r>
        <w:t xml:space="preserve">Laboratorio: [Completar]</w:t>
      </w:r>
    </w:p>
    <w:p>
      <w:pPr>
        <w:numPr>
          <w:ilvl w:val="1"/>
          <w:numId w:val="1021"/>
        </w:numPr>
        <w:pStyle w:val="Compact"/>
      </w:pPr>
      <w:r>
        <w:t xml:space="preserve">Certificado Nº: [Completar]</w:t>
      </w:r>
    </w:p>
    <w:p>
      <w:pPr>
        <w:numPr>
          <w:ilvl w:val="1"/>
          <w:numId w:val="1021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Certificado-Irritacion-Dermal.pdf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Informe de Compatibilidad de Materiales</w:t>
      </w:r>
    </w:p>
    <w:p>
      <w:pPr>
        <w:numPr>
          <w:ilvl w:val="1"/>
          <w:numId w:val="1022"/>
        </w:numPr>
        <w:pStyle w:val="Compact"/>
      </w:pPr>
      <w:r>
        <w:t xml:space="preserve">Lista de materiales en contacto con paciente/usuario</w:t>
      </w:r>
    </w:p>
    <w:p>
      <w:pPr>
        <w:numPr>
          <w:ilvl w:val="1"/>
          <w:numId w:val="1022"/>
        </w:numPr>
        <w:pStyle w:val="Compact"/>
      </w:pPr>
      <w:r>
        <w:t xml:space="preserve">Certificados de biocompatibilidad de proveedores</w:t>
      </w:r>
    </w:p>
    <w:p>
      <w:pPr>
        <w:numPr>
          <w:ilvl w:val="1"/>
          <w:numId w:val="1022"/>
        </w:numPr>
        <w:pStyle w:val="Compact"/>
      </w:pPr>
      <w:r>
        <w:t xml:space="preserve">Resumen de resultados</w:t>
      </w:r>
    </w:p>
    <w:p>
      <w:pPr>
        <w:numPr>
          <w:ilvl w:val="1"/>
          <w:numId w:val="1022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Compatibilidad-Materiales-Biomedicos.pdf</w:t>
      </w:r>
    </w:p>
    <w:bookmarkEnd w:id="24"/>
    <w:bookmarkStart w:id="25" w:name="fase-5-validación-clínica-semana-5-8"/>
    <w:p>
      <w:pPr>
        <w:pStyle w:val="Heading3"/>
      </w:pPr>
      <w:r>
        <w:t xml:space="preserve">FASE 5: VALIDACIÓN CLÍNICA (SEMANA 5-8)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Protocolo de Estudio Clínico</w:t>
      </w:r>
    </w:p>
    <w:p>
      <w:pPr>
        <w:numPr>
          <w:ilvl w:val="1"/>
          <w:numId w:val="1024"/>
        </w:numPr>
        <w:pStyle w:val="Compact"/>
      </w:pPr>
      <w:r>
        <w:t xml:space="preserve">Objetivos y endpoints</w:t>
      </w:r>
    </w:p>
    <w:p>
      <w:pPr>
        <w:numPr>
          <w:ilvl w:val="1"/>
          <w:numId w:val="1024"/>
        </w:numPr>
        <w:pStyle w:val="Compact"/>
      </w:pPr>
      <w:r>
        <w:t xml:space="preserve">Criterios de inclusión/exclusión</w:t>
      </w:r>
    </w:p>
    <w:p>
      <w:pPr>
        <w:numPr>
          <w:ilvl w:val="1"/>
          <w:numId w:val="1024"/>
        </w:numPr>
        <w:pStyle w:val="Compact"/>
      </w:pPr>
      <w:r>
        <w:t xml:space="preserve">Metodología estadística</w:t>
      </w:r>
    </w:p>
    <w:p>
      <w:pPr>
        <w:numPr>
          <w:ilvl w:val="1"/>
          <w:numId w:val="1024"/>
        </w:numPr>
        <w:pStyle w:val="Compact"/>
      </w:pPr>
      <w:r>
        <w:t xml:space="preserve">Análisis de datos planificado</w:t>
      </w:r>
    </w:p>
    <w:p>
      <w:pPr>
        <w:numPr>
          <w:ilvl w:val="1"/>
          <w:numId w:val="1024"/>
        </w:numPr>
        <w:pStyle w:val="Compact"/>
      </w:pPr>
      <w:r>
        <w:t xml:space="preserve">Aprobación de comité ético</w:t>
      </w:r>
    </w:p>
    <w:p>
      <w:pPr>
        <w:numPr>
          <w:ilvl w:val="1"/>
          <w:numId w:val="1024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Protocolo-Estudio-Clinico-v1.0.pdf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Informe de Resultados Clínicos</w:t>
      </w:r>
    </w:p>
    <w:p>
      <w:pPr>
        <w:numPr>
          <w:ilvl w:val="1"/>
          <w:numId w:val="1025"/>
        </w:numPr>
        <w:pStyle w:val="Compact"/>
      </w:pPr>
      <w:r>
        <w:t xml:space="preserve">N de pacientes evaluados</w:t>
      </w:r>
    </w:p>
    <w:p>
      <w:pPr>
        <w:numPr>
          <w:ilvl w:val="1"/>
          <w:numId w:val="1025"/>
        </w:numPr>
        <w:pStyle w:val="Compact"/>
      </w:pPr>
      <w:r>
        <w:t xml:space="preserve">Datos demográficos</w:t>
      </w:r>
    </w:p>
    <w:p>
      <w:pPr>
        <w:numPr>
          <w:ilvl w:val="1"/>
          <w:numId w:val="1025"/>
        </w:numPr>
        <w:pStyle w:val="Compact"/>
      </w:pPr>
      <w:r>
        <w:t xml:space="preserve">Sensibilidad de detección de arritmias: &gt;90%</w:t>
      </w:r>
    </w:p>
    <w:p>
      <w:pPr>
        <w:numPr>
          <w:ilvl w:val="1"/>
          <w:numId w:val="1025"/>
        </w:numPr>
        <w:pStyle w:val="Compact"/>
      </w:pPr>
      <w:r>
        <w:t xml:space="preserve">Especificidad: &gt;95%</w:t>
      </w:r>
    </w:p>
    <w:p>
      <w:pPr>
        <w:numPr>
          <w:ilvl w:val="1"/>
          <w:numId w:val="1025"/>
        </w:numPr>
        <w:pStyle w:val="Compact"/>
      </w:pPr>
      <w:r>
        <w:t xml:space="preserve">Eventos adversos reportados</w:t>
      </w:r>
    </w:p>
    <w:p>
      <w:pPr>
        <w:numPr>
          <w:ilvl w:val="1"/>
          <w:numId w:val="1025"/>
        </w:numPr>
        <w:pStyle w:val="Compact"/>
      </w:pPr>
      <w:r>
        <w:t xml:space="preserve">Conclusiones de seguridad y eficacia</w:t>
      </w:r>
    </w:p>
    <w:p>
      <w:pPr>
        <w:numPr>
          <w:ilvl w:val="1"/>
          <w:numId w:val="1025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Resultados-Estudio-Clinico.pdf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Análisis de Literatura Científica</w:t>
      </w:r>
    </w:p>
    <w:p>
      <w:pPr>
        <w:numPr>
          <w:ilvl w:val="1"/>
          <w:numId w:val="1026"/>
        </w:numPr>
        <w:pStyle w:val="Compact"/>
      </w:pPr>
      <w:r>
        <w:t xml:space="preserve">Estudios de validación de tecnología similar</w:t>
      </w:r>
    </w:p>
    <w:p>
      <w:pPr>
        <w:numPr>
          <w:ilvl w:val="1"/>
          <w:numId w:val="1026"/>
        </w:numPr>
        <w:pStyle w:val="Compact"/>
      </w:pPr>
      <w:r>
        <w:t xml:space="preserve">Referencias a normas y guías clínicas</w:t>
      </w:r>
    </w:p>
    <w:p>
      <w:pPr>
        <w:numPr>
          <w:ilvl w:val="1"/>
          <w:numId w:val="1026"/>
        </w:numPr>
        <w:pStyle w:val="Compact"/>
      </w:pPr>
      <w:r>
        <w:t xml:space="preserve">Justificación de predicados (si aplica)</w:t>
      </w:r>
    </w:p>
    <w:p>
      <w:pPr>
        <w:numPr>
          <w:ilvl w:val="1"/>
          <w:numId w:val="1026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Referencias-Cientificas-HM-H100.pdf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Datos Post-Comercialización (si aplica)</w:t>
      </w:r>
    </w:p>
    <w:p>
      <w:pPr>
        <w:numPr>
          <w:ilvl w:val="1"/>
          <w:numId w:val="1027"/>
        </w:numPr>
        <w:pStyle w:val="Compact"/>
      </w:pPr>
      <w:r>
        <w:t xml:space="preserve">Registros de uso en mercados previos</w:t>
      </w:r>
    </w:p>
    <w:p>
      <w:pPr>
        <w:numPr>
          <w:ilvl w:val="1"/>
          <w:numId w:val="1027"/>
        </w:numPr>
        <w:pStyle w:val="Compact"/>
      </w:pPr>
      <w:r>
        <w:t xml:space="preserve">Reportes de eventos adversos</w:t>
      </w:r>
    </w:p>
    <w:p>
      <w:pPr>
        <w:numPr>
          <w:ilvl w:val="1"/>
          <w:numId w:val="1027"/>
        </w:numPr>
        <w:pStyle w:val="Compact"/>
      </w:pPr>
      <w:r>
        <w:t xml:space="preserve">Retroalimentación de usuarios</w:t>
      </w:r>
    </w:p>
    <w:p>
      <w:pPr>
        <w:numPr>
          <w:ilvl w:val="1"/>
          <w:numId w:val="1027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Vigilancia-Postcomercializacion.pdf</w:t>
      </w:r>
    </w:p>
    <w:bookmarkEnd w:id="25"/>
    <w:bookmarkStart w:id="26" w:name="Xb1f43d7724896e7bcdb9b784d2d922048ce1e0f"/>
    <w:p>
      <w:pPr>
        <w:pStyle w:val="Heading3"/>
      </w:pPr>
      <w:r>
        <w:t xml:space="preserve">FASE 6: DOCUMENTACIÓN REGULATORIA GENERAL (SEMANA 2-3)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Carta de Responsabilidad del Titular</w:t>
      </w:r>
    </w:p>
    <w:p>
      <w:pPr>
        <w:numPr>
          <w:ilvl w:val="1"/>
          <w:numId w:val="1029"/>
        </w:numPr>
        <w:pStyle w:val="Compact"/>
      </w:pPr>
      <w:r>
        <w:t xml:space="preserve">Compromisos regulatorios</w:t>
      </w:r>
    </w:p>
    <w:p>
      <w:pPr>
        <w:numPr>
          <w:ilvl w:val="1"/>
          <w:numId w:val="1029"/>
        </w:numPr>
        <w:pStyle w:val="Compact"/>
      </w:pPr>
      <w:r>
        <w:t xml:space="preserve">Firma notariada (opcional pero recomendado)</w:t>
      </w:r>
    </w:p>
    <w:p>
      <w:pPr>
        <w:numPr>
          <w:ilvl w:val="1"/>
          <w:numId w:val="1029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Carta-Responsabilidad-Titular.pdf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Declaración de Conformidad</w:t>
      </w:r>
    </w:p>
    <w:p>
      <w:pPr>
        <w:numPr>
          <w:ilvl w:val="1"/>
          <w:numId w:val="1030"/>
        </w:numPr>
        <w:pStyle w:val="Compact"/>
      </w:pPr>
      <w:r>
        <w:t xml:space="preserve">Cumplimiento de normas técnicas</w:t>
      </w:r>
    </w:p>
    <w:p>
      <w:pPr>
        <w:numPr>
          <w:ilvl w:val="1"/>
          <w:numId w:val="1030"/>
        </w:numPr>
        <w:pStyle w:val="Compact"/>
      </w:pPr>
      <w:r>
        <w:t xml:space="preserve">Certificaciones aplicables</w:t>
      </w:r>
    </w:p>
    <w:p>
      <w:pPr>
        <w:numPr>
          <w:ilvl w:val="1"/>
          <w:numId w:val="1030"/>
        </w:numPr>
        <w:pStyle w:val="Compact"/>
      </w:pPr>
      <w:r>
        <w:t xml:space="preserve">Respaldo de pruebas</w:t>
      </w:r>
    </w:p>
    <w:p>
      <w:pPr>
        <w:numPr>
          <w:ilvl w:val="1"/>
          <w:numId w:val="1030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Declaracion-Conformidad-CE.pdf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Certificado de Libre Venta (País Origen)</w:t>
      </w:r>
    </w:p>
    <w:p>
      <w:pPr>
        <w:numPr>
          <w:ilvl w:val="1"/>
          <w:numId w:val="1031"/>
        </w:numPr>
        <w:pStyle w:val="Compact"/>
      </w:pPr>
      <w:r>
        <w:t xml:space="preserve">Solicitud al fabricante/regulador original</w:t>
      </w:r>
    </w:p>
    <w:p>
      <w:pPr>
        <w:numPr>
          <w:ilvl w:val="1"/>
          <w:numId w:val="1031"/>
        </w:numPr>
        <w:pStyle w:val="Compact"/>
      </w:pPr>
      <w:r>
        <w:t xml:space="preserve">Certificado expedido por autoridad</w:t>
      </w:r>
    </w:p>
    <w:p>
      <w:pPr>
        <w:numPr>
          <w:ilvl w:val="1"/>
          <w:numId w:val="1031"/>
        </w:numPr>
        <w:pStyle w:val="Compact"/>
      </w:pPr>
      <w:r>
        <w:t xml:space="preserve">Confirma registro vigente en país origen</w:t>
      </w:r>
    </w:p>
    <w:p>
      <w:pPr>
        <w:numPr>
          <w:ilvl w:val="1"/>
          <w:numId w:val="1031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Certificado-Libre-Venta-[PAIS].pdf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Poder Notariado (Representante Legal)</w:t>
      </w:r>
    </w:p>
    <w:p>
      <w:pPr>
        <w:numPr>
          <w:ilvl w:val="1"/>
          <w:numId w:val="1032"/>
        </w:numPr>
        <w:pStyle w:val="Compact"/>
      </w:pPr>
      <w:r>
        <w:t xml:space="preserve">Autoriza al representante en Colombia</w:t>
      </w:r>
    </w:p>
    <w:p>
      <w:pPr>
        <w:numPr>
          <w:ilvl w:val="1"/>
          <w:numId w:val="1032"/>
        </w:numPr>
        <w:pStyle w:val="Compact"/>
      </w:pPr>
      <w:r>
        <w:t xml:space="preserve">Otorgado ante notario</w:t>
      </w:r>
    </w:p>
    <w:p>
      <w:pPr>
        <w:numPr>
          <w:ilvl w:val="1"/>
          <w:numId w:val="1032"/>
        </w:numPr>
        <w:pStyle w:val="Compact"/>
      </w:pPr>
      <w:r>
        <w:t xml:space="preserve">Acompañado de copias de cédulas</w:t>
      </w:r>
    </w:p>
    <w:p>
      <w:pPr>
        <w:numPr>
          <w:ilvl w:val="1"/>
          <w:numId w:val="1032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Poder-Notariado-Representante.pdf</w:t>
      </w:r>
    </w:p>
    <w:bookmarkEnd w:id="26"/>
    <w:bookmarkStart w:id="27" w:name="Xfb8c87e72959cbdaee1ccf164f7aa7a46ae8f39"/>
    <w:p>
      <w:pPr>
        <w:pStyle w:val="Heading3"/>
      </w:pPr>
      <w:r>
        <w:t xml:space="preserve">FASE 7: DOCUMENTACIÓN DE USO Y USUARIO (SEMANA 6-7)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Manual de Usuario Completo en Español</w:t>
      </w:r>
    </w:p>
    <w:p>
      <w:pPr>
        <w:numPr>
          <w:ilvl w:val="1"/>
          <w:numId w:val="1034"/>
        </w:numPr>
        <w:pStyle w:val="Compact"/>
      </w:pPr>
      <w:r>
        <w:t xml:space="preserve">Indicaciones de uso</w:t>
      </w:r>
    </w:p>
    <w:p>
      <w:pPr>
        <w:numPr>
          <w:ilvl w:val="1"/>
          <w:numId w:val="1034"/>
        </w:numPr>
        <w:pStyle w:val="Compact"/>
      </w:pPr>
      <w:r>
        <w:t xml:space="preserve">Contraindicaciones</w:t>
      </w:r>
    </w:p>
    <w:p>
      <w:pPr>
        <w:numPr>
          <w:ilvl w:val="1"/>
          <w:numId w:val="1034"/>
        </w:numPr>
        <w:pStyle w:val="Compact"/>
      </w:pPr>
      <w:r>
        <w:t xml:space="preserve">Advertencias y precauciones</w:t>
      </w:r>
    </w:p>
    <w:p>
      <w:pPr>
        <w:numPr>
          <w:ilvl w:val="1"/>
          <w:numId w:val="1034"/>
        </w:numPr>
        <w:pStyle w:val="Compact"/>
      </w:pPr>
      <w:r>
        <w:t xml:space="preserve">Descripción detallada del dispositivo</w:t>
      </w:r>
    </w:p>
    <w:p>
      <w:pPr>
        <w:numPr>
          <w:ilvl w:val="1"/>
          <w:numId w:val="1034"/>
        </w:numPr>
        <w:pStyle w:val="Compact"/>
      </w:pPr>
      <w:r>
        <w:t xml:space="preserve">Instrucciones paso a paso con diagramas</w:t>
      </w:r>
    </w:p>
    <w:p>
      <w:pPr>
        <w:numPr>
          <w:ilvl w:val="1"/>
          <w:numId w:val="1034"/>
        </w:numPr>
        <w:pStyle w:val="Compact"/>
      </w:pPr>
      <w:r>
        <w:t xml:space="preserve">Colocación de electrodos (diagrama corporal)</w:t>
      </w:r>
    </w:p>
    <w:p>
      <w:pPr>
        <w:numPr>
          <w:ilvl w:val="1"/>
          <w:numId w:val="1034"/>
        </w:numPr>
        <w:pStyle w:val="Compact"/>
      </w:pPr>
      <w:r>
        <w:t xml:space="preserve">Encendido y configuración</w:t>
      </w:r>
    </w:p>
    <w:p>
      <w:pPr>
        <w:numPr>
          <w:ilvl w:val="1"/>
          <w:numId w:val="1034"/>
        </w:numPr>
        <w:pStyle w:val="Compact"/>
      </w:pPr>
      <w:r>
        <w:t xml:space="preserve">Conexión Bluetooth</w:t>
      </w:r>
    </w:p>
    <w:p>
      <w:pPr>
        <w:numPr>
          <w:ilvl w:val="1"/>
          <w:numId w:val="1034"/>
        </w:numPr>
        <w:pStyle w:val="Compact"/>
      </w:pPr>
      <w:r>
        <w:t xml:space="preserve">Monitoreo y lectura</w:t>
      </w:r>
    </w:p>
    <w:p>
      <w:pPr>
        <w:numPr>
          <w:ilvl w:val="1"/>
          <w:numId w:val="1034"/>
        </w:numPr>
        <w:pStyle w:val="Compact"/>
      </w:pPr>
      <w:r>
        <w:t xml:space="preserve">Mantenimiento y limpieza</w:t>
      </w:r>
    </w:p>
    <w:p>
      <w:pPr>
        <w:numPr>
          <w:ilvl w:val="1"/>
          <w:numId w:val="1034"/>
        </w:numPr>
        <w:pStyle w:val="Compact"/>
      </w:pPr>
      <w:r>
        <w:t xml:space="preserve">Solución de problemas</w:t>
      </w:r>
    </w:p>
    <w:p>
      <w:pPr>
        <w:numPr>
          <w:ilvl w:val="1"/>
          <w:numId w:val="1034"/>
        </w:numPr>
        <w:pStyle w:val="Compact"/>
      </w:pPr>
      <w:r>
        <w:t xml:space="preserve">Garantía y servicio técnico</w:t>
      </w:r>
    </w:p>
    <w:p>
      <w:pPr>
        <w:numPr>
          <w:ilvl w:val="1"/>
          <w:numId w:val="1034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Manual-Usuario-HM-H100-ESPANOL.pdf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Instrucciones de Instalación/Configuración</w:t>
      </w:r>
    </w:p>
    <w:p>
      <w:pPr>
        <w:numPr>
          <w:ilvl w:val="1"/>
          <w:numId w:val="1035"/>
        </w:numPr>
        <w:pStyle w:val="Compact"/>
      </w:pPr>
      <w:r>
        <w:t xml:space="preserve">Guía de instalación de software (app móvil)</w:t>
      </w:r>
    </w:p>
    <w:p>
      <w:pPr>
        <w:numPr>
          <w:ilvl w:val="1"/>
          <w:numId w:val="1035"/>
        </w:numPr>
        <w:pStyle w:val="Compact"/>
      </w:pPr>
      <w:r>
        <w:t xml:space="preserve">Requisitos mínimos de sistema</w:t>
      </w:r>
    </w:p>
    <w:p>
      <w:pPr>
        <w:numPr>
          <w:ilvl w:val="1"/>
          <w:numId w:val="1035"/>
        </w:numPr>
        <w:pStyle w:val="Compact"/>
      </w:pPr>
      <w:r>
        <w:t xml:space="preserve">Procedimiento de emparejamiento Bluetooth</w:t>
      </w:r>
    </w:p>
    <w:p>
      <w:pPr>
        <w:numPr>
          <w:ilvl w:val="1"/>
          <w:numId w:val="1035"/>
        </w:numPr>
        <w:pStyle w:val="Compact"/>
      </w:pPr>
      <w:r>
        <w:t xml:space="preserve">Primera configuración</w:t>
      </w:r>
    </w:p>
    <w:p>
      <w:pPr>
        <w:numPr>
          <w:ilvl w:val="1"/>
          <w:numId w:val="1035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Instrucciones-Instalacion.docx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Guía Rápida/Tarjeta de Referencia</w:t>
      </w:r>
    </w:p>
    <w:p>
      <w:pPr>
        <w:numPr>
          <w:ilvl w:val="1"/>
          <w:numId w:val="1036"/>
        </w:numPr>
        <w:pStyle w:val="Compact"/>
      </w:pPr>
      <w:r>
        <w:t xml:space="preserve">1-2 páginas con pasos críticos</w:t>
      </w:r>
    </w:p>
    <w:p>
      <w:pPr>
        <w:numPr>
          <w:ilvl w:val="1"/>
          <w:numId w:val="1036"/>
        </w:numPr>
        <w:pStyle w:val="Compact"/>
      </w:pPr>
      <w:r>
        <w:t xml:space="preserve">Símbolos y advertencias</w:t>
      </w:r>
    </w:p>
    <w:p>
      <w:pPr>
        <w:numPr>
          <w:ilvl w:val="1"/>
          <w:numId w:val="1036"/>
        </w:numPr>
        <w:pStyle w:val="Compact"/>
      </w:pPr>
      <w:r>
        <w:t xml:space="preserve">Números de emergencia</w:t>
      </w:r>
    </w:p>
    <w:p>
      <w:pPr>
        <w:numPr>
          <w:ilvl w:val="1"/>
          <w:numId w:val="1036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Guia-Rapida-HM-H100.pdf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Material Educativo para Pacientes</w:t>
      </w:r>
    </w:p>
    <w:p>
      <w:pPr>
        <w:numPr>
          <w:ilvl w:val="1"/>
          <w:numId w:val="1037"/>
        </w:numPr>
        <w:pStyle w:val="Compact"/>
      </w:pPr>
      <w:r>
        <w:t xml:space="preserve">Brochure con indicaciones</w:t>
      </w:r>
    </w:p>
    <w:p>
      <w:pPr>
        <w:numPr>
          <w:ilvl w:val="1"/>
          <w:numId w:val="1037"/>
        </w:numPr>
        <w:pStyle w:val="Compact"/>
      </w:pPr>
      <w:r>
        <w:t xml:space="preserve">Información sobre qué es una arritmia</w:t>
      </w:r>
    </w:p>
    <w:p>
      <w:pPr>
        <w:numPr>
          <w:ilvl w:val="1"/>
          <w:numId w:val="1037"/>
        </w:numPr>
        <w:pStyle w:val="Compact"/>
      </w:pPr>
      <w:r>
        <w:t xml:space="preserve">Cuándo buscar atención médica</w:t>
      </w:r>
    </w:p>
    <w:p>
      <w:pPr>
        <w:numPr>
          <w:ilvl w:val="1"/>
          <w:numId w:val="1037"/>
        </w:numPr>
        <w:pStyle w:val="Compact"/>
      </w:pPr>
      <w:r>
        <w:t xml:space="preserve">Preguntas frecuentes</w:t>
      </w:r>
    </w:p>
    <w:p>
      <w:pPr>
        <w:numPr>
          <w:ilvl w:val="1"/>
          <w:numId w:val="1037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Brochure-Paciente-HM-H100.pdf</w:t>
      </w:r>
    </w:p>
    <w:bookmarkEnd w:id="27"/>
    <w:bookmarkStart w:id="28" w:name="Xc247bd34d8bd0f8c735db4d085e90da12482e30"/>
    <w:p>
      <w:pPr>
        <w:pStyle w:val="Heading3"/>
      </w:pPr>
      <w:r>
        <w:t xml:space="preserve">FASE 8: DOCUMENTACIÓN DE EMPAQUES Y ETIQUETADO (SEMANA 7-8)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Diseño de Etiqueta Primaria (Dispositivo)</w:t>
      </w:r>
    </w:p>
    <w:p>
      <w:pPr>
        <w:numPr>
          <w:ilvl w:val="1"/>
          <w:numId w:val="1039"/>
        </w:numPr>
        <w:pStyle w:val="Compact"/>
      </w:pPr>
      <w:r>
        <w:t xml:space="preserve">Nombre comercial: Horizon Medical HM-H100</w:t>
      </w:r>
    </w:p>
    <w:p>
      <w:pPr>
        <w:numPr>
          <w:ilvl w:val="1"/>
          <w:numId w:val="1039"/>
        </w:numPr>
        <w:pStyle w:val="Compact"/>
      </w:pPr>
      <w:r>
        <w:t xml:space="preserve">Nombre del fabricante</w:t>
      </w:r>
    </w:p>
    <w:p>
      <w:pPr>
        <w:numPr>
          <w:ilvl w:val="1"/>
          <w:numId w:val="1039"/>
        </w:numPr>
        <w:pStyle w:val="Compact"/>
      </w:pPr>
      <w:r>
        <w:t xml:space="preserve">Número de modelo y versión</w:t>
      </w:r>
    </w:p>
    <w:p>
      <w:pPr>
        <w:numPr>
          <w:ilvl w:val="1"/>
          <w:numId w:val="1039"/>
        </w:numPr>
        <w:pStyle w:val="Compact"/>
      </w:pPr>
      <w:r>
        <w:t xml:space="preserve">Código UDI (formato GS1, GTIN-14)</w:t>
      </w:r>
    </w:p>
    <w:p>
      <w:pPr>
        <w:numPr>
          <w:ilvl w:val="1"/>
          <w:numId w:val="1039"/>
        </w:numPr>
        <w:pStyle w:val="Compact"/>
      </w:pPr>
      <w:r>
        <w:t xml:space="preserve">Símbolos obligatorios según ISO 15223-1:</w:t>
      </w:r>
    </w:p>
    <w:p>
      <w:pPr>
        <w:numPr>
          <w:ilvl w:val="2"/>
          <w:numId w:val="1040"/>
        </w:numPr>
        <w:pStyle w:val="Compact"/>
      </w:pPr>
      <w:r>
        <w:t xml:space="preserve">Símbolo de Consultar instrucciones</w:t>
      </w:r>
    </w:p>
    <w:p>
      <w:pPr>
        <w:numPr>
          <w:ilvl w:val="2"/>
          <w:numId w:val="1040"/>
        </w:numPr>
        <w:pStyle w:val="Compact"/>
      </w:pPr>
      <w:r>
        <w:t xml:space="preserve">Símbolo de Fecha de vencimiento</w:t>
      </w:r>
    </w:p>
    <w:p>
      <w:pPr>
        <w:numPr>
          <w:ilvl w:val="2"/>
          <w:numId w:val="1040"/>
        </w:numPr>
        <w:pStyle w:val="Compact"/>
      </w:pPr>
      <w:r>
        <w:t xml:space="preserve">Símbolo de Número de lote</w:t>
      </w:r>
    </w:p>
    <w:p>
      <w:pPr>
        <w:numPr>
          <w:ilvl w:val="2"/>
          <w:numId w:val="1040"/>
        </w:numPr>
        <w:pStyle w:val="Compact"/>
      </w:pPr>
      <w:r>
        <w:t xml:space="preserve">Símbolo de Fabricante</w:t>
      </w:r>
    </w:p>
    <w:p>
      <w:pPr>
        <w:numPr>
          <w:ilvl w:val="2"/>
          <w:numId w:val="1040"/>
        </w:numPr>
        <w:pStyle w:val="Compact"/>
      </w:pPr>
      <w:r>
        <w:t xml:space="preserve">Símbolos de: Almacenamiento, Frágil, No invertir (si aplica)</w:t>
      </w:r>
    </w:p>
    <w:p>
      <w:pPr>
        <w:numPr>
          <w:ilvl w:val="1"/>
          <w:numId w:val="1039"/>
        </w:numPr>
        <w:pStyle w:val="Compact"/>
      </w:pPr>
      <w:r>
        <w:t xml:space="preserve">Especificaciones técnicas resumidas</w:t>
      </w:r>
    </w:p>
    <w:p>
      <w:pPr>
        <w:numPr>
          <w:ilvl w:val="1"/>
          <w:numId w:val="1039"/>
        </w:numPr>
        <w:pStyle w:val="Compact"/>
      </w:pPr>
      <w:r>
        <w:t xml:space="preserve">Instrucciones básicas</w:t>
      </w:r>
    </w:p>
    <w:p>
      <w:pPr>
        <w:numPr>
          <w:ilvl w:val="1"/>
          <w:numId w:val="1039"/>
        </w:numPr>
        <w:pStyle w:val="Compact"/>
      </w:pPr>
      <w:r>
        <w:t xml:space="preserve">Línea de atención</w:t>
      </w:r>
    </w:p>
    <w:p>
      <w:pPr>
        <w:numPr>
          <w:ilvl w:val="1"/>
          <w:numId w:val="1039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Diseno-Etiqueta-Dispositivo.ai</w:t>
      </w:r>
      <w:r>
        <w:t xml:space="preserve"> </w:t>
      </w:r>
      <w:r>
        <w:t xml:space="preserve">(o PDF)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Diseño de Etiqueta Secundaria (Empaque)</w:t>
      </w:r>
    </w:p>
    <w:p>
      <w:pPr>
        <w:numPr>
          <w:ilvl w:val="1"/>
          <w:numId w:val="1041"/>
        </w:numPr>
        <w:pStyle w:val="Compact"/>
      </w:pPr>
      <w:r>
        <w:t xml:space="preserve">Información del producto</w:t>
      </w:r>
    </w:p>
    <w:p>
      <w:pPr>
        <w:numPr>
          <w:ilvl w:val="1"/>
          <w:numId w:val="1041"/>
        </w:numPr>
        <w:pStyle w:val="Compact"/>
      </w:pPr>
      <w:r>
        <w:t xml:space="preserve">Indicaciones de uso</w:t>
      </w:r>
    </w:p>
    <w:p>
      <w:pPr>
        <w:numPr>
          <w:ilvl w:val="1"/>
          <w:numId w:val="1041"/>
        </w:numPr>
        <w:pStyle w:val="Compact"/>
      </w:pPr>
      <w:r>
        <w:t xml:space="preserve">Contenido del empaque</w:t>
      </w:r>
    </w:p>
    <w:p>
      <w:pPr>
        <w:numPr>
          <w:ilvl w:val="1"/>
          <w:numId w:val="1041"/>
        </w:numPr>
        <w:pStyle w:val="Compact"/>
      </w:pPr>
      <w:r>
        <w:t xml:space="preserve">Advertencias y precauciones</w:t>
      </w:r>
    </w:p>
    <w:p>
      <w:pPr>
        <w:numPr>
          <w:ilvl w:val="1"/>
          <w:numId w:val="1041"/>
        </w:numPr>
        <w:pStyle w:val="Compact"/>
      </w:pPr>
      <w:r>
        <w:t xml:space="preserve">Símbolo de información en idioma español</w:t>
      </w:r>
    </w:p>
    <w:p>
      <w:pPr>
        <w:numPr>
          <w:ilvl w:val="1"/>
          <w:numId w:val="1041"/>
        </w:numPr>
        <w:pStyle w:val="Compact"/>
      </w:pPr>
      <w:r>
        <w:t xml:space="preserve">Número de lote y fecha de vencimiento</w:t>
      </w:r>
    </w:p>
    <w:p>
      <w:pPr>
        <w:numPr>
          <w:ilvl w:val="1"/>
          <w:numId w:val="1041"/>
        </w:numPr>
        <w:pStyle w:val="Compact"/>
      </w:pPr>
      <w:r>
        <w:t xml:space="preserve">Número de serie (si aplica)</w:t>
      </w:r>
    </w:p>
    <w:p>
      <w:pPr>
        <w:numPr>
          <w:ilvl w:val="1"/>
          <w:numId w:val="1041"/>
        </w:numPr>
        <w:pStyle w:val="Compact"/>
      </w:pPr>
      <w:r>
        <w:t xml:space="preserve">Condiciones de almacenamiento</w:t>
      </w:r>
    </w:p>
    <w:p>
      <w:pPr>
        <w:numPr>
          <w:ilvl w:val="1"/>
          <w:numId w:val="1041"/>
        </w:numPr>
        <w:pStyle w:val="Compact"/>
      </w:pPr>
      <w:r>
        <w:t xml:space="preserve">Información de contacto</w:t>
      </w:r>
    </w:p>
    <w:p>
      <w:pPr>
        <w:numPr>
          <w:ilvl w:val="1"/>
          <w:numId w:val="1041"/>
        </w:numPr>
        <w:pStyle w:val="Compact"/>
      </w:pPr>
      <w:r>
        <w:t xml:space="preserve">Declaración regulatoria</w:t>
      </w:r>
    </w:p>
    <w:p>
      <w:pPr>
        <w:numPr>
          <w:ilvl w:val="1"/>
          <w:numId w:val="1041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Diseno-Etiqueta-Empaque.ai</w:t>
      </w:r>
      <w:r>
        <w:t xml:space="preserve"> </w:t>
      </w:r>
      <w:r>
        <w:t xml:space="preserve">(o PDF)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Diseño de Etiqueta del Estuche</w:t>
      </w:r>
    </w:p>
    <w:p>
      <w:pPr>
        <w:numPr>
          <w:ilvl w:val="1"/>
          <w:numId w:val="1042"/>
        </w:numPr>
        <w:pStyle w:val="Compact"/>
      </w:pPr>
      <w:r>
        <w:t xml:space="preserve">Información general del dispositivo</w:t>
      </w:r>
    </w:p>
    <w:p>
      <w:pPr>
        <w:numPr>
          <w:ilvl w:val="1"/>
          <w:numId w:val="1042"/>
        </w:numPr>
        <w:pStyle w:val="Compact"/>
      </w:pPr>
      <w:r>
        <w:t xml:space="preserve">Accesorios incluidos</w:t>
      </w:r>
    </w:p>
    <w:p>
      <w:pPr>
        <w:numPr>
          <w:ilvl w:val="1"/>
          <w:numId w:val="1042"/>
        </w:numPr>
        <w:pStyle w:val="Compact"/>
      </w:pPr>
      <w:r>
        <w:t xml:space="preserve">Diagrama de componentes</w:t>
      </w:r>
    </w:p>
    <w:p>
      <w:pPr>
        <w:numPr>
          <w:ilvl w:val="1"/>
          <w:numId w:val="1042"/>
        </w:numPr>
        <w:pStyle w:val="Compact"/>
      </w:pPr>
      <w:r>
        <w:t xml:space="preserve">Especificaciones principales</w:t>
      </w:r>
    </w:p>
    <w:p>
      <w:pPr>
        <w:numPr>
          <w:ilvl w:val="1"/>
          <w:numId w:val="1042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Diseno-Etiqueta-Estuche.ai</w:t>
      </w:r>
      <w:r>
        <w:t xml:space="preserve"> </w:t>
      </w:r>
      <w:r>
        <w:t xml:space="preserve">(o PDF)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Especificación de Materiales de Empaque</w:t>
      </w:r>
    </w:p>
    <w:p>
      <w:pPr>
        <w:numPr>
          <w:ilvl w:val="1"/>
          <w:numId w:val="1043"/>
        </w:numPr>
        <w:pStyle w:val="Compact"/>
      </w:pPr>
      <w:r>
        <w:t xml:space="preserve">Tipo de material (cartón, plástico, etc.)</w:t>
      </w:r>
    </w:p>
    <w:p>
      <w:pPr>
        <w:numPr>
          <w:ilvl w:val="1"/>
          <w:numId w:val="1043"/>
        </w:numPr>
        <w:pStyle w:val="Compact"/>
      </w:pPr>
      <w:r>
        <w:t xml:space="preserve">Especificaciones de durabilidad</w:t>
      </w:r>
    </w:p>
    <w:p>
      <w:pPr>
        <w:numPr>
          <w:ilvl w:val="1"/>
          <w:numId w:val="1043"/>
        </w:numPr>
        <w:pStyle w:val="Compact"/>
      </w:pPr>
      <w:r>
        <w:t xml:space="preserve">Datos de protección del producto</w:t>
      </w:r>
    </w:p>
    <w:p>
      <w:pPr>
        <w:numPr>
          <w:ilvl w:val="1"/>
          <w:numId w:val="1043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Especificacion-Materiales-Empaque.docx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Pruebas de Etiquetado e Impresión</w:t>
      </w:r>
    </w:p>
    <w:p>
      <w:pPr>
        <w:numPr>
          <w:ilvl w:val="1"/>
          <w:numId w:val="1044"/>
        </w:numPr>
        <w:pStyle w:val="Compact"/>
      </w:pPr>
      <w:r>
        <w:t xml:space="preserve">Pruebas de claridad de etiquetas</w:t>
      </w:r>
    </w:p>
    <w:p>
      <w:pPr>
        <w:numPr>
          <w:ilvl w:val="1"/>
          <w:numId w:val="1044"/>
        </w:numPr>
        <w:pStyle w:val="Compact"/>
      </w:pPr>
      <w:r>
        <w:t xml:space="preserve">Resistencia a condiciones de almacenamiento</w:t>
      </w:r>
    </w:p>
    <w:p>
      <w:pPr>
        <w:numPr>
          <w:ilvl w:val="1"/>
          <w:numId w:val="1044"/>
        </w:numPr>
        <w:pStyle w:val="Compact"/>
      </w:pPr>
      <w:r>
        <w:t xml:space="preserve">Legibilidad de códigos (UDI, códigos de barras)</w:t>
      </w:r>
    </w:p>
    <w:p>
      <w:pPr>
        <w:numPr>
          <w:ilvl w:val="1"/>
          <w:numId w:val="1044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Pruebas-Etiquetado.pdf</w:t>
      </w:r>
    </w:p>
    <w:bookmarkEnd w:id="28"/>
    <w:bookmarkStart w:id="29" w:name="Xf99eeaeae39778c910f323aa261aee9747a2f83"/>
    <w:p>
      <w:pPr>
        <w:pStyle w:val="Heading3"/>
      </w:pPr>
      <w:r>
        <w:t xml:space="preserve">FASE 9: DOCUMENTACIÓN DE ACCESORIOS Y COMPLEMENTOS (SEMANA 8)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Lista de Accesorios Permitidos</w:t>
      </w:r>
    </w:p>
    <w:p>
      <w:pPr>
        <w:numPr>
          <w:ilvl w:val="1"/>
          <w:numId w:val="1046"/>
        </w:numPr>
        <w:pStyle w:val="Compact"/>
      </w:pPr>
      <w:r>
        <w:t xml:space="preserve">Cable USB-C</w:t>
      </w:r>
    </w:p>
    <w:p>
      <w:pPr>
        <w:numPr>
          <w:ilvl w:val="1"/>
          <w:numId w:val="1046"/>
        </w:numPr>
        <w:pStyle w:val="Compact"/>
      </w:pPr>
      <w:r>
        <w:t xml:space="preserve">Batería de repuesto (si aplica)</w:t>
      </w:r>
    </w:p>
    <w:p>
      <w:pPr>
        <w:numPr>
          <w:ilvl w:val="1"/>
          <w:numId w:val="1046"/>
        </w:numPr>
        <w:pStyle w:val="Compact"/>
      </w:pPr>
      <w:r>
        <w:t xml:space="preserve">Adaptador de corriente</w:t>
      </w:r>
    </w:p>
    <w:p>
      <w:pPr>
        <w:numPr>
          <w:ilvl w:val="1"/>
          <w:numId w:val="1046"/>
        </w:numPr>
        <w:pStyle w:val="Compact"/>
      </w:pPr>
      <w:r>
        <w:t xml:space="preserve">Correa de transporte</w:t>
      </w:r>
    </w:p>
    <w:p>
      <w:pPr>
        <w:numPr>
          <w:ilvl w:val="1"/>
          <w:numId w:val="1046"/>
        </w:numPr>
        <w:pStyle w:val="Compact"/>
      </w:pPr>
      <w:r>
        <w:t xml:space="preserve">Electrodo desechable (x6)</w:t>
      </w:r>
    </w:p>
    <w:p>
      <w:pPr>
        <w:numPr>
          <w:ilvl w:val="1"/>
          <w:numId w:val="1046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Lista-Accesorios-Permitidos.docx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Información de Componentes Críticos</w:t>
      </w:r>
    </w:p>
    <w:p>
      <w:pPr>
        <w:numPr>
          <w:ilvl w:val="1"/>
          <w:numId w:val="1047"/>
        </w:numPr>
        <w:pStyle w:val="Compact"/>
      </w:pPr>
      <w:r>
        <w:t xml:space="preserve">Electrodos desechables: especificación y marca</w:t>
      </w:r>
    </w:p>
    <w:p>
      <w:pPr>
        <w:numPr>
          <w:ilvl w:val="1"/>
          <w:numId w:val="1047"/>
        </w:numPr>
        <w:pStyle w:val="Compact"/>
      </w:pPr>
      <w:r>
        <w:t xml:space="preserve">Adhesivo de electrodos: biocompatibilidad validada</w:t>
      </w:r>
    </w:p>
    <w:p>
      <w:pPr>
        <w:numPr>
          <w:ilvl w:val="1"/>
          <w:numId w:val="1047"/>
        </w:numPr>
        <w:pStyle w:val="Compact"/>
      </w:pPr>
      <w:r>
        <w:t xml:space="preserve">Documentación de proveedores confiables</w:t>
      </w:r>
    </w:p>
    <w:p>
      <w:pPr>
        <w:numPr>
          <w:ilvl w:val="1"/>
          <w:numId w:val="1047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Especificacion-Componentes-Criticos.docx</w:t>
      </w:r>
    </w:p>
    <w:bookmarkEnd w:id="29"/>
    <w:bookmarkStart w:id="30" w:name="X81a06d21a74b31cd80cd0184405760b4e45cf2c"/>
    <w:p>
      <w:pPr>
        <w:pStyle w:val="Heading3"/>
      </w:pPr>
      <w:r>
        <w:t xml:space="preserve">FASE 10: DOCUMENTACIÓN DE SERVICIO Y TRAZABILIDAD (SEMANA 9)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Plan de Servicio Técnico</w:t>
      </w:r>
    </w:p>
    <w:p>
      <w:pPr>
        <w:numPr>
          <w:ilvl w:val="1"/>
          <w:numId w:val="1049"/>
        </w:numPr>
        <w:pStyle w:val="Compact"/>
      </w:pPr>
      <w:r>
        <w:t xml:space="preserve">Centro de servicio autorizado</w:t>
      </w:r>
    </w:p>
    <w:p>
      <w:pPr>
        <w:numPr>
          <w:ilvl w:val="1"/>
          <w:numId w:val="1049"/>
        </w:numPr>
        <w:pStyle w:val="Compact"/>
      </w:pPr>
      <w:r>
        <w:t xml:space="preserve">Procedimiento de reparación/mantenimiento</w:t>
      </w:r>
    </w:p>
    <w:p>
      <w:pPr>
        <w:numPr>
          <w:ilvl w:val="1"/>
          <w:numId w:val="1049"/>
        </w:numPr>
        <w:pStyle w:val="Compact"/>
      </w:pPr>
      <w:r>
        <w:t xml:space="preserve">Piezas de repuesto disponibles</w:t>
      </w:r>
    </w:p>
    <w:p>
      <w:pPr>
        <w:numPr>
          <w:ilvl w:val="1"/>
          <w:numId w:val="1049"/>
        </w:numPr>
        <w:pStyle w:val="Compact"/>
      </w:pPr>
      <w:r>
        <w:t xml:space="preserve">Garantía y cobertura</w:t>
      </w:r>
    </w:p>
    <w:p>
      <w:pPr>
        <w:numPr>
          <w:ilvl w:val="1"/>
          <w:numId w:val="1049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Plan-Servicio-Tecnico-HM-H100.docx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Sistema de Trazabilidad (UDI)</w:t>
      </w:r>
    </w:p>
    <w:p>
      <w:pPr>
        <w:numPr>
          <w:ilvl w:val="1"/>
          <w:numId w:val="1050"/>
        </w:numPr>
        <w:pStyle w:val="Compact"/>
      </w:pPr>
      <w:r>
        <w:t xml:space="preserve">Asignación de código UDI-DI único</w:t>
      </w:r>
    </w:p>
    <w:p>
      <w:pPr>
        <w:numPr>
          <w:ilvl w:val="1"/>
          <w:numId w:val="1050"/>
        </w:numPr>
        <w:pStyle w:val="Compact"/>
      </w:pPr>
      <w:r>
        <w:t xml:space="preserve">Código UDI-PI (número de serie)</w:t>
      </w:r>
    </w:p>
    <w:p>
      <w:pPr>
        <w:numPr>
          <w:ilvl w:val="1"/>
          <w:numId w:val="1050"/>
        </w:numPr>
        <w:pStyle w:val="Compact"/>
      </w:pPr>
      <w:r>
        <w:t xml:space="preserve">Base de datos de lotes</w:t>
      </w:r>
    </w:p>
    <w:p>
      <w:pPr>
        <w:numPr>
          <w:ilvl w:val="1"/>
          <w:numId w:val="1050"/>
        </w:numPr>
        <w:pStyle w:val="Compact"/>
      </w:pPr>
      <w:r>
        <w:t xml:space="preserve">Registro de distribuidores y ubicaciones</w:t>
      </w:r>
    </w:p>
    <w:p>
      <w:pPr>
        <w:numPr>
          <w:ilvl w:val="1"/>
          <w:numId w:val="1050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Sistema-Trazabilidad-UDI.xlsx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Procedimiento de Rastreo y Retiro</w:t>
      </w:r>
    </w:p>
    <w:p>
      <w:pPr>
        <w:numPr>
          <w:ilvl w:val="1"/>
          <w:numId w:val="1051"/>
        </w:numPr>
        <w:pStyle w:val="Compact"/>
      </w:pPr>
      <w:r>
        <w:t xml:space="preserve">Plan de retiro en caso de incidente</w:t>
      </w:r>
    </w:p>
    <w:p>
      <w:pPr>
        <w:numPr>
          <w:ilvl w:val="1"/>
          <w:numId w:val="1051"/>
        </w:numPr>
        <w:pStyle w:val="Compact"/>
      </w:pPr>
      <w:r>
        <w:t xml:space="preserve">Procedimiento de comunicación a usuarios</w:t>
      </w:r>
    </w:p>
    <w:p>
      <w:pPr>
        <w:numPr>
          <w:ilvl w:val="1"/>
          <w:numId w:val="1051"/>
        </w:numPr>
        <w:pStyle w:val="Compact"/>
      </w:pPr>
      <w:r>
        <w:t xml:space="preserve">Registro de recuperación de dispositivos</w:t>
      </w:r>
    </w:p>
    <w:p>
      <w:pPr>
        <w:numPr>
          <w:ilvl w:val="1"/>
          <w:numId w:val="1051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Procedimiento-Retiro-Mercado.docx</w:t>
      </w:r>
    </w:p>
    <w:p>
      <w:pPr>
        <w:numPr>
          <w:ilvl w:val="0"/>
          <w:numId w:val="104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Base de Datos de Usuarios y Distribuidores</w:t>
      </w:r>
    </w:p>
    <w:p>
      <w:pPr>
        <w:numPr>
          <w:ilvl w:val="1"/>
          <w:numId w:val="1052"/>
        </w:numPr>
        <w:pStyle w:val="Compact"/>
      </w:pPr>
      <w:r>
        <w:t xml:space="preserve">Registro de compradores finales (hospitales, clínicas)</w:t>
      </w:r>
    </w:p>
    <w:p>
      <w:pPr>
        <w:numPr>
          <w:ilvl w:val="1"/>
          <w:numId w:val="1052"/>
        </w:numPr>
        <w:pStyle w:val="Compact"/>
      </w:pPr>
      <w:r>
        <w:t xml:space="preserve">Contactos de distribuidores</w:t>
      </w:r>
    </w:p>
    <w:p>
      <w:pPr>
        <w:numPr>
          <w:ilvl w:val="1"/>
          <w:numId w:val="1052"/>
        </w:numPr>
        <w:pStyle w:val="Compact"/>
      </w:pPr>
      <w:r>
        <w:t xml:space="preserve">Ubicaciones de instalación</w:t>
      </w:r>
    </w:p>
    <w:p>
      <w:pPr>
        <w:numPr>
          <w:ilvl w:val="1"/>
          <w:numId w:val="1052"/>
        </w:numPr>
        <w:pStyle w:val="Compact"/>
      </w:pPr>
      <w:r>
        <w:t xml:space="preserve">Información para alertas de seguridad</w:t>
      </w:r>
    </w:p>
    <w:p>
      <w:pPr>
        <w:numPr>
          <w:ilvl w:val="1"/>
          <w:numId w:val="1052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Base-Datos-Usuarios-Distribuidores.xlsx</w:t>
      </w:r>
    </w:p>
    <w:bookmarkEnd w:id="30"/>
    <w:bookmarkStart w:id="31" w:name="Xdff95199c111fbb54974d311ad0a4a060f39701"/>
    <w:p>
      <w:pPr>
        <w:pStyle w:val="Heading3"/>
      </w:pPr>
      <w:r>
        <w:t xml:space="preserve">FASE 11: DOCUMENTACIÓN DE VIGILANCIA POST-COMERCIALIZACIÓN (SEMANA 9-10)</w:t>
      </w:r>
    </w:p>
    <w:p>
      <w:pPr>
        <w:numPr>
          <w:ilvl w:val="0"/>
          <w:numId w:val="105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Plan de Vigilancia Post-Comercialización</w:t>
      </w:r>
    </w:p>
    <w:p>
      <w:pPr>
        <w:numPr>
          <w:ilvl w:val="1"/>
          <w:numId w:val="1054"/>
        </w:numPr>
        <w:pStyle w:val="Compact"/>
      </w:pPr>
      <w:r>
        <w:t xml:space="preserve">Objetivo de vigilancia</w:t>
      </w:r>
    </w:p>
    <w:p>
      <w:pPr>
        <w:numPr>
          <w:ilvl w:val="1"/>
          <w:numId w:val="1054"/>
        </w:numPr>
        <w:pStyle w:val="Compact"/>
      </w:pPr>
      <w:r>
        <w:t xml:space="preserve">Métodos de recopilación de datos</w:t>
      </w:r>
    </w:p>
    <w:p>
      <w:pPr>
        <w:numPr>
          <w:ilvl w:val="1"/>
          <w:numId w:val="1054"/>
        </w:numPr>
        <w:pStyle w:val="Compact"/>
      </w:pPr>
      <w:r>
        <w:t xml:space="preserve">Frecuencia de reportes</w:t>
      </w:r>
    </w:p>
    <w:p>
      <w:pPr>
        <w:numPr>
          <w:ilvl w:val="1"/>
          <w:numId w:val="1054"/>
        </w:numPr>
        <w:pStyle w:val="Compact"/>
      </w:pPr>
      <w:r>
        <w:t xml:space="preserve">Canales de reporte de eventos adversos</w:t>
      </w:r>
    </w:p>
    <w:p>
      <w:pPr>
        <w:numPr>
          <w:ilvl w:val="1"/>
          <w:numId w:val="1054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Plan-Vigilancia-Postcomercializacion.pdf</w:t>
      </w:r>
    </w:p>
    <w:p>
      <w:pPr>
        <w:numPr>
          <w:ilvl w:val="0"/>
          <w:numId w:val="105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Procedimiento de Reporte de Incidentes/Eventos Adversos</w:t>
      </w:r>
    </w:p>
    <w:p>
      <w:pPr>
        <w:numPr>
          <w:ilvl w:val="1"/>
          <w:numId w:val="1055"/>
        </w:numPr>
        <w:pStyle w:val="Compact"/>
      </w:pPr>
      <w:r>
        <w:t xml:space="preserve">Definición de evento adverso serio</w:t>
      </w:r>
    </w:p>
    <w:p>
      <w:pPr>
        <w:numPr>
          <w:ilvl w:val="1"/>
          <w:numId w:val="1055"/>
        </w:numPr>
        <w:pStyle w:val="Compact"/>
      </w:pPr>
      <w:r>
        <w:t xml:space="preserve">Plazo de reporte a INVIMA (15-30 días)</w:t>
      </w:r>
    </w:p>
    <w:p>
      <w:pPr>
        <w:numPr>
          <w:ilvl w:val="1"/>
          <w:numId w:val="1055"/>
        </w:numPr>
        <w:pStyle w:val="Compact"/>
      </w:pPr>
      <w:r>
        <w:t xml:space="preserve">Formato de reporte</w:t>
      </w:r>
    </w:p>
    <w:p>
      <w:pPr>
        <w:numPr>
          <w:ilvl w:val="1"/>
          <w:numId w:val="1055"/>
        </w:numPr>
        <w:pStyle w:val="Compact"/>
      </w:pPr>
      <w:r>
        <w:t xml:space="preserve">Base de datos de eventos</w:t>
      </w:r>
    </w:p>
    <w:p>
      <w:pPr>
        <w:numPr>
          <w:ilvl w:val="1"/>
          <w:numId w:val="1055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Procedimiento-Reporte-Eventos-Adversos.docx</w:t>
      </w:r>
    </w:p>
    <w:p>
      <w:pPr>
        <w:numPr>
          <w:ilvl w:val="0"/>
          <w:numId w:val="105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Protocolo de Comunicación de Cambios</w:t>
      </w:r>
    </w:p>
    <w:p>
      <w:pPr>
        <w:numPr>
          <w:ilvl w:val="1"/>
          <w:numId w:val="1056"/>
        </w:numPr>
        <w:pStyle w:val="Compact"/>
      </w:pPr>
      <w:r>
        <w:t xml:space="preserve">Cambios en fabricación</w:t>
      </w:r>
    </w:p>
    <w:p>
      <w:pPr>
        <w:numPr>
          <w:ilvl w:val="1"/>
          <w:numId w:val="1056"/>
        </w:numPr>
        <w:pStyle w:val="Compact"/>
      </w:pPr>
      <w:r>
        <w:t xml:space="preserve">Cambios en etiquetado</w:t>
      </w:r>
    </w:p>
    <w:p>
      <w:pPr>
        <w:numPr>
          <w:ilvl w:val="1"/>
          <w:numId w:val="1056"/>
        </w:numPr>
        <w:pStyle w:val="Compact"/>
      </w:pPr>
      <w:r>
        <w:t xml:space="preserve">Cambios en software</w:t>
      </w:r>
    </w:p>
    <w:p>
      <w:pPr>
        <w:numPr>
          <w:ilvl w:val="1"/>
          <w:numId w:val="1056"/>
        </w:numPr>
        <w:pStyle w:val="Compact"/>
      </w:pPr>
      <w:r>
        <w:t xml:space="preserve">Procedimiento de notificación a INVIMA</w:t>
      </w:r>
    </w:p>
    <w:p>
      <w:pPr>
        <w:numPr>
          <w:ilvl w:val="1"/>
          <w:numId w:val="1056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Protocolo-Comunicacion-Cambios.docx</w:t>
      </w:r>
    </w:p>
    <w:p>
      <w:pPr>
        <w:numPr>
          <w:ilvl w:val="0"/>
          <w:numId w:val="105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Análisis Periódico de Seguridad y Eficacia</w:t>
      </w:r>
    </w:p>
    <w:p>
      <w:pPr>
        <w:numPr>
          <w:ilvl w:val="1"/>
          <w:numId w:val="1057"/>
        </w:numPr>
        <w:pStyle w:val="Compact"/>
      </w:pPr>
      <w:r>
        <w:t xml:space="preserve">Reporte anual de seguridad</w:t>
      </w:r>
    </w:p>
    <w:p>
      <w:pPr>
        <w:numPr>
          <w:ilvl w:val="1"/>
          <w:numId w:val="1057"/>
        </w:numPr>
        <w:pStyle w:val="Compact"/>
      </w:pPr>
      <w:r>
        <w:t xml:space="preserve">Análisis de tendencias de eventos</w:t>
      </w:r>
    </w:p>
    <w:p>
      <w:pPr>
        <w:numPr>
          <w:ilvl w:val="1"/>
          <w:numId w:val="1057"/>
        </w:numPr>
        <w:pStyle w:val="Compact"/>
      </w:pPr>
      <w:r>
        <w:t xml:space="preserve">Comparación con literatura</w:t>
      </w:r>
    </w:p>
    <w:p>
      <w:pPr>
        <w:numPr>
          <w:ilvl w:val="1"/>
          <w:numId w:val="1057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Reporte-Anual-Seguridad.pdf</w:t>
      </w:r>
    </w:p>
    <w:bookmarkEnd w:id="31"/>
    <w:bookmarkStart w:id="32" w:name="Xca1ea5f615c724461cf15fa8762fd202cf2a660"/>
    <w:p>
      <w:pPr>
        <w:pStyle w:val="Heading3"/>
      </w:pPr>
      <w:r>
        <w:t xml:space="preserve">FASE 12: DOCUMENTACIÓN ADMINISTRATIVA FINAL (SEMANA 10-11)</w:t>
      </w:r>
    </w:p>
    <w:p>
      <w:pPr>
        <w:numPr>
          <w:ilvl w:val="0"/>
          <w:numId w:val="105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Solicitud de Registro Sanitario (Formulario INVIMA)</w:t>
      </w:r>
    </w:p>
    <w:p>
      <w:pPr>
        <w:numPr>
          <w:ilvl w:val="1"/>
          <w:numId w:val="1059"/>
        </w:numPr>
        <w:pStyle w:val="Compact"/>
      </w:pPr>
      <w:r>
        <w:t xml:space="preserve">Completado en todos sus campos</w:t>
      </w:r>
    </w:p>
    <w:p>
      <w:pPr>
        <w:numPr>
          <w:ilvl w:val="1"/>
          <w:numId w:val="1059"/>
        </w:numPr>
        <w:pStyle w:val="Compact"/>
      </w:pPr>
      <w:r>
        <w:t xml:space="preserve">Firmado por representante legal</w:t>
      </w:r>
    </w:p>
    <w:p>
      <w:pPr>
        <w:numPr>
          <w:ilvl w:val="1"/>
          <w:numId w:val="1059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Solicitud-Registro-INVIMA-Completa.pdf</w:t>
      </w:r>
    </w:p>
    <w:p>
      <w:pPr>
        <w:numPr>
          <w:ilvl w:val="0"/>
          <w:numId w:val="105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Lista de Verificación de Completitud</w:t>
      </w:r>
    </w:p>
    <w:p>
      <w:pPr>
        <w:numPr>
          <w:ilvl w:val="1"/>
          <w:numId w:val="1060"/>
        </w:numPr>
        <w:pStyle w:val="Compact"/>
      </w:pPr>
      <w:r>
        <w:t xml:space="preserve">Confirmación de que todos los documentos están incluidos</w:t>
      </w:r>
    </w:p>
    <w:p>
      <w:pPr>
        <w:numPr>
          <w:ilvl w:val="1"/>
          <w:numId w:val="1060"/>
        </w:numPr>
        <w:pStyle w:val="Compact"/>
      </w:pPr>
      <w:r>
        <w:t xml:space="preserve">Verificación de formato y firma</w:t>
      </w:r>
    </w:p>
    <w:p>
      <w:pPr>
        <w:numPr>
          <w:ilvl w:val="1"/>
          <w:numId w:val="1060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Lista-Verificacion-Documentos.xlsx</w:t>
      </w:r>
    </w:p>
    <w:p>
      <w:pPr>
        <w:numPr>
          <w:ilvl w:val="0"/>
          <w:numId w:val="105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Índice y Tabla de Contenidos Detallada</w:t>
      </w:r>
    </w:p>
    <w:p>
      <w:pPr>
        <w:numPr>
          <w:ilvl w:val="1"/>
          <w:numId w:val="1061"/>
        </w:numPr>
        <w:pStyle w:val="Compact"/>
      </w:pPr>
      <w:r>
        <w:t xml:space="preserve">Listado de todos los documentos</w:t>
      </w:r>
    </w:p>
    <w:p>
      <w:pPr>
        <w:numPr>
          <w:ilvl w:val="1"/>
          <w:numId w:val="1061"/>
        </w:numPr>
        <w:pStyle w:val="Compact"/>
      </w:pPr>
      <w:r>
        <w:t xml:space="preserve">Referencias cruzadas</w:t>
      </w:r>
    </w:p>
    <w:p>
      <w:pPr>
        <w:numPr>
          <w:ilvl w:val="1"/>
          <w:numId w:val="1061"/>
        </w:numPr>
        <w:pStyle w:val="Compact"/>
      </w:pPr>
      <w:r>
        <w:t xml:space="preserve">Número de páginas</w:t>
      </w:r>
    </w:p>
    <w:p>
      <w:pPr>
        <w:numPr>
          <w:ilvl w:val="1"/>
          <w:numId w:val="1061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Indice-Solicitud-Completa.docx</w:t>
      </w:r>
    </w:p>
    <w:p>
      <w:pPr>
        <w:numPr>
          <w:ilvl w:val="0"/>
          <w:numId w:val="105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Documento de Cobertura o Carta de Presentación</w:t>
      </w:r>
    </w:p>
    <w:p>
      <w:pPr>
        <w:numPr>
          <w:ilvl w:val="1"/>
          <w:numId w:val="1062"/>
        </w:numPr>
        <w:pStyle w:val="Compact"/>
      </w:pPr>
      <w:r>
        <w:t xml:space="preserve">Resumen de solicitud</w:t>
      </w:r>
    </w:p>
    <w:p>
      <w:pPr>
        <w:numPr>
          <w:ilvl w:val="1"/>
          <w:numId w:val="1062"/>
        </w:numPr>
        <w:pStyle w:val="Compact"/>
      </w:pPr>
      <w:r>
        <w:t xml:space="preserve">Mención de cambios respecto a versiones previas</w:t>
      </w:r>
    </w:p>
    <w:p>
      <w:pPr>
        <w:numPr>
          <w:ilvl w:val="1"/>
          <w:numId w:val="1062"/>
        </w:numPr>
        <w:pStyle w:val="Compact"/>
      </w:pPr>
      <w:r>
        <w:t xml:space="preserve">Solicitud de expedited review (si aplica)</w:t>
      </w:r>
    </w:p>
    <w:p>
      <w:pPr>
        <w:numPr>
          <w:ilvl w:val="1"/>
          <w:numId w:val="1062"/>
        </w:numPr>
        <w:pStyle w:val="Compact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Carta-Presentacion-INVIMA.pdf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ESTADO GENERAL DE CHECKLIST: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Fabricación y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y 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Biocompatibilidad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Regulatoria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y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Empaques y Etiquetado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y 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Vigilancia Post-Comercialización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Administrativa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 ÍTEMS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X7850f340d2482f666dec3fda1efa3dce3ceee0b"/>
    <w:p>
      <w:pPr>
        <w:pStyle w:val="Heading2"/>
      </w:pPr>
      <w:r>
        <w:t xml:space="preserve">B) CRONOGRAMA DETALLADO CON DIAGRAMA GANTT</w:t>
      </w:r>
    </w:p>
    <w:p>
      <w:pPr>
        <w:pStyle w:val="FirstParagraph"/>
      </w:pPr>
      <w:r>
        <w:rPr>
          <w:bCs/>
          <w:b/>
        </w:rPr>
        <w:t xml:space="preserve">Duración Total Estimada: 36 Semanas (9 Meses)</w:t>
      </w:r>
    </w:p>
    <w:bookmarkStart w:id="34" w:name="diagrama-gantt-en-texto"/>
    <w:p>
      <w:pPr>
        <w:pStyle w:val="Heading3"/>
      </w:pPr>
      <w:r>
        <w:t xml:space="preserve">DIAGRAMA GANTT EN TEXTO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CRONOGRAMA DE REGISTRO INVIMA - HM-H100</w:t>
      </w:r>
      <w:r>
        <w:br/>
      </w:r>
      <w:r>
        <w:rPr>
          <w:rStyle w:val="VerbatimChar"/>
        </w:rPr>
        <w:t xml:space="preserve">Dispositivo Médico Clase IIa</w:t>
      </w:r>
      <w:r>
        <w:br/>
      </w:r>
      <w:r>
        <w:rPr>
          <w:rStyle w:val="VerbatimChar"/>
        </w:rPr>
        <w:t xml:space="preserve">Duración Total: 36 Semanas (9 Meses)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SEMANA:      1     5     10    15    20    25    30    35    36</w:t>
      </w:r>
      <w:r>
        <w:br/>
      </w:r>
      <w:r>
        <w:rPr>
          <w:rStyle w:val="VerbatimChar"/>
        </w:rPr>
        <w:t xml:space="preserve">             |     |     |     |     |     |     |     |     |</w:t>
      </w:r>
      <w:r>
        <w:br/>
      </w:r>
      <w:r>
        <w:br/>
      </w:r>
      <w:r>
        <w:rPr>
          <w:rStyle w:val="VerbatimChar"/>
        </w:rPr>
        <w:t xml:space="preserve">FASE 1: PREPARACIÓN Y DOCUMENTACIÓN TÉCNICA (SEMANAS 1-4)</w:t>
      </w:r>
      <w:r>
        <w:br/>
      </w:r>
      <w:r>
        <w:rPr>
          <w:rStyle w:val="VerbatimChar"/>
        </w:rPr>
        <w:t xml:space="preserve">├─ Especificaciones Técnicas ▓▓▓▓</w:t>
      </w:r>
      <w:r>
        <w:br/>
      </w:r>
      <w:r>
        <w:rPr>
          <w:rStyle w:val="VerbatimChar"/>
        </w:rPr>
        <w:t xml:space="preserve">├─ Análisis de Riesgos ISO14971 ▓▓▓▓</w:t>
      </w:r>
      <w:r>
        <w:br/>
      </w:r>
      <w:r>
        <w:rPr>
          <w:rStyle w:val="VerbatimChar"/>
        </w:rPr>
        <w:t xml:space="preserve">├─ Dossier Técnico    ▓▓▓▓</w:t>
      </w:r>
      <w:r>
        <w:br/>
      </w:r>
      <w:r>
        <w:rPr>
          <w:rStyle w:val="VerbatimChar"/>
        </w:rPr>
        <w:t xml:space="preserve">└─ Software IEC62304  ▓▓▓▓</w:t>
      </w:r>
      <w:r>
        <w:br/>
      </w:r>
      <w:r>
        <w:br/>
      </w:r>
      <w:r>
        <w:rPr>
          <w:rStyle w:val="VerbatimChar"/>
        </w:rPr>
        <w:t xml:space="preserve">FASE 2: CERTIFICACIONES Y CALIDAD (SEMANAS 2-8)</w:t>
      </w:r>
      <w:r>
        <w:br/>
      </w:r>
      <w:r>
        <w:rPr>
          <w:rStyle w:val="VerbatimChar"/>
        </w:rPr>
        <w:t xml:space="preserve">├─ ISO 13485 Audit/Certificación ▓▓▓▓▓▓▓</w:t>
      </w:r>
      <w:r>
        <w:br/>
      </w:r>
      <w:r>
        <w:rPr>
          <w:rStyle w:val="VerbatimChar"/>
        </w:rPr>
        <w:t xml:space="preserve">├─ Procedimientos Fabricación     ▓▓▓▓</w:t>
      </w:r>
      <w:r>
        <w:br/>
      </w:r>
      <w:r>
        <w:rPr>
          <w:rStyle w:val="VerbatimChar"/>
        </w:rPr>
        <w:t xml:space="preserve">├─ Plan Control Calidad           ▓▓▓</w:t>
      </w:r>
      <w:r>
        <w:br/>
      </w:r>
      <w:r>
        <w:rPr>
          <w:rStyle w:val="VerbatimChar"/>
        </w:rPr>
        <w:t xml:space="preserve">└─ Validación Procesos            ▓▓▓▓</w:t>
      </w:r>
      <w:r>
        <w:br/>
      </w:r>
      <w:r>
        <w:br/>
      </w:r>
      <w:r>
        <w:rPr>
          <w:rStyle w:val="VerbatimChar"/>
        </w:rPr>
        <w:t xml:space="preserve">FASE 3: PRUEBAS DE LABORATORIO (SEMANAS 3-8)</w:t>
      </w:r>
      <w:r>
        <w:br/>
      </w:r>
      <w:r>
        <w:rPr>
          <w:rStyle w:val="VerbatimChar"/>
        </w:rPr>
        <w:t xml:space="preserve">├─ Seguridad Eléctrica IEC60601   ▓▓▓▓</w:t>
      </w:r>
      <w:r>
        <w:br/>
      </w:r>
      <w:r>
        <w:rPr>
          <w:rStyle w:val="VerbatimChar"/>
        </w:rPr>
        <w:t xml:space="preserve">├─ EMC IEC60601-1-2               ▓▓▓▓</w:t>
      </w:r>
      <w:r>
        <w:br/>
      </w:r>
      <w:r>
        <w:rPr>
          <w:rStyle w:val="VerbatimChar"/>
        </w:rPr>
        <w:t xml:space="preserve">├─ Biocompatibilidad ISO10993     ▓▓▓▓</w:t>
      </w:r>
      <w:r>
        <w:br/>
      </w:r>
      <w:r>
        <w:rPr>
          <w:rStyle w:val="VerbatimChar"/>
        </w:rPr>
        <w:t xml:space="preserve">└─ Testing Laboratory  ▓▓▓▓▓▓</w:t>
      </w:r>
      <w:r>
        <w:br/>
      </w:r>
      <w:r>
        <w:br/>
      </w:r>
      <w:r>
        <w:rPr>
          <w:rStyle w:val="VerbatimChar"/>
        </w:rPr>
        <w:t xml:space="preserve">FASE 4: VALIDACIÓN CLÍNICA (SEMANAS 5-12)</w:t>
      </w:r>
      <w:r>
        <w:br/>
      </w:r>
      <w:r>
        <w:rPr>
          <w:rStyle w:val="VerbatimChar"/>
        </w:rPr>
        <w:t xml:space="preserve">├─ Protocolo Estudio  ▓▓▓</w:t>
      </w:r>
      <w:r>
        <w:br/>
      </w:r>
      <w:r>
        <w:rPr>
          <w:rStyle w:val="VerbatimChar"/>
        </w:rPr>
        <w:t xml:space="preserve">├─ Reclutamiento      ▓▓▓▓▓▓▓▓</w:t>
      </w:r>
      <w:r>
        <w:br/>
      </w:r>
      <w:r>
        <w:rPr>
          <w:rStyle w:val="VerbatimChar"/>
        </w:rPr>
        <w:t xml:space="preserve">├─ Recopilación Datos ▓▓▓▓▓▓</w:t>
      </w:r>
      <w:r>
        <w:br/>
      </w:r>
      <w:r>
        <w:rPr>
          <w:rStyle w:val="VerbatimChar"/>
        </w:rPr>
        <w:t xml:space="preserve">└─ Análisis Resultados ▓▓▓</w:t>
      </w:r>
      <w:r>
        <w:br/>
      </w:r>
      <w:r>
        <w:br/>
      </w:r>
      <w:r>
        <w:rPr>
          <w:rStyle w:val="VerbatimChar"/>
        </w:rPr>
        <w:t xml:space="preserve">FASE 5: DOCUMENTACIÓN DE USUARIO Y ETIQUETADO (SEMANAS 6-10)</w:t>
      </w:r>
      <w:r>
        <w:br/>
      </w:r>
      <w:r>
        <w:rPr>
          <w:rStyle w:val="VerbatimChar"/>
        </w:rPr>
        <w:t xml:space="preserve">├─ Manual Usuario (Traducción) ▓▓▓▓</w:t>
      </w:r>
      <w:r>
        <w:br/>
      </w:r>
      <w:r>
        <w:rPr>
          <w:rStyle w:val="VerbatimChar"/>
        </w:rPr>
        <w:t xml:space="preserve">├─ Diseño Etiquetas    ▓▓▓</w:t>
      </w:r>
      <w:r>
        <w:br/>
      </w:r>
      <w:r>
        <w:rPr>
          <w:rStyle w:val="VerbatimChar"/>
        </w:rPr>
        <w:t xml:space="preserve">├─ Diagramas Usuario   ▓▓▓</w:t>
      </w:r>
      <w:r>
        <w:br/>
      </w:r>
      <w:r>
        <w:rPr>
          <w:rStyle w:val="VerbatimChar"/>
        </w:rPr>
        <w:t xml:space="preserve">└─ Material Educativo  ▓▓</w:t>
      </w:r>
      <w:r>
        <w:br/>
      </w:r>
      <w:r>
        <w:br/>
      </w:r>
      <w:r>
        <w:rPr>
          <w:rStyle w:val="VerbatimChar"/>
        </w:rPr>
        <w:t xml:space="preserve">FASE 6: REGULATORIA Y ADMINISTRATIVA (SEMANAS 8-12)</w:t>
      </w:r>
      <w:r>
        <w:br/>
      </w:r>
      <w:r>
        <w:rPr>
          <w:rStyle w:val="VerbatimChar"/>
        </w:rPr>
        <w:t xml:space="preserve">├─ Certificado Libre Venta ▓▓▓▓</w:t>
      </w:r>
      <w:r>
        <w:br/>
      </w:r>
      <w:r>
        <w:rPr>
          <w:rStyle w:val="VerbatimChar"/>
        </w:rPr>
        <w:t xml:space="preserve">├─ Declaración Conformidad ▓▓▓</w:t>
      </w:r>
      <w:r>
        <w:br/>
      </w:r>
      <w:r>
        <w:rPr>
          <w:rStyle w:val="VerbatimChar"/>
        </w:rPr>
        <w:t xml:space="preserve">├─ Poder Notariado     ▓▓</w:t>
      </w:r>
      <w:r>
        <w:br/>
      </w:r>
      <w:r>
        <w:rPr>
          <w:rStyle w:val="VerbatimChar"/>
        </w:rPr>
        <w:t xml:space="preserve">└─ Carta Responsabilidad ▓▓</w:t>
      </w:r>
      <w:r>
        <w:br/>
      </w:r>
      <w:r>
        <w:br/>
      </w:r>
      <w:r>
        <w:rPr>
          <w:rStyle w:val="VerbatimChar"/>
        </w:rPr>
        <w:t xml:space="preserve">FASE 7: COMPILACIÓN Y REVISIÓN (SEMANAS 12-14)</w:t>
      </w:r>
      <w:r>
        <w:br/>
      </w:r>
      <w:r>
        <w:rPr>
          <w:rStyle w:val="VerbatimChar"/>
        </w:rPr>
        <w:t xml:space="preserve">├─ Compilación Dossier ▓▓▓</w:t>
      </w:r>
      <w:r>
        <w:br/>
      </w:r>
      <w:r>
        <w:rPr>
          <w:rStyle w:val="VerbatimChar"/>
        </w:rPr>
        <w:t xml:space="preserve">├─ Revisión Técnica    ▓▓▓</w:t>
      </w:r>
      <w:r>
        <w:br/>
      </w:r>
      <w:r>
        <w:rPr>
          <w:rStyle w:val="VerbatimChar"/>
        </w:rPr>
        <w:t xml:space="preserve">├─ Aseguramiento Calidad ▓▓</w:t>
      </w:r>
      <w:r>
        <w:br/>
      </w:r>
      <w:r>
        <w:rPr>
          <w:rStyle w:val="VerbatimChar"/>
        </w:rPr>
        <w:t xml:space="preserve">└─ Lista Verificación  ▓</w:t>
      </w:r>
      <w:r>
        <w:br/>
      </w:r>
      <w:r>
        <w:br/>
      </w:r>
      <w:r>
        <w:rPr>
          <w:rStyle w:val="VerbatimChar"/>
        </w:rPr>
        <w:t xml:space="preserve">FASE 8: PREPARACIÓN PARA SOMETIMIENTO (SEMANA 14-15)</w:t>
      </w:r>
      <w:r>
        <w:br/>
      </w:r>
      <w:r>
        <w:rPr>
          <w:rStyle w:val="VerbatimChar"/>
        </w:rPr>
        <w:t xml:space="preserve">├─ Formato Final       ▓▓▓</w:t>
      </w:r>
      <w:r>
        <w:br/>
      </w:r>
      <w:r>
        <w:rPr>
          <w:rStyle w:val="VerbatimChar"/>
        </w:rPr>
        <w:t xml:space="preserve">├─ Traducción Resúmenes ▓▓▓</w:t>
      </w:r>
      <w:r>
        <w:br/>
      </w:r>
      <w:r>
        <w:rPr>
          <w:rStyle w:val="VerbatimChar"/>
        </w:rPr>
        <w:t xml:space="preserve">└─ Empaquetado Para Envío ▓</w:t>
      </w:r>
      <w:r>
        <w:br/>
      </w:r>
      <w:r>
        <w:br/>
      </w:r>
      <w:r>
        <w:rPr>
          <w:rStyle w:val="VerbatimChar"/>
        </w:rPr>
        <w:t xml:space="preserve">FASE 9: SOMETIMIENTO A INVIMA (SEMANA 16)</w:t>
      </w:r>
      <w:r>
        <w:br/>
      </w:r>
      <w:r>
        <w:rPr>
          <w:rStyle w:val="VerbatimChar"/>
        </w:rPr>
        <w:t xml:space="preserve">├─ Radicación Online Portal ▓ (1 día)</w:t>
      </w:r>
      <w:r>
        <w:br/>
      </w:r>
      <w:r>
        <w:rPr>
          <w:rStyle w:val="VerbatimChar"/>
        </w:rPr>
        <w:t xml:space="preserve">├─ Pago de Tasas       ▓ (1 día)</w:t>
      </w:r>
      <w:r>
        <w:br/>
      </w:r>
      <w:r>
        <w:rPr>
          <w:rStyle w:val="VerbatimChar"/>
        </w:rPr>
        <w:t xml:space="preserve">└─ Confirmación Recibo ▓ (Inmediato)</w:t>
      </w:r>
      <w:r>
        <w:br/>
      </w:r>
      <w:r>
        <w:br/>
      </w:r>
      <w:r>
        <w:rPr>
          <w:rStyle w:val="VerbatimChar"/>
        </w:rPr>
        <w:t xml:space="preserve">FASE 10: REVISIÓN INICIAL INVIMA (SEMANAS 17-20)</w:t>
      </w:r>
      <w:r>
        <w:br/>
      </w:r>
      <w:r>
        <w:rPr>
          <w:rStyle w:val="VerbatimChar"/>
        </w:rPr>
        <w:t xml:space="preserve">├─ Acuse de Recibo     ▓ (5 días)</w:t>
      </w:r>
      <w:r>
        <w:br/>
      </w:r>
      <w:r>
        <w:rPr>
          <w:rStyle w:val="VerbatimChar"/>
        </w:rPr>
        <w:t xml:space="preserve">├─ Revisión Completitud ▓▓▓▓ (10-15 días)</w:t>
      </w:r>
      <w:r>
        <w:br/>
      </w:r>
      <w:r>
        <w:rPr>
          <w:rStyle w:val="VerbatimChar"/>
        </w:rPr>
        <w:t xml:space="preserve">└─ Primer Requerimiento (si aplica) ▓▓ (5-10 días)</w:t>
      </w:r>
      <w:r>
        <w:br/>
      </w:r>
      <w:r>
        <w:br/>
      </w:r>
      <w:r>
        <w:rPr>
          <w:rStyle w:val="VerbatimChar"/>
        </w:rPr>
        <w:t xml:space="preserve">FASE 11: REVISIÓN TÉCNICA SUSTANTIVA (SEMANAS 20-30)</w:t>
      </w:r>
      <w:r>
        <w:br/>
      </w:r>
      <w:r>
        <w:rPr>
          <w:rStyle w:val="VerbatimChar"/>
        </w:rPr>
        <w:t xml:space="preserve">├─ Análisis Técnico    ▓▓▓▓▓▓▓▓▓▓ (60-90 días)</w:t>
      </w:r>
      <w:r>
        <w:br/>
      </w:r>
      <w:r>
        <w:rPr>
          <w:rStyle w:val="VerbatimChar"/>
        </w:rPr>
        <w:t xml:space="preserve">├─ Requerimientos Adicionales ▓▓▓▓ (posible, 5-10 días)</w:t>
      </w:r>
      <w:r>
        <w:br/>
      </w:r>
      <w:r>
        <w:rPr>
          <w:rStyle w:val="VerbatimChar"/>
        </w:rPr>
        <w:t xml:space="preserve">├─ Respuesta a Requerimientos ▓▓▓ (10-15 días)</w:t>
      </w:r>
      <w:r>
        <w:br/>
      </w:r>
      <w:r>
        <w:rPr>
          <w:rStyle w:val="VerbatimChar"/>
        </w:rPr>
        <w:t xml:space="preserve">└─ Segunda Revisión    ▓▓▓▓▓ (30-40 días)</w:t>
      </w:r>
      <w:r>
        <w:br/>
      </w:r>
      <w:r>
        <w:br/>
      </w:r>
      <w:r>
        <w:rPr>
          <w:rStyle w:val="VerbatimChar"/>
        </w:rPr>
        <w:t xml:space="preserve">FASE 12: RESOLUCIÓN FINAL Y APROBACIÓN (SEMANAS 30-36)</w:t>
      </w:r>
      <w:r>
        <w:br/>
      </w:r>
      <w:r>
        <w:rPr>
          <w:rStyle w:val="VerbatimChar"/>
        </w:rPr>
        <w:t xml:space="preserve">├─ Decisión Preliminar ▓▓ (5-10 días)</w:t>
      </w:r>
      <w:r>
        <w:br/>
      </w:r>
      <w:r>
        <w:rPr>
          <w:rStyle w:val="VerbatimChar"/>
        </w:rPr>
        <w:t xml:space="preserve">├─ Respuesta Final Si Aplica ▓▓ (5 días)</w:t>
      </w:r>
      <w:r>
        <w:br/>
      </w:r>
      <w:r>
        <w:rPr>
          <w:rStyle w:val="VerbatimChar"/>
        </w:rPr>
        <w:t xml:space="preserve">├─ Expedición Resolución ▓ (3-5 días)</w:t>
      </w:r>
      <w:r>
        <w:br/>
      </w:r>
      <w:r>
        <w:rPr>
          <w:rStyle w:val="VerbatimChar"/>
        </w:rPr>
        <w:t xml:space="preserve">├─ Inscripción en Registros ▓ (2 días)</w:t>
      </w:r>
      <w:r>
        <w:br/>
      </w:r>
      <w:r>
        <w:rPr>
          <w:rStyle w:val="VerbatimChar"/>
        </w:rPr>
        <w:t xml:space="preserve">└─ Certificado de Registro ▓▓ (Entrega 3-5 días)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bookmarkEnd w:id="34"/>
    <w:bookmarkStart w:id="35" w:name="hitos-críticos-y-fechas"/>
    <w:p>
      <w:pPr>
        <w:pStyle w:val="Heading3"/>
      </w:pPr>
      <w:r>
        <w:t xml:space="preserve">HITOS CRÍTICOS Y FECHAS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42"/>
        <w:gridCol w:w="931"/>
        <w:gridCol w:w="2484"/>
        <w:gridCol w:w="2018"/>
        <w:gridCol w:w="1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Estimada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[Semana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de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Técnica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[Semana 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 Jefe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Certificaciones de Laboratorio Recibidas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[Semana 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Técnico Compilado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[Semana 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Clínica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[Semana 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Investigador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Radicada en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[Semana 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Completitud por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[Semana 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Técnica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[Semana 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Expedida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[Semana 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[Semana 31]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INVIMA/Solicitante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Comercialización Autorizada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[Semana 33]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35"/>
    <w:bookmarkStart w:id="36" w:name="camino-crítico"/>
    <w:p>
      <w:pPr>
        <w:pStyle w:val="Heading3"/>
      </w:pPr>
      <w:r>
        <w:t xml:space="preserve">CAMINO CRÍTICO</w:t>
      </w:r>
    </w:p>
    <w:p>
      <w:pPr>
        <w:pStyle w:val="FirstParagraph"/>
      </w:pPr>
      <w:r>
        <w:rPr>
          <w:bCs/>
          <w:b/>
        </w:rPr>
        <w:t xml:space="preserve">Secuencia Crítica (No puede retrasarse):</w:t>
      </w:r>
    </w:p>
    <w:p>
      <w:pPr>
        <w:numPr>
          <w:ilvl w:val="0"/>
          <w:numId w:val="1063"/>
        </w:numPr>
        <w:pStyle w:val="Compact"/>
      </w:pPr>
      <w:r>
        <w:t xml:space="preserve">Especificaciones Técnicas →</w:t>
      </w:r>
    </w:p>
    <w:p>
      <w:pPr>
        <w:numPr>
          <w:ilvl w:val="0"/>
          <w:numId w:val="1063"/>
        </w:numPr>
        <w:pStyle w:val="Compact"/>
      </w:pPr>
      <w:r>
        <w:t xml:space="preserve">Análisis Riesgos →</w:t>
      </w:r>
    </w:p>
    <w:p>
      <w:pPr>
        <w:numPr>
          <w:ilvl w:val="0"/>
          <w:numId w:val="1063"/>
        </w:numPr>
        <w:pStyle w:val="Compact"/>
      </w:pPr>
      <w:r>
        <w:t xml:space="preserve">Pruebas Laboratorio →</w:t>
      </w:r>
    </w:p>
    <w:p>
      <w:pPr>
        <w:numPr>
          <w:ilvl w:val="0"/>
          <w:numId w:val="1063"/>
        </w:numPr>
        <w:pStyle w:val="Compact"/>
      </w:pPr>
      <w:r>
        <w:t xml:space="preserve">Validación Clínica →</w:t>
      </w:r>
    </w:p>
    <w:p>
      <w:pPr>
        <w:numPr>
          <w:ilvl w:val="0"/>
          <w:numId w:val="1063"/>
        </w:numPr>
        <w:pStyle w:val="Compact"/>
      </w:pPr>
      <w:r>
        <w:t xml:space="preserve">Compilación Dossier →</w:t>
      </w:r>
    </w:p>
    <w:p>
      <w:pPr>
        <w:numPr>
          <w:ilvl w:val="0"/>
          <w:numId w:val="1063"/>
        </w:numPr>
        <w:pStyle w:val="Compact"/>
      </w:pPr>
      <w:r>
        <w:t xml:space="preserve">Sometimiento INVIMA →</w:t>
      </w:r>
    </w:p>
    <w:p>
      <w:pPr>
        <w:numPr>
          <w:ilvl w:val="0"/>
          <w:numId w:val="1063"/>
        </w:numPr>
        <w:pStyle w:val="Compact"/>
      </w:pPr>
      <w:r>
        <w:t xml:space="preserve">Revisión INVIMA →</w:t>
      </w:r>
    </w:p>
    <w:p>
      <w:pPr>
        <w:numPr>
          <w:ilvl w:val="0"/>
          <w:numId w:val="1063"/>
        </w:numPr>
        <w:pStyle w:val="Compact"/>
      </w:pPr>
      <w:r>
        <w:t xml:space="preserve">Aprobación</w:t>
      </w:r>
    </w:p>
    <w:p>
      <w:pPr>
        <w:pStyle w:val="FirstParagraph"/>
      </w:pPr>
      <w:r>
        <w:rPr>
          <w:bCs/>
          <w:b/>
        </w:rPr>
        <w:t xml:space="preserve">Tiempo Crítico Total: 30 Semanas (mínimo)</w:t>
      </w:r>
      <w:r>
        <w:br/>
      </w:r>
      <w:r>
        <w:rPr>
          <w:bCs/>
          <w:b/>
        </w:rPr>
        <w:t xml:space="preserve">Tiempo de Holgura: ~6 Semanas (para contingencias)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0" w:name="c-plan-de-acción-semanal-semanas-1-12"/>
    <w:p>
      <w:pPr>
        <w:pStyle w:val="Heading2"/>
      </w:pPr>
      <w:r>
        <w:t xml:space="preserve">C) PLAN DE ACCIÓN SEMANAL (SEMANAS 1-12)</w:t>
      </w:r>
    </w:p>
    <w:bookmarkStart w:id="38" w:name="semana-1-kick-off-y-fundación"/>
    <w:p>
      <w:pPr>
        <w:pStyle w:val="Heading3"/>
      </w:pPr>
      <w:r>
        <w:t xml:space="preserve">SEMANA 1: KICK-OFF Y FUNDACIÓN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Inicialización del Proyecto Regulatorio</w:t>
      </w:r>
    </w:p>
    <w:p>
      <w:pPr>
        <w:pStyle w:val="BodyText"/>
      </w:pPr>
      <w:r>
        <w:rPr>
          <w:bCs/>
          <w:b/>
        </w:rPr>
        <w:t xml:space="preserve">Tareas: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066"/>
        <w:gridCol w:w="1827"/>
        <w:gridCol w:w="1523"/>
        <w:gridCol w:w="1675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Contratar Consultor Regulatorio Especializado en Dispositivos Médicos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Constituir Equipo Interfuncional (Ingeniería, QA, Clínica, Legal, Regulatorio)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 de Alineación: Cronograma, Riesgos, Responsabilidades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Reunión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Matriz de Trazabilidad Requisitos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 Brecha de Documentación Actual vs. 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Brechas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Contactar Laboratorios Acreditados para Cotización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Cotizaciones Recibidas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Reserva de Citas en Laboratorios para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Fechas Confirmadas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Documentación: Crear Carpeta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de Carpetas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Recursos Requeridos:</w:t>
      </w:r>
      <w:r>
        <w:t xml:space="preserve"> </w:t>
      </w:r>
      <w:r>
        <w:t xml:space="preserve">Consultor regulatorio, equipo multidisciplinario, laboratorios contactados</w:t>
      </w:r>
    </w:p>
    <w:p>
      <w:pPr>
        <w:pStyle w:val="BodyText"/>
      </w:pPr>
      <w:r>
        <w:rPr>
          <w:bCs/>
          <w:b/>
        </w:rPr>
        <w:t xml:space="preserve">Riesgos Semana 1:</w:t>
      </w:r>
      <w:r>
        <w:t xml:space="preserve"> </w:t>
      </w:r>
      <w:r>
        <w:t xml:space="preserve">Demora en contratación de consultor, indisponibilidad de laboratorios</w:t>
      </w:r>
    </w:p>
    <w:p>
      <w:r>
        <w:pict>
          <v:rect style="width:0;height:1.5pt" o:hralign="center" o:hrstd="t" o:hr="t"/>
        </w:pict>
      </w:r>
    </w:p>
    <w:bookmarkEnd w:id="38"/>
    <w:bookmarkStart w:id="39" w:name="X77e861f201c088574da1081bc4bc44c6f5b0ee7"/>
    <w:p>
      <w:pPr>
        <w:pStyle w:val="Heading3"/>
      </w:pPr>
      <w:r>
        <w:t xml:space="preserve">SEMANA 2: ESPECIFICACIONES Y ANÁLISIS TÉCNICO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Documentación Técnica Fundamental</w:t>
      </w:r>
    </w:p>
    <w:p>
      <w:pPr>
        <w:pStyle w:val="BodyText"/>
      </w:pPr>
      <w:r>
        <w:rPr>
          <w:bCs/>
          <w:b/>
        </w:rPr>
        <w:t xml:space="preserve">Tareas: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066"/>
        <w:gridCol w:w="1827"/>
        <w:gridCol w:w="1523"/>
        <w:gridCol w:w="1675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Compilar Especificación Técnica Completa (HW, SW, Funcional)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 Jefe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Realizar Análisis de Riesgos Inicial (ISO 14971)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 Normas Técnicas Aplicables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Normas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Mapear Requisitos INVIMA vs. Dispositivo (Gap Analysis)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Analysis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Arquitectura de Software y Requisitos (IEC 62304)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SDS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Plan de Calidad Preliminary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Plan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Protocolos de Prueba a Laboratorios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Protocolos Recibidos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Recursos Requeridos:</w:t>
      </w:r>
      <w:r>
        <w:t xml:space="preserve"> </w:t>
      </w:r>
      <w:r>
        <w:t xml:space="preserve">Ingeniería completa, análisis técnico</w:t>
      </w:r>
    </w:p>
    <w:p>
      <w:pPr>
        <w:pStyle w:val="BodyText"/>
      </w:pPr>
      <w:r>
        <w:rPr>
          <w:bCs/>
          <w:b/>
        </w:rPr>
        <w:t xml:space="preserve">Riesgos Semana 2:</w:t>
      </w:r>
      <w:r>
        <w:t xml:space="preserve"> </w:t>
      </w:r>
      <w:r>
        <w:t xml:space="preserve">Falta de documentación histórica, cambios de especificación</w:t>
      </w:r>
    </w:p>
    <w:p>
      <w:r>
        <w:pict>
          <v:rect style="width:0;height:1.5pt" o:hralign="center" o:hrstd="t" o:hr="t"/>
        </w:pict>
      </w:r>
    </w:p>
    <w:bookmarkEnd w:id="39"/>
    <w:bookmarkStart w:id="40" w:name="semana-3-preparación-para-pruebas"/>
    <w:p>
      <w:pPr>
        <w:pStyle w:val="Heading3"/>
      </w:pPr>
      <w:r>
        <w:t xml:space="preserve">SEMANA 3: PREPARACIÓN PARA PRUEBAS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Alineación de Pruebas de Laboratorio</w:t>
      </w:r>
    </w:p>
    <w:p>
      <w:pPr>
        <w:pStyle w:val="BodyText"/>
      </w:pPr>
      <w:r>
        <w:rPr>
          <w:bCs/>
          <w:b/>
        </w:rPr>
        <w:t xml:space="preserve">Tareas: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066"/>
        <w:gridCol w:w="1827"/>
        <w:gridCol w:w="1523"/>
        <w:gridCol w:w="1675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y Aprobar Protocolos de Prueba Seguridad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 + Consultor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Protocolos Aprobados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y Aprobar Protocolos de Prueba 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 + Consultor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Protocolos Aprobados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y Aprobar Protocolos de Prueba Biocompatibilidad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 + Consultor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Protocolos Aprobados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Preparar Muestras de Dispositivo para 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Muestras 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Final de Fechas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Calendario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Análisis de Riesgos (V2.0) con Revisiones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Validación de Software (Unit Tests,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Report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Recursos Requeridos:</w:t>
      </w:r>
      <w:r>
        <w:t xml:space="preserve"> </w:t>
      </w:r>
      <w:r>
        <w:t xml:space="preserve">QA, Manufactura, Ingeniería de Software</w:t>
      </w:r>
    </w:p>
    <w:p>
      <w:pPr>
        <w:pStyle w:val="BodyText"/>
      </w:pPr>
      <w:r>
        <w:rPr>
          <w:bCs/>
          <w:b/>
        </w:rPr>
        <w:t xml:space="preserve">Riesgos Semana 3:</w:t>
      </w:r>
      <w:r>
        <w:t xml:space="preserve"> </w:t>
      </w:r>
      <w:r>
        <w:t xml:space="preserve">Problemas con muestras, cambios en protocolos</w:t>
      </w:r>
    </w:p>
    <w:p>
      <w:r>
        <w:pict>
          <v:rect style="width:0;height:1.5pt" o:hralign="center" o:hrstd="t" o:hr="t"/>
        </w:pict>
      </w:r>
    </w:p>
    <w:bookmarkEnd w:id="40"/>
    <w:bookmarkStart w:id="41" w:name="semana-4-certificación-y-mejoras"/>
    <w:p>
      <w:pPr>
        <w:pStyle w:val="Heading3"/>
      </w:pPr>
      <w:r>
        <w:t xml:space="preserve">SEMANA 4: CERTIFICACIÓN Y MEJORAS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Sistema de Gestión de Calidad ISO 13485</w:t>
      </w:r>
    </w:p>
    <w:p>
      <w:pPr>
        <w:pStyle w:val="BodyText"/>
      </w:pPr>
      <w:r>
        <w:rPr>
          <w:bCs/>
          <w:b/>
        </w:rPr>
        <w:t xml:space="preserve">Tareas: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066"/>
        <w:gridCol w:w="1827"/>
        <w:gridCol w:w="1523"/>
        <w:gridCol w:w="1675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Completar Manual de Calidad ISO 13485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Calidad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Procedimientos de Fabricación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Manufactura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Sistema de Trazabilidad (UDI)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+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UDI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Base de Datos de Proveedores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Datos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y Actualizar Documentación Técnica (v2.0)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 Jefe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Trámite de Certificación ISO 13485 (Auditoría Externa)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+ Consultor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Auditoría Agendada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Recursos Requeridos:</w:t>
      </w:r>
      <w:r>
        <w:t xml:space="preserve"> </w:t>
      </w:r>
      <w:r>
        <w:t xml:space="preserve">QA, Manufactura, Dirección, Consultor</w:t>
      </w:r>
    </w:p>
    <w:p>
      <w:pPr>
        <w:pStyle w:val="BodyText"/>
      </w:pPr>
      <w:r>
        <w:rPr>
          <w:bCs/>
          <w:b/>
        </w:rPr>
        <w:t xml:space="preserve">Riesgos Semana 4:</w:t>
      </w:r>
      <w:r>
        <w:t xml:space="preserve"> </w:t>
      </w:r>
      <w:r>
        <w:t xml:space="preserve">No estar listo para auditoría, hallazgos mayores en auditoría</w:t>
      </w:r>
    </w:p>
    <w:p>
      <w:r>
        <w:pict>
          <v:rect style="width:0;height:1.5pt" o:hralign="center" o:hrstd="t" o:hr="t"/>
        </w:pict>
      </w:r>
    </w:p>
    <w:bookmarkEnd w:id="41"/>
    <w:bookmarkStart w:id="42" w:name="Xd3d0b77cee8ee79811c4e9c7a909dd56acea365"/>
    <w:p>
      <w:pPr>
        <w:pStyle w:val="Heading3"/>
      </w:pPr>
      <w:r>
        <w:t xml:space="preserve">SEMANA 5: PRUEBAS DE LABORATORIO - SEGURIDAD ELÉCTRICA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Ejecución de Pruebas de Seguridad</w:t>
      </w:r>
    </w:p>
    <w:p>
      <w:pPr>
        <w:pStyle w:val="BodyText"/>
      </w:pPr>
      <w:r>
        <w:rPr>
          <w:bCs/>
          <w:b/>
        </w:rPr>
        <w:t xml:space="preserve">Tareas: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066"/>
        <w:gridCol w:w="1827"/>
        <w:gridCol w:w="1523"/>
        <w:gridCol w:w="1675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de Dispositivos a Laboratorio de Seguridad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de Pruebas de Seguridad (Visita Lab si posible)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 + Ingeniero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Preliminar de Resultados (si aplica correcciones)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 Jefe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Preliminares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Hallazgos y Acciones Correctivas (si necesario)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Hallazgos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ISO 13485 Correcciones Menores (si necesario)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Manufact. + 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Mejorado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Completar Protocolo de Estudio Clínico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Investigador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v1.0 Finalizado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Somete Protocolo a Comité de 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Investigador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Recursos Requeridos:</w:t>
      </w:r>
      <w:r>
        <w:t xml:space="preserve"> </w:t>
      </w:r>
      <w:r>
        <w:t xml:space="preserve">Laboratorio acreditado, Ingeniería</w:t>
      </w:r>
    </w:p>
    <w:p>
      <w:pPr>
        <w:pStyle w:val="BodyText"/>
      </w:pPr>
      <w:r>
        <w:rPr>
          <w:bCs/>
          <w:b/>
        </w:rPr>
        <w:t xml:space="preserve">Riesgos Semana 5:</w:t>
      </w:r>
      <w:r>
        <w:t xml:space="preserve"> </w:t>
      </w:r>
      <w:r>
        <w:t xml:space="preserve">Fallas en pruebas, retraso en entrega de certificados</w:t>
      </w:r>
    </w:p>
    <w:p>
      <w:r>
        <w:pict>
          <v:rect style="width:0;height:1.5pt" o:hralign="center" o:hrstd="t" o:hr="t"/>
        </w:pict>
      </w:r>
    </w:p>
    <w:bookmarkEnd w:id="42"/>
    <w:bookmarkStart w:id="43" w:name="X32b82f44fa2a5091472bf2339f0f0bc65048554"/>
    <w:p>
      <w:pPr>
        <w:pStyle w:val="Heading3"/>
      </w:pPr>
      <w:r>
        <w:t xml:space="preserve">SEMANA 6: PRUEBAS DE COMPATIBILIDAD ELECTROMAGNÉTICA (EMC)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Validación de EMC y Bioseguridad</w:t>
      </w:r>
    </w:p>
    <w:p>
      <w:pPr>
        <w:pStyle w:val="BodyText"/>
      </w:pPr>
      <w:r>
        <w:rPr>
          <w:bCs/>
          <w:b/>
        </w:rPr>
        <w:t xml:space="preserve">Tareas: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066"/>
        <w:gridCol w:w="1827"/>
        <w:gridCol w:w="1523"/>
        <w:gridCol w:w="1675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de Dispositivos a Laboratorio de 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Pruebas de Emisiones Radiadas (CISPR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Lab. 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Emisiones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Pruebas de Inmunidad (IEC 61000-4-x)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Lab. 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Inmunidad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Resultados y Evaluación de Conformidad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 Jefe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Conformidad Evaluada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Certificado Final de 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Solicitado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Comité Ética para Aprobación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Investigador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Recibida o En 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Reclutamiento de Pacientes (Estudio Clínico)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Clínico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Primeros Pacientes Reclutados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Recursos Requeridos:</w:t>
      </w:r>
      <w:r>
        <w:t xml:space="preserve"> </w:t>
      </w:r>
      <w:r>
        <w:t xml:space="preserve">Laboratorio EMC acreditado, Equipo clínico</w:t>
      </w:r>
    </w:p>
    <w:p>
      <w:pPr>
        <w:pStyle w:val="BodyText"/>
      </w:pPr>
      <w:r>
        <w:rPr>
          <w:bCs/>
          <w:b/>
        </w:rPr>
        <w:t xml:space="preserve">Riesgos Semana 6:</w:t>
      </w:r>
      <w:r>
        <w:t xml:space="preserve"> </w:t>
      </w:r>
      <w:r>
        <w:t xml:space="preserve">Fallas en EMC (requiere rediseño), atraso en comité ética</w:t>
      </w:r>
    </w:p>
    <w:p>
      <w:r>
        <w:pict>
          <v:rect style="width:0;height:1.5pt" o:hralign="center" o:hrstd="t" o:hr="t"/>
        </w:pict>
      </w:r>
    </w:p>
    <w:bookmarkEnd w:id="43"/>
    <w:bookmarkStart w:id="44" w:name="semana-7-pruebas-de-biocompatibilidad"/>
    <w:p>
      <w:pPr>
        <w:pStyle w:val="Heading3"/>
      </w:pPr>
      <w:r>
        <w:t xml:space="preserve">SEMANA 7: PRUEBAS DE BIOCOMPATIBILIDAD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Validación de Biocompatibilidad</w:t>
      </w:r>
    </w:p>
    <w:p>
      <w:pPr>
        <w:pStyle w:val="BodyText"/>
      </w:pPr>
      <w:r>
        <w:rPr>
          <w:bCs/>
          <w:b/>
        </w:rPr>
        <w:t xml:space="preserve">Tareas: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066"/>
        <w:gridCol w:w="1827"/>
        <w:gridCol w:w="1523"/>
        <w:gridCol w:w="1675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de Muestras para Prueba de Citotoxicidad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de Muestras para Prueba de Irritación Dermal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de Pruebas de Biocompatibilidad (15-30 días de incubación)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 Evaluación de Biocompatibilidad (ISO 10993-1)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 con Distribuidores Potenciales para Post-Aprobación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Distribuidores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Traducción del Manual de Usuario al Español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Traductor Especializado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en Español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ISO 13485 (si está agendada)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Recursos Requeridos:</w:t>
      </w:r>
      <w:r>
        <w:t xml:space="preserve"> </w:t>
      </w:r>
      <w:r>
        <w:t xml:space="preserve">Laboratorio biocompatibilidad, Especialista regulatorio, Traductor</w:t>
      </w:r>
    </w:p>
    <w:p>
      <w:pPr>
        <w:pStyle w:val="BodyText"/>
      </w:pPr>
      <w:r>
        <w:rPr>
          <w:bCs/>
          <w:b/>
        </w:rPr>
        <w:t xml:space="preserve">Riesgos Semana 7:</w:t>
      </w:r>
      <w:r>
        <w:t xml:space="preserve"> </w:t>
      </w:r>
      <w:r>
        <w:t xml:space="preserve">Resultados negativos de biocompatibilidad, falla de auditoría ISO</w:t>
      </w:r>
    </w:p>
    <w:p>
      <w:r>
        <w:pict>
          <v:rect style="width:0;height:1.5pt" o:hralign="center" o:hrstd="t" o:hr="t"/>
        </w:pict>
      </w:r>
    </w:p>
    <w:bookmarkEnd w:id="44"/>
    <w:bookmarkStart w:id="45" w:name="semana-8-compilación-y-revisión"/>
    <w:p>
      <w:pPr>
        <w:pStyle w:val="Heading3"/>
      </w:pPr>
      <w:r>
        <w:t xml:space="preserve">SEMANA 8: COMPILACIÓN Y REVISIÓN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Integración de Resultados de Pruebas</w:t>
      </w:r>
    </w:p>
    <w:p>
      <w:pPr>
        <w:pStyle w:val="BodyText"/>
      </w:pPr>
      <w:r>
        <w:rPr>
          <w:bCs/>
          <w:b/>
        </w:rPr>
        <w:t xml:space="preserve">Tareas: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066"/>
        <w:gridCol w:w="1827"/>
        <w:gridCol w:w="1523"/>
        <w:gridCol w:w="1675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de Certificados de Seguridad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Certificados Recibidos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de Certificados de 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Certificados Recibidos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de Certificados de Biocompatibilidad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Certificados Recibidos (o resultados en progreso)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Compilación del Dossier Técnico Integrado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v1.0 Compilado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Declaración de Conformidad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Declaración 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Certificado de Libre Venta (País Origen)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Enviada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de Etiquetas Primarias y Secundarias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Diseñador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Diseños v1.0 Completados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Resultados de Estudio Clínico (en progreso)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Investigador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Preliminares Analizados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Recursos Requeridos:</w:t>
      </w:r>
      <w:r>
        <w:t xml:space="preserve"> </w:t>
      </w:r>
      <w:r>
        <w:t xml:space="preserve">QA, Regulatorio, Diseño gráfico</w:t>
      </w:r>
    </w:p>
    <w:p>
      <w:pPr>
        <w:pStyle w:val="BodyText"/>
      </w:pPr>
      <w:r>
        <w:rPr>
          <w:bCs/>
          <w:b/>
        </w:rPr>
        <w:t xml:space="preserve">Riesgos Semana 8:</w:t>
      </w:r>
      <w:r>
        <w:t xml:space="preserve"> </w:t>
      </w:r>
      <w:r>
        <w:t xml:space="preserve">Retrasos en certificados de laboratorio, hallazgos en compilación</w:t>
      </w:r>
    </w:p>
    <w:p>
      <w:r>
        <w:pict>
          <v:rect style="width:0;height:1.5pt" o:hralign="center" o:hrstd="t" o:hr="t"/>
        </w:pict>
      </w:r>
    </w:p>
    <w:bookmarkEnd w:id="45"/>
    <w:bookmarkStart w:id="46" w:name="semana-9-validación-y-preparación-final"/>
    <w:p>
      <w:pPr>
        <w:pStyle w:val="Heading3"/>
      </w:pPr>
      <w:r>
        <w:t xml:space="preserve">SEMANA 9: VALIDACIÓN Y PREPARACIÓN FINAL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Revisión de Calidad e Integración Final</w:t>
      </w:r>
    </w:p>
    <w:p>
      <w:pPr>
        <w:pStyle w:val="BodyText"/>
      </w:pPr>
      <w:r>
        <w:rPr>
          <w:bCs/>
          <w:b/>
        </w:rPr>
        <w:t xml:space="preserve">Tareas: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066"/>
        <w:gridCol w:w="1827"/>
        <w:gridCol w:w="1523"/>
        <w:gridCol w:w="1675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Técnica Completa del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 Revisión (Ing + Consultor)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Correcciones Menores al Dossier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v2.0 Corregido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Finalization de Etiquetas (con símbolos ISO 15223-1)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Diseñador +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Etiquetas Aprobadas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Carta de Responsabilidad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Finalizada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Poder Notariado para 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Poder Listo para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Finalización Manual de Usuario en Español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Traductor + Editor Médico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v2.0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Guía Rápida (Quick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Escritor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Rápida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de Certificado de Libre Venta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Recibido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Recursos Requeridos:</w:t>
      </w:r>
      <w:r>
        <w:t xml:space="preserve"> </w:t>
      </w:r>
      <w:r>
        <w:t xml:space="preserve">Equipo multidisciplinario completo</w:t>
      </w:r>
    </w:p>
    <w:p>
      <w:pPr>
        <w:pStyle w:val="BodyText"/>
      </w:pPr>
      <w:r>
        <w:rPr>
          <w:bCs/>
          <w:b/>
        </w:rPr>
        <w:t xml:space="preserve">Riesgos Semana 9:</w:t>
      </w:r>
      <w:r>
        <w:t xml:space="preserve"> </w:t>
      </w:r>
      <w:r>
        <w:t xml:space="preserve">Retrasos en certificado de libre venta, cambios de última hora</w:t>
      </w:r>
    </w:p>
    <w:p>
      <w:r>
        <w:pict>
          <v:rect style="width:0;height:1.5pt" o:hralign="center" o:hrstd="t" o:hr="t"/>
        </w:pict>
      </w:r>
    </w:p>
    <w:bookmarkEnd w:id="46"/>
    <w:bookmarkStart w:id="47" w:name="semana-10-finalización-de-documentación"/>
    <w:p>
      <w:pPr>
        <w:pStyle w:val="Heading3"/>
      </w:pPr>
      <w:r>
        <w:t xml:space="preserve">SEMANA 10: FINALIZACIÓN DE DOCUMENTACIÓN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Cierre de Todos los Documentos</w:t>
      </w:r>
    </w:p>
    <w:p>
      <w:pPr>
        <w:pStyle w:val="BodyText"/>
      </w:pPr>
      <w:r>
        <w:rPr>
          <w:bCs/>
          <w:b/>
        </w:rPr>
        <w:t xml:space="preserve">Tareas: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066"/>
        <w:gridCol w:w="1827"/>
        <w:gridCol w:w="1523"/>
        <w:gridCol w:w="1675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Compilación Final del Dossier Técnico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FINAL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Tabla de Contenidos e Índice Detallado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Formato, Encuadernación y Presentación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Finalización de Protocolo de Vigilancia Post-Comercialización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Vigilancia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Procedimiento de Reporte de Eventos Adversos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 Documentado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 Presentación Ejecutiva para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de Documentos Finales por 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+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Firmados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Preparación de Archivos para Carga en Portal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 Listos en Formato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Recursos Requeridos:</w:t>
      </w:r>
      <w:r>
        <w:t xml:space="preserve"> </w:t>
      </w:r>
      <w:r>
        <w:t xml:space="preserve">Especialista regulatorio, QA, dirección</w:t>
      </w:r>
    </w:p>
    <w:p>
      <w:pPr>
        <w:pStyle w:val="BodyText"/>
      </w:pPr>
      <w:r>
        <w:rPr>
          <w:bCs/>
          <w:b/>
        </w:rPr>
        <w:t xml:space="preserve">Riesgos Semana 10:</w:t>
      </w:r>
      <w:r>
        <w:t xml:space="preserve"> </w:t>
      </w:r>
      <w:r>
        <w:t xml:space="preserve">Cambios de últimas revisiones, problemas técnicos digitales</w:t>
      </w:r>
    </w:p>
    <w:p>
      <w:r>
        <w:pict>
          <v:rect style="width:0;height:1.5pt" o:hralign="center" o:hrstd="t" o:hr="t"/>
        </w:pict>
      </w:r>
    </w:p>
    <w:bookmarkEnd w:id="47"/>
    <w:bookmarkStart w:id="48" w:name="X970579000797a15f2dea6bbe052e8d72d086726"/>
    <w:p>
      <w:pPr>
        <w:pStyle w:val="Heading3"/>
      </w:pPr>
      <w:r>
        <w:t xml:space="preserve">SEMANA 11: CAPACITACIÓN Y PREPARACIÓN FINAL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Preparación Operacional para Post-Aprobación</w:t>
      </w:r>
    </w:p>
    <w:p>
      <w:pPr>
        <w:pStyle w:val="BodyText"/>
      </w:pPr>
      <w:r>
        <w:rPr>
          <w:bCs/>
          <w:b/>
        </w:rPr>
        <w:t xml:space="preserve">Tareas: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066"/>
        <w:gridCol w:w="1827"/>
        <w:gridCol w:w="1523"/>
        <w:gridCol w:w="1675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de Personal de 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Capacitado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de Personal de Servicio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Capacitador + Ingeniero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Técnico Capacitado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Desarrollar Materiales de Entrenamiento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Escritor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 Completados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del Sistema de Reporte de Eventos Adversos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+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Entrenamiento de Equipo en Procedimiento de Retiro de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Entrenado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Desarrollar Plan de Marketing Post-Aprobación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Marketing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Final de Todos los Documentos ANTES de Radicación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 +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Completada</w:t>
            </w:r>
            <w:r>
              <w:t xml:space="preserve"> </w:t>
            </w:r>
            <w:r>
              <w:t xml:space="preserve">“</w:t>
            </w:r>
            <w:r>
              <w:t xml:space="preserve">Go/No-Go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Recursos Requeridos:</w:t>
      </w:r>
      <w:r>
        <w:t xml:space="preserve"> </w:t>
      </w:r>
      <w:r>
        <w:t xml:space="preserve">Todos los departamentos</w:t>
      </w:r>
    </w:p>
    <w:p>
      <w:pPr>
        <w:pStyle w:val="BodyText"/>
      </w:pPr>
      <w:r>
        <w:rPr>
          <w:bCs/>
          <w:b/>
        </w:rPr>
        <w:t xml:space="preserve">Riesgos Semana 11:</w:t>
      </w:r>
      <w:r>
        <w:t xml:space="preserve"> </w:t>
      </w:r>
      <w:r>
        <w:t xml:space="preserve">Hallazgos menores que requieren correcciones, inciertos en radicación</w:t>
      </w:r>
    </w:p>
    <w:p>
      <w:r>
        <w:pict>
          <v:rect style="width:0;height:1.5pt" o:hralign="center" o:hrstd="t" o:hr="t"/>
        </w:pict>
      </w:r>
    </w:p>
    <w:bookmarkEnd w:id="48"/>
    <w:bookmarkStart w:id="49" w:name="semana-12-radicación-en-invima"/>
    <w:p>
      <w:pPr>
        <w:pStyle w:val="Heading3"/>
      </w:pPr>
      <w:r>
        <w:t xml:space="preserve">SEMANA 12: RADICACIÓN EN INVIMA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Sometimiento Oficial a INVIMA</w:t>
      </w:r>
    </w:p>
    <w:p>
      <w:pPr>
        <w:pStyle w:val="BodyText"/>
      </w:pPr>
      <w:r>
        <w:rPr>
          <w:bCs/>
          <w:b/>
        </w:rPr>
        <w:t xml:space="preserve">Tareas: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066"/>
        <w:gridCol w:w="1827"/>
        <w:gridCol w:w="1523"/>
        <w:gridCol w:w="1675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en Portal INVIMA (si no hecho previamente)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+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Portal INVIMA Activa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de Documentos en Portal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Cargados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Carga (Completitud y Formato)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+ Especialista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Realización de Pago de Tasas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Comprobante de Pago Recibido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Radicación Oficial de 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Radicado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Inicial con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Acuse de Recibo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Cierre de Fase Pre-Radicación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Seguimiento a INVIMA (Semanas 13-36)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Seguimiento Documentado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Recursos Requeridos:</w:t>
      </w:r>
      <w:r>
        <w:t xml:space="preserve"> </w:t>
      </w:r>
      <w:r>
        <w:t xml:space="preserve">Dirección, IT, Finanzas, Especialista regulatorio</w:t>
      </w:r>
    </w:p>
    <w:p>
      <w:pPr>
        <w:pStyle w:val="BodyText"/>
      </w:pPr>
      <w:r>
        <w:rPr>
          <w:bCs/>
          <w:b/>
        </w:rPr>
        <w:t xml:space="preserve">Riesgos Semana 12:</w:t>
      </w:r>
      <w:r>
        <w:t xml:space="preserve"> </w:t>
      </w:r>
      <w:r>
        <w:t xml:space="preserve">Errores en carga, problemas de pago, rechazos por formato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d-presupuesto-detallado"/>
    <w:p>
      <w:pPr>
        <w:pStyle w:val="Heading2"/>
      </w:pPr>
      <w:r>
        <w:t xml:space="preserve">D) PRESUPUESTO DETALLADO</w:t>
      </w:r>
    </w:p>
    <w:bookmarkStart w:id="51" w:name="desglose-de-costos"/>
    <w:p>
      <w:pPr>
        <w:pStyle w:val="Heading3"/>
      </w:pPr>
      <w:r>
        <w:t xml:space="preserve">DESGLOSE DE COSTOS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70"/>
        <w:gridCol w:w="1284"/>
        <w:gridCol w:w="1070"/>
        <w:gridCol w:w="1712"/>
        <w:gridCol w:w="1284"/>
        <w:gridCol w:w="749"/>
        <w:gridCol w:w="7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Unitario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CERTIFICACIONES INTERNACIONALES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13485:2016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de certificación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$8,000-12,000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$8-12K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Varía por país, 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de Vigilancia (Anual)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de seguimiento 1x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$3,000-5,000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partir de año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PRUEBAS DE LABORATORIO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Eléctrica (IEC 60601)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de laboratorio acreditado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$2,000-3,500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$2-3.5K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 muestras múltiples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Compatibilidad EMC (IEC 60601-1-2)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de laboratorio acreditado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$2,500-4,000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$2.5-4K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Emisiones + Inmunidad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Biocompatibilidad (ISO 10993-5,10-11)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Citotoxicidad, irritación, sensibilización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$3,000-5,000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Múltiples ensayos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de Reiteractividad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adicionales según 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$1,000-2,000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necesidad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VALIDACIÓN CLÍNICA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Estudio Clínico - Coordinación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de estudio, personal de coordinación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$5,000-8,000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meses de actividades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Estudio Clínico - Reclutamiento 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Incentivos, seguimiento, datos clínicos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 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Varía con país, patología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Análisis Estadístico Estudio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Estadístico especializado en datos clínicos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$2,000-3,500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$2-3.5K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confirmatorio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Aprobación Comité 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Trámite ante comité de ética en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$1,000-2,000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Varía por institución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 DE CONSULTORÍA REGULATORIA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Consultor Regulatorio Senior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Liderazgo de estrategia, revisiones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$150-250/hora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$8,000-12,000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$8-12K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 horas/semana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en Software Médico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IEC 62304,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$120-200/hora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$3,000-4,000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necesidad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en Análisis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14971, trazabilidad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$120-180/hora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$1,500-2,000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$1.5-2K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periódicas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 DE TRADUCCIÓN Y DOCUMENTACIÓN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Traducción Manual de Usuario (Completo)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Traductor médico especializado español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$1,500-2,500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$1.5-2.5K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páginas de 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Traducción Resúmenes Técnicos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Resúmenes ejecutivos, data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$800-1,200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$0.8-1.2K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Varios documentos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Edición Médica (Español)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contenido técnico-médico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$1,000-1,500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$1-1.5K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Asegura calidad regulatoria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Escritura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Procedimientos, protocolos, análisis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$50-100/hora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$3,000-4,000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interna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 LEGALES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Abogado Especializado en Dispositivos Médicos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Asesoría legal regulatoria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$200-300/hora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$2,500-3,500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$2.5-3.5K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Contratos, cartas, poder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Poder Notariado y Trámites Legales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Notario, gestiones documentales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$0.5-1K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Poder ante INVIMA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Documentos Legales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Conformidad con regulaciones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$150-250/hora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$1,500-2,000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$1.5-2K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Revisor especializado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TASAS Y DERECHOS REGULATORIOS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Solicitud INVIMA (Clase IIa)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a INVIMA por registro sanitario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$800-1,500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$0.8-1.5K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 oficial INVIMA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 de Libre Venta (Solicitud)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Costos directos mínimos, puede tener arancel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$0-0.5K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país origen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COSTOS DE PRODUCCIÓN Y EMPAQUES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de Etiquetas y Empaques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Diseñador gráfico especializado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$1,500-2,500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$1.5-2.5K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Múltiples versiones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de Etiquetado e Impresión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legibilidad, resistencia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$0.5-1K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Varios formatos y materiales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Impresión de Etiquetas Iniciales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lotes iniciales de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$0.3-0.5K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por unidad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COSTOS ADMINISTRATIVOS Y GESTIÓN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Administrativa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Asistente regulatorio, coordinación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$30-50/hora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$1,500-2,500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$1.5-2.5K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Documentación, seguimiento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Costos de Envío de Documentos y Muestras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Correo, courier, 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$0.5-1K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laboratorios, INVIMA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 Gestión de Calidad (QMS)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Suscripción plataforma de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$100-300/mes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$1,500-3,600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$1.5-3.6K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DocuWare, MasterControl,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Capacitación Interna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Entrenamiento ventas, servicio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$1,000-2,000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 y horas</w:t>
            </w:r>
          </w:p>
        </w:tc>
      </w:tr>
    </w:tbl>
    <w:bookmarkEnd w:id="51"/>
    <w:bookmarkStart w:id="52" w:name="resumen-presupuestario"/>
    <w:p>
      <w:pPr>
        <w:pStyle w:val="Heading3"/>
      </w:pPr>
      <w:r>
        <w:t xml:space="preserve">RESUMEN PRESUPUESTARIO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Certificaciones Internacionales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$11-17K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Pruebas de 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$7.5-12.5K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Validación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$10-19K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Consultoría Regulatoria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$12-18K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Traducción y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$5.3-9K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 Legales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$4-6.5K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Tasas Regulatorias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$0.8-2K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Producción y Empaques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$2.3-4.5K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Administración y 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$3-8K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ESTIMADO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$73,050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$55,000-97,000 USD</w:t>
            </w:r>
          </w:p>
        </w:tc>
      </w:tr>
    </w:tbl>
    <w:bookmarkEnd w:id="52"/>
    <w:bookmarkStart w:id="53" w:name="análisis-de-sensibilidad-de-costos"/>
    <w:p>
      <w:pPr>
        <w:pStyle w:val="Heading3"/>
      </w:pPr>
      <w:r>
        <w:t xml:space="preserve">ANÁLISIS DE SENSIBILIDAD DE COSTOS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Optimista (Baja Complejidad)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(Estimado)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$73,050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Pesimista (Retrasos/Reiteración)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+33%</w:t>
            </w:r>
          </w:p>
        </w:tc>
      </w:tr>
    </w:tbl>
    <w:bookmarkEnd w:id="53"/>
    <w:bookmarkStart w:id="54" w:name="notas-sobre-presupuesto"/>
    <w:p>
      <w:pPr>
        <w:pStyle w:val="Heading3"/>
      </w:pPr>
      <w:r>
        <w:t xml:space="preserve">NOTAS SOBRE PRESUPUESTO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Valores en USD</w:t>
      </w:r>
      <w:r>
        <w:t xml:space="preserve">: Conversión a COP (aprox. 4,200 COP/USD) para referencia colombiana</w:t>
      </w:r>
    </w:p>
    <w:p>
      <w:pPr>
        <w:numPr>
          <w:ilvl w:val="1"/>
          <w:numId w:val="1065"/>
        </w:numPr>
        <w:pStyle w:val="Compact"/>
      </w:pPr>
      <w:r>
        <w:t xml:space="preserve">Base: $73,050 USD =</w:t>
      </w:r>
      <w:r>
        <w:t xml:space="preserve"> </w:t>
      </w:r>
      <w:r>
        <w:rPr>
          <w:bCs/>
          <w:b/>
        </w:rPr>
        <w:t xml:space="preserve">~$307 millones COP</w:t>
      </w:r>
    </w:p>
    <w:p>
      <w:pPr>
        <w:numPr>
          <w:ilvl w:val="1"/>
          <w:numId w:val="1065"/>
        </w:numPr>
        <w:pStyle w:val="Compact"/>
      </w:pPr>
      <w:r>
        <w:t xml:space="preserve">Rango: $55K-97K USD =</w:t>
      </w:r>
      <w:r>
        <w:t xml:space="preserve"> </w:t>
      </w:r>
      <w:r>
        <w:rPr>
          <w:bCs/>
          <w:b/>
        </w:rPr>
        <w:t xml:space="preserve">~$231-407 millones COP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Costos No Incluidos</w:t>
      </w:r>
      <w:r>
        <w:t xml:space="preserve">:</w:t>
      </w:r>
    </w:p>
    <w:p>
      <w:pPr>
        <w:numPr>
          <w:ilvl w:val="1"/>
          <w:numId w:val="1066"/>
        </w:numPr>
        <w:pStyle w:val="Compact"/>
      </w:pPr>
      <w:r>
        <w:t xml:space="preserve">Desarrollo del dispositivo (asumido completado)</w:t>
      </w:r>
    </w:p>
    <w:p>
      <w:pPr>
        <w:numPr>
          <w:ilvl w:val="1"/>
          <w:numId w:val="1066"/>
        </w:numPr>
        <w:pStyle w:val="Compact"/>
      </w:pPr>
      <w:r>
        <w:t xml:space="preserve">Infraestructura de manufactura existente</w:t>
      </w:r>
    </w:p>
    <w:p>
      <w:pPr>
        <w:numPr>
          <w:ilvl w:val="1"/>
          <w:numId w:val="1066"/>
        </w:numPr>
        <w:pStyle w:val="Compact"/>
      </w:pPr>
      <w:r>
        <w:t xml:space="preserve">Nómina permanente de personal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Costos Potencialmente Mayores</w:t>
      </w:r>
      <w:r>
        <w:t xml:space="preserve">:</w:t>
      </w:r>
    </w:p>
    <w:p>
      <w:pPr>
        <w:numPr>
          <w:ilvl w:val="1"/>
          <w:numId w:val="1067"/>
        </w:numPr>
        <w:pStyle w:val="Compact"/>
      </w:pPr>
      <w:r>
        <w:t xml:space="preserve">Retrasos en aprobación INVIMA (&gt; análisis adicional)</w:t>
      </w:r>
    </w:p>
    <w:p>
      <w:pPr>
        <w:numPr>
          <w:ilvl w:val="1"/>
          <w:numId w:val="1067"/>
        </w:numPr>
        <w:pStyle w:val="Compact"/>
      </w:pPr>
      <w:r>
        <w:t xml:space="preserve">Requerimientos de nuevas pruebas clínicas</w:t>
      </w:r>
    </w:p>
    <w:p>
      <w:pPr>
        <w:numPr>
          <w:ilvl w:val="1"/>
          <w:numId w:val="1067"/>
        </w:numPr>
        <w:pStyle w:val="Compact"/>
      </w:pPr>
      <w:r>
        <w:t xml:space="preserve">Cambios regulatorios inesperados</w:t>
      </w:r>
    </w:p>
    <w:p>
      <w:pPr>
        <w:numPr>
          <w:ilvl w:val="1"/>
          <w:numId w:val="1067"/>
        </w:numPr>
        <w:pStyle w:val="Compact"/>
      </w:pPr>
      <w:r>
        <w:t xml:space="preserve">Necesidad de rediseño post-pruebas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Ahorros Posibles</w:t>
      </w:r>
      <w:r>
        <w:t xml:space="preserve">:</w:t>
      </w:r>
    </w:p>
    <w:p>
      <w:pPr>
        <w:numPr>
          <w:ilvl w:val="1"/>
          <w:numId w:val="1068"/>
        </w:numPr>
        <w:pStyle w:val="Compact"/>
      </w:pPr>
      <w:r>
        <w:t xml:space="preserve">Reutilizar estudios clínicos previos (si existen)</w:t>
      </w:r>
    </w:p>
    <w:p>
      <w:pPr>
        <w:numPr>
          <w:ilvl w:val="1"/>
          <w:numId w:val="1068"/>
        </w:numPr>
        <w:pStyle w:val="Compact"/>
      </w:pPr>
      <w:r>
        <w:t xml:space="preserve">Certificación ISO 13485 si ya se posee</w:t>
      </w:r>
    </w:p>
    <w:p>
      <w:pPr>
        <w:numPr>
          <w:ilvl w:val="1"/>
          <w:numId w:val="1068"/>
        </w:numPr>
        <w:pStyle w:val="Compact"/>
      </w:pPr>
      <w:r>
        <w:t xml:space="preserve">Personal interno en lugar de consultores externos (menor costo, mayor tiempo)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Financiamiento</w:t>
      </w:r>
      <w:r>
        <w:t xml:space="preserve">:</w:t>
      </w:r>
    </w:p>
    <w:p>
      <w:pPr>
        <w:numPr>
          <w:ilvl w:val="1"/>
          <w:numId w:val="1069"/>
        </w:numPr>
        <w:pStyle w:val="Compact"/>
      </w:pPr>
      <w:r>
        <w:t xml:space="preserve">Presupuestar inversión desde Mes 1</w:t>
      </w:r>
    </w:p>
    <w:p>
      <w:pPr>
        <w:numPr>
          <w:ilvl w:val="1"/>
          <w:numId w:val="1069"/>
        </w:numPr>
        <w:pStyle w:val="Compact"/>
      </w:pPr>
      <w:r>
        <w:t xml:space="preserve">Distribuir gastos grandes (ISO, pruebas) entre semanas</w:t>
      </w:r>
    </w:p>
    <w:p>
      <w:pPr>
        <w:numPr>
          <w:ilvl w:val="1"/>
          <w:numId w:val="1069"/>
        </w:numPr>
        <w:pStyle w:val="Compact"/>
      </w:pPr>
      <w:r>
        <w:t xml:space="preserve">Considerar financiamiento externo o subvenciones en innovación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DOCUMENTO 2: CHECKLIST, CRONOGRAMA Y PLAN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2026-05-16T18:00:54Z</dcterms:created>
  <dcterms:modified xsi:type="dcterms:W3CDTF">2026-05-16T18:00:54Z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