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fff21eb329a65ede01accece6417081648a9f6e"/>
    <w:p>
      <w:pPr>
        <w:pStyle w:val="Heading1"/>
      </w:pPr>
      <w:r>
        <w:t xml:space="preserve">HORIZON MEDICAL — Roadmap Regulatorio Comparado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HM-REG-002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Clasificación del documento:</w:t>
      </w:r>
      <w:r>
        <w:t xml:space="preserve"> </w:t>
      </w:r>
      <w:r>
        <w:t xml:space="preserve">Confidencial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ab1779f0bfe17c5ef837e0c80287bb8e84a758f">
        <w:r>
          <w:rPr>
            <w:rStyle w:val="Hyperlink"/>
          </w:rPr>
          <w:t xml:space="preserve">Tabla Comparativa de Requisitos</w:t>
        </w:r>
      </w:hyperlink>
    </w:p>
    <w:p>
      <w:pPr>
        <w:numPr>
          <w:ilvl w:val="0"/>
          <w:numId w:val="1001"/>
        </w:numPr>
        <w:pStyle w:val="Compact"/>
      </w:pPr>
      <w:hyperlink w:anchor="Xca59a1a9d39a865b84510b8601bf4ffb5ce49c5">
        <w:r>
          <w:rPr>
            <w:rStyle w:val="Hyperlink"/>
          </w:rPr>
          <w:t xml:space="preserve">Timeline Estimado por Agencia</w:t>
        </w:r>
      </w:hyperlink>
    </w:p>
    <w:p>
      <w:pPr>
        <w:numPr>
          <w:ilvl w:val="0"/>
          <w:numId w:val="1001"/>
        </w:numPr>
        <w:pStyle w:val="Compact"/>
      </w:pPr>
      <w:hyperlink w:anchor="Xecbd458354c2d12dd22979a3b0457caa3220a24">
        <w:r>
          <w:rPr>
            <w:rStyle w:val="Hyperlink"/>
          </w:rPr>
          <w:t xml:space="preserve">Costos Aproximados por Agencia</w:t>
        </w:r>
      </w:hyperlink>
    </w:p>
    <w:p>
      <w:pPr>
        <w:numPr>
          <w:ilvl w:val="0"/>
          <w:numId w:val="1001"/>
        </w:numPr>
        <w:pStyle w:val="Compact"/>
      </w:pPr>
      <w:hyperlink w:anchor="X0b003054a4ae8c0e5cda2d898594d705b4e3139">
        <w:r>
          <w:rPr>
            <w:rStyle w:val="Hyperlink"/>
          </w:rPr>
          <w:t xml:space="preserve">Prerequisitos Antes de Someter</w:t>
        </w:r>
      </w:hyperlink>
    </w:p>
    <w:p>
      <w:pPr>
        <w:numPr>
          <w:ilvl w:val="0"/>
          <w:numId w:val="1001"/>
        </w:numPr>
        <w:pStyle w:val="Compact"/>
      </w:pPr>
      <w:hyperlink w:anchor="X863d94d0ff76b51fa72d3b88f3111c42971f62e">
        <w:r>
          <w:rPr>
            <w:rStyle w:val="Hyperlink"/>
          </w:rPr>
          <w:t xml:space="preserve">Diferencias Clave entre Jurisdicciones</w:t>
        </w:r>
      </w:hyperlink>
    </w:p>
    <w:p>
      <w:pPr>
        <w:numPr>
          <w:ilvl w:val="0"/>
          <w:numId w:val="1001"/>
        </w:numPr>
        <w:pStyle w:val="Compact"/>
      </w:pPr>
      <w:hyperlink w:anchor="X8337a253580ea04c35661e6bc2c608eb39c04ab">
        <w:r>
          <w:rPr>
            <w:rStyle w:val="Hyperlink"/>
          </w:rPr>
          <w:t xml:space="preserve">Estrategia Regulatoria Recomendada</w:t>
        </w:r>
      </w:hyperlink>
    </w:p>
    <w:p>
      <w:pPr>
        <w:numPr>
          <w:ilvl w:val="0"/>
          <w:numId w:val="1001"/>
        </w:numPr>
        <w:pStyle w:val="Compact"/>
      </w:pPr>
      <w:hyperlink w:anchor="Xc4acf9895c8dd1244d7b372b94c81a336e57215">
        <w:r>
          <w:rPr>
            <w:rStyle w:val="Hyperlink"/>
          </w:rPr>
          <w:t xml:space="preserve">Diagramas de Flujo por Agencia</w:t>
        </w:r>
      </w:hyperlink>
    </w:p>
    <w:p>
      <w:pPr>
        <w:numPr>
          <w:ilvl w:val="0"/>
          <w:numId w:val="1001"/>
        </w:numPr>
        <w:pStyle w:val="Compact"/>
      </w:pPr>
      <w:hyperlink w:anchor="Xb72d7d3af2c9e46bd7050d66c46fca231232449">
        <w:r>
          <w:rPr>
            <w:rStyle w:val="Hyperlink"/>
          </w:rPr>
          <w:t xml:space="preserve">Hitos Críticos y Dependencias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tabla-comparativa-de-requisitos"/>
    <w:p>
      <w:pPr>
        <w:pStyle w:val="Heading2"/>
      </w:pPr>
      <w:r>
        <w:t xml:space="preserve">1. Tabla Comparativa de Requisitos</w:t>
      </w:r>
    </w:p>
    <w:bookmarkStart w:id="21" w:name="requisitos-generales"/>
    <w:p>
      <w:pPr>
        <w:pStyle w:val="Heading3"/>
      </w:pPr>
      <w:r>
        <w:t xml:space="preserve">1.1 Requisitos Generales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(Colombia)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(EE.UU.)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EMA/MDR (UE)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 IIb (conservador)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Sanitario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Premarket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Marcado CE vía Organismo Notificado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QMS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 o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820 (QSR) → transición a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13485:2016 certificado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14971:2019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Evaluación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bibliográfica + datos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data / 510(k) substantial equivalence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 completo (MEDDEV 2.7/1 Rev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 (recomendado)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 + FDA Software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 (obligatorio)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IA/ML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guía específica aún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AI/ML Guidance + PCCP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Annex I + MDCG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Cybersecurity Guidance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81001-5-1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 (completo)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 (completo)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EMC/Seguridad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 + 60601-1-2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 + 60601-1-2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 + norma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Inglés, 21 CFR 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Multiidioma, MDR Annex I Ch.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requerido 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(21 CFR 830)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 (EUDAMED)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Post-market 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MDR/ADR reporting (21 CFR 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plan + PMCF + PSUR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Representante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 del registro (puede ser importador)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Agent (si fabricante extranjero)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Representative (EC REP)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Establecimiento registrado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INVIMA de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Establishment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 directamente (vía NB)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años (renovable)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Indefinida (mientras se mantenga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 (certificado NB)</w:t>
            </w:r>
          </w:p>
        </w:tc>
      </w:tr>
    </w:tbl>
    <w:bookmarkEnd w:id="21"/>
    <w:bookmarkStart w:id="22" w:name="documentación-técnica-requerida"/>
    <w:p>
      <w:pPr>
        <w:pStyle w:val="Heading3"/>
      </w:pPr>
      <w:r>
        <w:t xml:space="preserve">1.2 Documentación Técnica Requerida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MDR/CE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Intended use / Indicaciones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History File (DHF)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(Technical 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Master Record (DMR)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Verificación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(revisión biblio.)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(obligatorio)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(extenso)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Biocompatibility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EMC 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Safety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 Engineering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Labeling / IFU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(español)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(inglés)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(multiidioma)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(Software Bill of Materials)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PMCF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PSUR (Periodic Safety Update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(Clase IIb+)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imeline-estimado-por-agencia"/>
    <w:p>
      <w:pPr>
        <w:pStyle w:val="Heading2"/>
      </w:pPr>
      <w:r>
        <w:t xml:space="preserve">2. Timeline Estimado por Agencia</w:t>
      </w:r>
    </w:p>
    <w:bookmarkStart w:id="24" w:name="timeline-secuencial"/>
    <w:p>
      <w:pPr>
        <w:pStyle w:val="Heading3"/>
      </w:pPr>
      <w:r>
        <w:t xml:space="preserve">2.1 Timeline Secuencial</w:t>
      </w:r>
    </w:p>
    <w:p>
      <w:pPr>
        <w:pStyle w:val="SourceCode"/>
      </w:pPr>
      <w:r>
        <w:rPr>
          <w:rStyle w:val="VerbatimChar"/>
        </w:rPr>
        <w:t xml:space="preserve">Fase                           │ Duración Estimada</w:t>
      </w:r>
      <w:r>
        <w:br/>
      </w:r>
      <w:r>
        <w:rPr>
          <w:rStyle w:val="VerbatimChar"/>
        </w:rPr>
        <w:t xml:space="preserve">───────────────────────────────┼───────────────────</w:t>
      </w:r>
      <w:r>
        <w:br/>
      </w:r>
      <w:r>
        <w:rPr>
          <w:rStyle w:val="VerbatimChar"/>
        </w:rPr>
        <w:t xml:space="preserve">PREPARACIÓN COMÚN              │</w:t>
      </w:r>
      <w:r>
        <w:br/>
      </w:r>
      <w:r>
        <w:rPr>
          <w:rStyle w:val="VerbatimChar"/>
        </w:rPr>
        <w:t xml:space="preserve">  ISO 13485 implementación     │ 6–9 meses</w:t>
      </w:r>
      <w:r>
        <w:br/>
      </w:r>
      <w:r>
        <w:rPr>
          <w:rStyle w:val="VerbatimChar"/>
        </w:rPr>
        <w:t xml:space="preserve">  ISO 13485 certificación      │ 3–4 meses (auditoría)</w:t>
      </w:r>
      <w:r>
        <w:br/>
      </w:r>
      <w:r>
        <w:rPr>
          <w:rStyle w:val="VerbatimChar"/>
        </w:rPr>
        <w:t xml:space="preserve">  Testing (EMC, Safety, Bio)   │ 4–6 meses</w:t>
      </w:r>
      <w:r>
        <w:br/>
      </w:r>
      <w:r>
        <w:rPr>
          <w:rStyle w:val="VerbatimChar"/>
        </w:rPr>
        <w:t xml:space="preserve">  Software V&amp;V completa        │ 3–4 meses</w:t>
      </w:r>
      <w:r>
        <w:br/>
      </w:r>
      <w:r>
        <w:rPr>
          <w:rStyle w:val="VerbatimChar"/>
        </w:rPr>
        <w:t xml:space="preserve">  Risk Management File         │ 2–3 meses</w:t>
      </w:r>
      <w:r>
        <w:br/>
      </w:r>
      <w:r>
        <w:rPr>
          <w:rStyle w:val="VerbatimChar"/>
        </w:rPr>
        <w:t xml:space="preserve">  Clinical data compilation    │ 3–6 meses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SUBTOTAL PREPARACIÓN           │ 12–18 meses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───────────────────────────────┼───────────────────</w:t>
      </w:r>
      <w:r>
        <w:br/>
      </w:r>
      <w:r>
        <w:rPr>
          <w:rStyle w:val="VerbatimChar"/>
        </w:rPr>
        <w:t xml:space="preserve">FDA 510(k)                     │</w:t>
      </w:r>
      <w:r>
        <w:br/>
      </w:r>
      <w:r>
        <w:rPr>
          <w:rStyle w:val="VerbatimChar"/>
        </w:rPr>
        <w:t xml:space="preserve">  Preparación de 510(k)        │ 3–4 meses</w:t>
      </w:r>
      <w:r>
        <w:br/>
      </w:r>
      <w:r>
        <w:rPr>
          <w:rStyle w:val="VerbatimChar"/>
        </w:rPr>
        <w:t xml:space="preserve">  Pre-submission (Q-Sub)       │ 2–3 meses (opcional pero recomendado)</w:t>
      </w:r>
      <w:r>
        <w:br/>
      </w:r>
      <w:r>
        <w:rPr>
          <w:rStyle w:val="VerbatimChar"/>
        </w:rPr>
        <w:t xml:space="preserve">  Revisión FDA                 │ 3–6 meses (90 días MDUFA + AI)</w:t>
      </w:r>
      <w:r>
        <w:br/>
      </w:r>
      <w:r>
        <w:rPr>
          <w:rStyle w:val="VerbatimChar"/>
        </w:rPr>
        <w:t xml:space="preserve">  Respuesta a deficiencias     │ 1–3 meses (si aplica)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SUBTOTAL FDA                   │ 6–12 meses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───────────────────────────────┼───────────────────</w:t>
      </w:r>
      <w:r>
        <w:br/>
      </w:r>
      <w:r>
        <w:rPr>
          <w:rStyle w:val="VerbatimChar"/>
        </w:rPr>
        <w:t xml:space="preserve">EMA/MDR (CE)                   │</w:t>
      </w:r>
      <w:r>
        <w:br/>
      </w:r>
      <w:r>
        <w:rPr>
          <w:rStyle w:val="VerbatimChar"/>
        </w:rPr>
        <w:t xml:space="preserve">  CER + Technical Documentation│ 4–6 meses</w:t>
      </w:r>
      <w:r>
        <w:br/>
      </w:r>
      <w:r>
        <w:rPr>
          <w:rStyle w:val="VerbatimChar"/>
        </w:rPr>
        <w:t xml:space="preserve">  Selección Organismo Notific. │ 1–2 meses</w:t>
      </w:r>
      <w:r>
        <w:br/>
      </w:r>
      <w:r>
        <w:rPr>
          <w:rStyle w:val="VerbatimChar"/>
        </w:rPr>
        <w:t xml:space="preserve">  Auditoría NB (QMS + TD)      │ 6–12 meses (backlog de NBs)</w:t>
      </w:r>
      <w:r>
        <w:br/>
      </w:r>
      <w:r>
        <w:rPr>
          <w:rStyle w:val="VerbatimChar"/>
        </w:rPr>
        <w:t xml:space="preserve">  Respuesta a observaciones    │ 2–4 meses</w:t>
      </w:r>
      <w:r>
        <w:br/>
      </w:r>
      <w:r>
        <w:rPr>
          <w:rStyle w:val="VerbatimChar"/>
        </w:rPr>
        <w:t xml:space="preserve">  Certificado CE emitido       │ 1–2 meses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SUBTOTAL MDR                   │ 12–24 meses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───────────────────────────────┼───────────────────</w:t>
      </w:r>
      <w:r>
        <w:br/>
      </w:r>
      <w:r>
        <w:rPr>
          <w:rStyle w:val="VerbatimChar"/>
        </w:rPr>
        <w:t xml:space="preserve">INVIMA                         │</w:t>
      </w:r>
      <w:r>
        <w:br/>
      </w:r>
      <w:r>
        <w:rPr>
          <w:rStyle w:val="VerbatimChar"/>
        </w:rPr>
        <w:t xml:space="preserve">  Preparación del dossier      │ 2–3 meses</w:t>
      </w:r>
      <w:r>
        <w:br/>
      </w:r>
      <w:r>
        <w:rPr>
          <w:rStyle w:val="VerbatimChar"/>
        </w:rPr>
        <w:t xml:space="preserve">  Sometimiento                 │ 1 mes</w:t>
      </w:r>
      <w:r>
        <w:br/>
      </w:r>
      <w:r>
        <w:rPr>
          <w:rStyle w:val="VerbatimChar"/>
        </w:rPr>
        <w:t xml:space="preserve">  Revisión INVIMA              │ 3–6 meses</w:t>
      </w:r>
      <w:r>
        <w:br/>
      </w:r>
      <w:r>
        <w:rPr>
          <w:rStyle w:val="VerbatimChar"/>
        </w:rPr>
        <w:t xml:space="preserve">  Respuesta a requerimientos   │ 1–3 meses</w:t>
      </w:r>
      <w:r>
        <w:br/>
      </w:r>
      <w:r>
        <w:rPr>
          <w:rStyle w:val="VerbatimChar"/>
        </w:rPr>
        <w:t xml:space="preserve">  Emisión Registro Sanitario   │ 1–2 meses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SUBTOTAL INVIMA                │ 6–12 meses</w:t>
      </w:r>
    </w:p>
    <w:bookmarkEnd w:id="24"/>
    <w:bookmarkStart w:id="25" w:name="timeline-en-paralelo-recomendado"/>
    <w:p>
      <w:pPr>
        <w:pStyle w:val="Heading3"/>
      </w:pPr>
      <w:r>
        <w:t xml:space="preserve">2.2 Timeline en Paralelo (Recomendado)</w:t>
      </w:r>
    </w:p>
    <w:p>
      <w:pPr>
        <w:pStyle w:val="SourceCode"/>
      </w:pPr>
      <w:r>
        <w:rPr>
          <w:rStyle w:val="VerbatimChar"/>
        </w:rPr>
        <w:t xml:space="preserve">Mes:  1  2  3  4  5  6  7  8  9  10 11 12 13 14 15 16 17 18 19 20 21 22 23 24</w:t>
      </w:r>
      <w:r>
        <w:br/>
      </w:r>
      <w:r>
        <w:rPr>
          <w:rStyle w:val="VerbatimChar"/>
        </w:rPr>
        <w:t xml:space="preserve">      │  │  │  │  │  │  │  │  │  │  │  │  │  │  │  │  │  │  │  │  │  │  │  │</w:t>
      </w:r>
      <w:r>
        <w:br/>
      </w:r>
      <w:r>
        <w:rPr>
          <w:rStyle w:val="VerbatimChar"/>
        </w:rPr>
        <w:t xml:space="preserve">QMS   ████████████████████████████</w:t>
      </w:r>
      <w:r>
        <w:br/>
      </w:r>
      <w:r>
        <w:rPr>
          <w:rStyle w:val="VerbatimChar"/>
        </w:rPr>
        <w:t xml:space="preserve">      ISO 13485 Implementación + Certificación</w:t>
      </w:r>
      <w:r>
        <w:br/>
      </w:r>
      <w:r>
        <w:rPr>
          <w:rStyle w:val="VerbatimChar"/>
        </w:rPr>
        <w:t xml:space="preserve">      │  │  │  │  │  │  │  │  │  │  │  │  │  │  │  │  │  │  │  │  │  │  │  │</w:t>
      </w:r>
      <w:r>
        <w:br/>
      </w:r>
      <w:r>
        <w:rPr>
          <w:rStyle w:val="VerbatimChar"/>
        </w:rPr>
        <w:t xml:space="preserve">TEST  │  │  ██████████████████│  │  │  │  │  │  │  │  │  │  │  │  │  │  │  │</w:t>
      </w:r>
      <w:r>
        <w:br/>
      </w:r>
      <w:r>
        <w:rPr>
          <w:rStyle w:val="VerbatimChar"/>
        </w:rPr>
        <w:t xml:space="preserve">      EMC, Safety, Bio, V&amp;V  │  │  │  │  │  │  │  │  │  │  │  │  │  │  │  │</w:t>
      </w:r>
      <w:r>
        <w:br/>
      </w:r>
      <w:r>
        <w:rPr>
          <w:rStyle w:val="VerbatimChar"/>
        </w:rPr>
        <w:t xml:space="preserve">      │  │  │  │  │  │  │  │  │  │  │  │  │  │  │  │  │  │  │  │  │  │  │  │</w:t>
      </w:r>
      <w:r>
        <w:br/>
      </w:r>
      <w:r>
        <w:rPr>
          <w:rStyle w:val="VerbatimChar"/>
        </w:rPr>
        <w:t xml:space="preserve">FDA   │  │  │  │  │  │  │  ██████████████████████████│  │  │  │  │  │  │  │</w:t>
      </w:r>
      <w:r>
        <w:br/>
      </w:r>
      <w:r>
        <w:rPr>
          <w:rStyle w:val="VerbatimChar"/>
        </w:rPr>
        <w:t xml:space="preserve">      │  │  │  │  │  │  │  Q-Sub + 510(k) Prep + Review  │  │  │  │  │  │  │</w:t>
      </w:r>
      <w:r>
        <w:br/>
      </w:r>
      <w:r>
        <w:rPr>
          <w:rStyle w:val="VerbatimChar"/>
        </w:rPr>
        <w:t xml:space="preserve">      │  │  │  │  │  │  │  │  │  │  │  │  │  │  │  │  │  │  │  │  │  │  │  │</w:t>
      </w:r>
      <w:r>
        <w:br/>
      </w:r>
      <w:r>
        <w:rPr>
          <w:rStyle w:val="VerbatimChar"/>
        </w:rPr>
        <w:t xml:space="preserve">MDR   │  │  │  │  │  │  │  │  │  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│  │  │  │  │  │  │  │  │  CER + TD + NB Audit + Certificación       │</w:t>
      </w:r>
      <w:r>
        <w:br/>
      </w:r>
      <w:r>
        <w:rPr>
          <w:rStyle w:val="VerbatimChar"/>
        </w:rPr>
        <w:t xml:space="preserve">      │  │  │  │  │  │  │  │  │  │  │  │  │  │  │  │  │  │  │  │  │  │  │  │</w:t>
      </w:r>
      <w:r>
        <w:br/>
      </w:r>
      <w:r>
        <w:rPr>
          <w:rStyle w:val="VerbatimChar"/>
        </w:rPr>
        <w:t xml:space="preserve">INV   │  │  │  │  │  │  │  │  │  │  │  │  │  │  │  ██████████████████│  │  │</w:t>
      </w:r>
      <w:r>
        <w:br/>
      </w:r>
      <w:r>
        <w:rPr>
          <w:rStyle w:val="VerbatimChar"/>
        </w:rPr>
        <w:t xml:space="preserve">      │  │  │  │  │  │  │  │  │  │  │  │  │  │  │  Dossier + Revisión INVIMA</w:t>
      </w:r>
    </w:p>
    <w:bookmarkEnd w:id="25"/>
    <w:bookmarkStart w:id="26" w:name="resumen-de-tiempos"/>
    <w:p>
      <w:pPr>
        <w:pStyle w:val="Heading3"/>
      </w:pPr>
      <w:r>
        <w:t xml:space="preserve">2.3 Resumen de Tiempos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(en paralelo)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común (QMS +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12–18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510(k)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18–20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EMA/MDR CE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22–34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INVIMA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22–28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(en paralelo)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22–34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costos-aproximados-por-agencia"/>
    <w:p>
      <w:pPr>
        <w:pStyle w:val="Heading2"/>
      </w:pPr>
      <w:r>
        <w:t xml:space="preserve">3. Costos Aproximados por Agencia</w:t>
      </w:r>
    </w:p>
    <w:bookmarkStart w:id="28" w:name="desglose-de-costos"/>
    <w:p>
      <w:pPr>
        <w:pStyle w:val="Heading3"/>
      </w:pPr>
      <w:r>
        <w:t xml:space="preserve">3.1 Desglose de Costos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EMA/MDR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Tasas regulatorias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$3,000–5,000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$21,760 (510(k) fee 2026, small business: ~$5,440)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 (tasa de NB, no de agencia)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Certificación 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(QSR)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EMC/Safety (laboratorio)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$15,000–30,000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Biocompatibilidad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V&amp;V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Consultoría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$30,000–80,000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$40,000–100,000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Organismo Notificado (auditoría + certificado)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$30,000–60,000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Evaluation / datos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$20,000–50,000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Traducción y localización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UDI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$1,000–3,000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Agent / EC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$2,000–5,000/año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Establishment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$6,493/año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Post-market (anual, primer 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$2,000–5,000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$5,000–10,000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$10,000–20,000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$67,000–135,000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$127,000–263,000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$181,000–393,000</w:t>
            </w:r>
          </w:p>
        </w:tc>
      </w:tr>
    </w:tbl>
    <w:bookmarkEnd w:id="28"/>
    <w:bookmarkStart w:id="29" w:name="costo-total-estimado-tres-jurisdicciones"/>
    <w:p>
      <w:pPr>
        <w:pStyle w:val="Heading3"/>
      </w:pPr>
      <w:r>
        <w:t xml:space="preserve">3.2 Costo Total Estimado (Tres Jurisdicciones)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Total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Optimista (sinergias, small business)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$300,000–400,000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$400,000–600,000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 (con estudios clínicos adicionales)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$600,000–800,000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Muchos costos son compartidos entre jurisdicciones (testing, ISO 13485, V&amp;V). El costo incremental de cada jurisdicción adicional es menor que el costo individual.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rerequisitos-antes-de-someter"/>
    <w:p>
      <w:pPr>
        <w:pStyle w:val="Heading2"/>
      </w:pPr>
      <w:r>
        <w:t xml:space="preserve">4. Prerequisitos Antes de Someter</w:t>
      </w:r>
    </w:p>
    <w:bookmarkStart w:id="31" w:name="Xcf4fdce9897903cda8c6d79a2924094cda8d234"/>
    <w:p>
      <w:pPr>
        <w:pStyle w:val="Heading3"/>
      </w:pPr>
      <w:r>
        <w:t xml:space="preserve">4.1 Prerequisitos Universales (Todas las Agencias)</w:t>
      </w:r>
    </w:p>
    <w:p>
      <w:pPr>
        <w:numPr>
          <w:ilvl w:val="0"/>
          <w:numId w:val="1002"/>
        </w:numPr>
        <w:pStyle w:val="Compact"/>
      </w:pPr>
      <w:r>
        <w:t xml:space="preserve">☐ Sistema de Gestión de Calidad (QMS) ISO 13485:2016 implementado y documentado</w:t>
      </w:r>
    </w:p>
    <w:p>
      <w:pPr>
        <w:numPr>
          <w:ilvl w:val="0"/>
          <w:numId w:val="1002"/>
        </w:numPr>
        <w:pStyle w:val="Compact"/>
      </w:pPr>
      <w:r>
        <w:t xml:space="preserve">☐ ISO 13485 certificado por organismo acreditado (requerido para MDR; recomendado para FDA/INVIMA)</w:t>
      </w:r>
    </w:p>
    <w:p>
      <w:pPr>
        <w:numPr>
          <w:ilvl w:val="0"/>
          <w:numId w:val="1002"/>
        </w:numPr>
        <w:pStyle w:val="Compact"/>
      </w:pPr>
      <w:r>
        <w:t xml:space="preserve">☐ Risk Management File completo según ISO 14971:2019</w:t>
      </w:r>
    </w:p>
    <w:p>
      <w:pPr>
        <w:numPr>
          <w:ilvl w:val="0"/>
          <w:numId w:val="1002"/>
        </w:numPr>
        <w:pStyle w:val="Compact"/>
      </w:pPr>
      <w:r>
        <w:t xml:space="preserve">☐ Design History File (DHF) completo</w:t>
      </w:r>
    </w:p>
    <w:p>
      <w:pPr>
        <w:numPr>
          <w:ilvl w:val="0"/>
          <w:numId w:val="1002"/>
        </w:numPr>
        <w:pStyle w:val="Compact"/>
      </w:pPr>
      <w:r>
        <w:t xml:space="preserve">☐ Device Master Record (DMR) establecido</w:t>
      </w:r>
    </w:p>
    <w:p>
      <w:pPr>
        <w:numPr>
          <w:ilvl w:val="0"/>
          <w:numId w:val="1002"/>
        </w:numPr>
        <w:pStyle w:val="Compact"/>
      </w:pPr>
      <w:r>
        <w:t xml:space="preserve">☐ Verificación y Validación (V&amp;V) de hardware completada</w:t>
      </w:r>
    </w:p>
    <w:p>
      <w:pPr>
        <w:numPr>
          <w:ilvl w:val="0"/>
          <w:numId w:val="1002"/>
        </w:numPr>
        <w:pStyle w:val="Compact"/>
      </w:pPr>
      <w:r>
        <w:t xml:space="preserve">☐ Software V&amp;V completada según IEC 62304</w:t>
      </w:r>
    </w:p>
    <w:p>
      <w:pPr>
        <w:numPr>
          <w:ilvl w:val="0"/>
          <w:numId w:val="1002"/>
        </w:numPr>
        <w:pStyle w:val="Compact"/>
      </w:pPr>
      <w:r>
        <w:t xml:space="preserve">☐ Testing de EMC según IEC 60601-1-2 completado (reporte de laboratorio acreditado)</w:t>
      </w:r>
    </w:p>
    <w:p>
      <w:pPr>
        <w:numPr>
          <w:ilvl w:val="0"/>
          <w:numId w:val="1002"/>
        </w:numPr>
        <w:pStyle w:val="Compact"/>
      </w:pPr>
      <w:r>
        <w:t xml:space="preserve">☐ Testing de seguridad eléctrica según IEC 60601-1 completado</w:t>
      </w:r>
    </w:p>
    <w:p>
      <w:pPr>
        <w:numPr>
          <w:ilvl w:val="0"/>
          <w:numId w:val="1002"/>
        </w:numPr>
        <w:pStyle w:val="Compact"/>
      </w:pPr>
      <w:r>
        <w:t xml:space="preserve">☐ Testing de seguridad de batería según IEC 62133-2 completado</w:t>
      </w:r>
    </w:p>
    <w:p>
      <w:pPr>
        <w:numPr>
          <w:ilvl w:val="0"/>
          <w:numId w:val="1002"/>
        </w:numPr>
        <w:pStyle w:val="Compact"/>
      </w:pPr>
      <w:r>
        <w:t xml:space="preserve">☐ Biocompatibilidad evaluada según ISO 10993 (al menos citotoxicidad y sensibilización)</w:t>
      </w:r>
    </w:p>
    <w:p>
      <w:pPr>
        <w:numPr>
          <w:ilvl w:val="0"/>
          <w:numId w:val="1002"/>
        </w:numPr>
        <w:pStyle w:val="Compact"/>
      </w:pPr>
      <w:r>
        <w:t xml:space="preserve">☐ Etiquetado (IFU) redactado en idiomas requeridos</w:t>
      </w:r>
    </w:p>
    <w:p>
      <w:pPr>
        <w:numPr>
          <w:ilvl w:val="0"/>
          <w:numId w:val="1002"/>
        </w:numPr>
        <w:pStyle w:val="Compact"/>
      </w:pPr>
      <w:r>
        <w:t xml:space="preserve">☐ Declaración de conformidad con normas aplicables</w:t>
      </w:r>
    </w:p>
    <w:bookmarkEnd w:id="31"/>
    <w:bookmarkStart w:id="32" w:name="prerequisitos-específicos-por-agencia"/>
    <w:p>
      <w:pPr>
        <w:pStyle w:val="Heading3"/>
      </w:pPr>
      <w:r>
        <w:t xml:space="preserve">4.2 Prerequisitos Específicos por Agencia</w:t>
      </w:r>
    </w:p>
    <w:p>
      <w:pPr>
        <w:pStyle w:val="FirstParagraph"/>
      </w:pPr>
      <w:r>
        <w:rPr>
          <w:bCs/>
          <w:b/>
        </w:rPr>
        <w:t xml:space="preserve">INVIMA:</w:t>
      </w:r>
      <w:r>
        <w:t xml:space="preserve"> </w:t>
      </w:r>
      <w:r>
        <w:t xml:space="preserve">- [ ] Certificado de libre venta del país de origen (o declaración del fabricante)</w:t>
      </w:r>
      <w:r>
        <w:t xml:space="preserve"> </w:t>
      </w:r>
      <w:r>
        <w:t xml:space="preserve">- [ ] Poder/autorización del fabricante al titular del registro</w:t>
      </w:r>
      <w:r>
        <w:t xml:space="preserve"> </w:t>
      </w:r>
      <w:r>
        <w:t xml:space="preserve">- [ ] Certificado ISO 13485 (o certificado BPM equivalente)</w:t>
      </w:r>
      <w:r>
        <w:t xml:space="preserve"> </w:t>
      </w:r>
      <w:r>
        <w:t xml:space="preserve">- [ ] Documentación traducida al español</w:t>
      </w:r>
    </w:p>
    <w:p>
      <w:pPr>
        <w:pStyle w:val="BodyText"/>
      </w:pPr>
      <w:r>
        <w:rPr>
          <w:bCs/>
          <w:b/>
        </w:rPr>
        <w:t xml:space="preserve">FDA:</w:t>
      </w:r>
      <w:r>
        <w:t xml:space="preserve"> </w:t>
      </w:r>
      <w:r>
        <w:t xml:space="preserve">- [ ] US Agent designado (si fabricante fuera de EE.UU.)</w:t>
      </w:r>
      <w:r>
        <w:t xml:space="preserve"> </w:t>
      </w:r>
      <w:r>
        <w:t xml:space="preserve">- [ ] FDA Establishment Registration completada</w:t>
      </w:r>
      <w:r>
        <w:t xml:space="preserve"> </w:t>
      </w:r>
      <w:r>
        <w:t xml:space="preserve">- [ ] Device Listing en FDA completada</w:t>
      </w:r>
      <w:r>
        <w:t xml:space="preserve"> </w:t>
      </w:r>
      <w:r>
        <w:t xml:space="preserve">- [ ] Substantial equivalence analysis con predicado identificado</w:t>
      </w:r>
      <w:r>
        <w:t xml:space="preserve"> </w:t>
      </w:r>
      <w:r>
        <w:t xml:space="preserve">- [ ] Cybersecurity documentation según FDA Guidance 2023</w:t>
      </w:r>
      <w:r>
        <w:t xml:space="preserve"> </w:t>
      </w:r>
      <w:r>
        <w:t xml:space="preserve">- [ ] AI/ML documentation según FDA Guidance</w:t>
      </w:r>
      <w:r>
        <w:t xml:space="preserve"> </w:t>
      </w:r>
      <w:r>
        <w:t xml:space="preserve">- [ ] SBOM (Software Bill of Materials) preparado</w:t>
      </w:r>
      <w:r>
        <w:t xml:space="preserve"> </w:t>
      </w:r>
      <w:r>
        <w:t xml:space="preserve">- [ ] Pre-Submission (Q-Sub) completada (recomendado)</w:t>
      </w:r>
    </w:p>
    <w:p>
      <w:pPr>
        <w:pStyle w:val="BodyText"/>
      </w:pPr>
      <w:r>
        <w:rPr>
          <w:bCs/>
          <w:b/>
        </w:rPr>
        <w:t xml:space="preserve">EMA/MDR:</w:t>
      </w:r>
      <w:r>
        <w:t xml:space="preserve"> </w:t>
      </w:r>
      <w:r>
        <w:t xml:space="preserve">- [ ] EC REP (Authorized Representative) designado en la UE</w:t>
      </w:r>
      <w:r>
        <w:t xml:space="preserve"> </w:t>
      </w:r>
      <w:r>
        <w:t xml:space="preserve">- [ ] Organismo Notificado seleccionado y contrato firmado</w:t>
      </w:r>
      <w:r>
        <w:t xml:space="preserve"> </w:t>
      </w:r>
      <w:r>
        <w:t xml:space="preserve">- [ ] Technical Documentation completa según MDR Annex II/III</w:t>
      </w:r>
      <w:r>
        <w:t xml:space="preserve"> </w:t>
      </w:r>
      <w:r>
        <w:t xml:space="preserve">- [ ] Clinical Evaluation Report (CER) según MEDDEV 2.7/1 Rev 4</w:t>
      </w:r>
      <w:r>
        <w:t xml:space="preserve"> </w:t>
      </w:r>
      <w:r>
        <w:t xml:space="preserve">- [ ] PMCF Plan redactado</w:t>
      </w:r>
      <w:r>
        <w:t xml:space="preserve"> </w:t>
      </w:r>
      <w:r>
        <w:t xml:space="preserve">- [ ] PMS Plan redactado</w:t>
      </w:r>
      <w:r>
        <w:t xml:space="preserve"> </w:t>
      </w:r>
      <w:r>
        <w:t xml:space="preserve">- [ ] UDI-DI asignado y registrado en EUDAMED</w:t>
      </w:r>
      <w:r>
        <w:t xml:space="preserve"> </w:t>
      </w:r>
      <w:r>
        <w:t xml:space="preserve">- [ ] Declaración de Conformidad UE redactada</w:t>
      </w:r>
      <w:r>
        <w:t xml:space="preserve"> </w:t>
      </w:r>
      <w:r>
        <w:t xml:space="preserve">- [ ] Etiquetado conforme a MDR Annex I, Capítulo III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iferencias-clave-entre-jurisdicciones"/>
    <w:p>
      <w:pPr>
        <w:pStyle w:val="Heading2"/>
      </w:pPr>
      <w:r>
        <w:t xml:space="preserve">5. Diferencias Clave entre Jurisdicciones</w:t>
      </w:r>
    </w:p>
    <w:bookmarkStart w:id="34" w:name="diferencias-fundamentales"/>
    <w:p>
      <w:pPr>
        <w:pStyle w:val="Heading3"/>
      </w:pPr>
      <w:r>
        <w:t xml:space="preserve">5.1 Diferencias Fundamentales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EMA/MDR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Filosofía 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basado en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Premarket review (seguridad y eficacia)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Conformity assessment (cumplimiento de requisitos esenciales)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Quién revisa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directamente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directamente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Organismo Notificado (tercero)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Mínima (bibliografía)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 (equivalencia + datos)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Extensiva (CER + PMCF)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Tecnovigilancia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MDR/ADR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PMS + PMCF + PSUR (muy extenso)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Software/IA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guía específica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detalladas (PCCP, SaMD)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MDCG guidance + Regla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Ciberseguridad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extensos (FDA Guidance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81001-5-1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10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 (perpetuo)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5 años (certificado NB)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Multiidioma (según países de venta)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Complejidad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bookmarkEnd w:id="34"/>
    <w:bookmarkStart w:id="35" w:name="X122927842d8a07fdae5fb8641ef447746d6fb25"/>
    <w:p>
      <w:pPr>
        <w:pStyle w:val="Heading3"/>
      </w:pPr>
      <w:r>
        <w:t xml:space="preserve">5.2 Diferencias en Clasificación de Software/IA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como dispositivo médico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regulado específicamente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SaMD framework + AI/ML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11 MDR + MDCG 2019-11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vs. Adaptive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PCCP para adaptive; locked =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requieren evaluación 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 entrenamiento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extensiva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extensiva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PCCP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evaluación como cambio significativo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estrategia-regulatoria-recomendada"/>
    <w:p>
      <w:pPr>
        <w:pStyle w:val="Heading2"/>
      </w:pPr>
      <w:r>
        <w:t xml:space="preserve">6. Estrategia Regulatoria Recomendada</w:t>
      </w:r>
    </w:p>
    <w:bookmarkStart w:id="37" w:name="orden-de-sometimiento-recomendado"/>
    <w:p>
      <w:pPr>
        <w:pStyle w:val="Heading3"/>
      </w:pPr>
      <w:r>
        <w:t xml:space="preserve">6.1 Orden de Sometimiento Recomendado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ESTRATEGIA RECOMENDADA: FDA PRIMERO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1º  FDA 510(k)     ← Prioridad #1                        │</w:t>
      </w:r>
      <w:r>
        <w:br/>
      </w:r>
      <w:r>
        <w:rPr>
          <w:rStyle w:val="VerbatimChar"/>
        </w:rPr>
        <w:t xml:space="preserve">│      • Mayor mercado (revenue)                              │</w:t>
      </w:r>
      <w:r>
        <w:br/>
      </w:r>
      <w:r>
        <w:rPr>
          <w:rStyle w:val="VerbatimChar"/>
        </w:rPr>
        <w:t xml:space="preserve">│      • Proceso más predecible (90 días + AI)                │</w:t>
      </w:r>
      <w:r>
        <w:br/>
      </w:r>
      <w:r>
        <w:rPr>
          <w:rStyle w:val="VerbatimChar"/>
        </w:rPr>
        <w:t xml:space="preserve">│      • 510(k) clearance facilita otras jurisdicciones       │</w:t>
      </w:r>
      <w:r>
        <w:br/>
      </w:r>
      <w:r>
        <w:rPr>
          <w:rStyle w:val="VerbatimChar"/>
        </w:rPr>
        <w:t xml:space="preserve">│      • Pre-Sub da feedback temprano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2º  INVIMA          ← Prioridad #2 (en paralelo con MDR) │</w:t>
      </w:r>
      <w:r>
        <w:br/>
      </w:r>
      <w:r>
        <w:rPr>
          <w:rStyle w:val="VerbatimChar"/>
        </w:rPr>
        <w:t xml:space="preserve">│      • Mercado local (Colombia)                             │</w:t>
      </w:r>
      <w:r>
        <w:br/>
      </w:r>
      <w:r>
        <w:rPr>
          <w:rStyle w:val="VerbatimChar"/>
        </w:rPr>
        <w:t xml:space="preserve">│      • Proceso más sencillo                                 │</w:t>
      </w:r>
      <w:r>
        <w:br/>
      </w:r>
      <w:r>
        <w:rPr>
          <w:rStyle w:val="VerbatimChar"/>
        </w:rPr>
        <w:t xml:space="preserve">│      • FDA clearance como referencia fortalece el dossier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3º  EMA/MDR CE     ← Prioridad #3                        │</w:t>
      </w:r>
      <w:r>
        <w:br/>
      </w:r>
      <w:r>
        <w:rPr>
          <w:rStyle w:val="VerbatimChar"/>
        </w:rPr>
        <w:t xml:space="preserve">│      • Proceso más largo y complejo                         │</w:t>
      </w:r>
      <w:r>
        <w:br/>
      </w:r>
      <w:r>
        <w:rPr>
          <w:rStyle w:val="VerbatimChar"/>
        </w:rPr>
        <w:t xml:space="preserve">│      • Backlog de Organismos Notificados                    │</w:t>
      </w:r>
      <w:r>
        <w:br/>
      </w:r>
      <w:r>
        <w:rPr>
          <w:rStyle w:val="VerbatimChar"/>
        </w:rPr>
        <w:t xml:space="preserve">│      • Requiere evidencia clínica más extensa               │</w:t>
      </w:r>
      <w:r>
        <w:br/>
      </w:r>
      <w:r>
        <w:rPr>
          <w:rStyle w:val="VerbatimChar"/>
        </w:rPr>
        <w:t xml:space="preserve">│      • Iniciar selección de NB temprano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justificación-de-la-estrategia"/>
    <w:p>
      <w:pPr>
        <w:pStyle w:val="Heading3"/>
      </w:pPr>
      <w:r>
        <w:t xml:space="preserve">6.2 Justificación de la Estrategia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FDA primero</w:t>
      </w:r>
      <w:r>
        <w:t xml:space="preserve"> </w:t>
      </w:r>
      <w:r>
        <w:t xml:space="preserve">porque:</w:t>
      </w:r>
    </w:p>
    <w:p>
      <w:pPr>
        <w:numPr>
          <w:ilvl w:val="1"/>
          <w:numId w:val="1004"/>
        </w:numPr>
        <w:pStyle w:val="Compact"/>
      </w:pPr>
      <w:r>
        <w:t xml:space="preserve">La 510(k) clearance es una referencia reconocida mundialmente</w:t>
      </w:r>
    </w:p>
    <w:p>
      <w:pPr>
        <w:numPr>
          <w:ilvl w:val="1"/>
          <w:numId w:val="1004"/>
        </w:numPr>
        <w:pStyle w:val="Compact"/>
      </w:pPr>
      <w:r>
        <w:t xml:space="preserve">El proceso Pre-Submission permite obtener feedback regulatorio temprano sobre la clasificación de IA</w:t>
      </w:r>
    </w:p>
    <w:p>
      <w:pPr>
        <w:numPr>
          <w:ilvl w:val="1"/>
          <w:numId w:val="1004"/>
        </w:numPr>
        <w:pStyle w:val="Compact"/>
      </w:pPr>
      <w:r>
        <w:t xml:space="preserve">El timeline es más predecible que MDR</w:t>
      </w:r>
    </w:p>
    <w:p>
      <w:pPr>
        <w:numPr>
          <w:ilvl w:val="1"/>
          <w:numId w:val="1004"/>
        </w:numPr>
        <w:pStyle w:val="Compact"/>
      </w:pPr>
      <w:r>
        <w:t xml:space="preserve">El mercado estadounidense genera ingresos que financian las demás aprobaciones</w:t>
      </w:r>
    </w:p>
    <w:p>
      <w:pPr>
        <w:numPr>
          <w:ilvl w:val="1"/>
          <w:numId w:val="1004"/>
        </w:numPr>
        <w:pStyle w:val="Compact"/>
      </w:pPr>
      <w:r>
        <w:t xml:space="preserve">La documentación de FDA se reutiliza significativamente para MDR e INVIMA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INVIMA en paralelo con MDR</w:t>
      </w:r>
      <w:r>
        <w:t xml:space="preserve"> </w:t>
      </w:r>
      <w:r>
        <w:t xml:space="preserve">porque:</w:t>
      </w:r>
    </w:p>
    <w:p>
      <w:pPr>
        <w:numPr>
          <w:ilvl w:val="1"/>
          <w:numId w:val="1005"/>
        </w:numPr>
        <w:pStyle w:val="Compact"/>
      </w:pPr>
      <w:r>
        <w:t xml:space="preserve">El dossier INVIMA se puede preparar con la documentación de FDA</w:t>
      </w:r>
    </w:p>
    <w:p>
      <w:pPr>
        <w:numPr>
          <w:ilvl w:val="1"/>
          <w:numId w:val="1005"/>
        </w:numPr>
        <w:pStyle w:val="Compact"/>
      </w:pPr>
      <w:r>
        <w:t xml:space="preserve">El proceso INVIMA es relativamente rápido</w:t>
      </w:r>
    </w:p>
    <w:p>
      <w:pPr>
        <w:numPr>
          <w:ilvl w:val="1"/>
          <w:numId w:val="1005"/>
        </w:numPr>
        <w:pStyle w:val="Compact"/>
      </w:pPr>
      <w:r>
        <w:t xml:space="preserve">Permite comercializar en Colombia mientras se espera CE Mark</w:t>
      </w:r>
    </w:p>
    <w:p>
      <w:pPr>
        <w:numPr>
          <w:ilvl w:val="1"/>
          <w:numId w:val="1005"/>
        </w:numPr>
        <w:pStyle w:val="Compact"/>
      </w:pPr>
      <w:r>
        <w:t xml:space="preserve">La FDA clearance fortalece significativamente el dossier INVIMA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MDR como proceso continuo</w:t>
      </w:r>
      <w:r>
        <w:t xml:space="preserve"> </w:t>
      </w:r>
      <w:r>
        <w:t xml:space="preserve">porque:</w:t>
      </w:r>
    </w:p>
    <w:p>
      <w:pPr>
        <w:numPr>
          <w:ilvl w:val="1"/>
          <w:numId w:val="1006"/>
        </w:numPr>
        <w:pStyle w:val="Compact"/>
      </w:pPr>
      <w:r>
        <w:t xml:space="preserve">Es el proceso más largo (12–24 meses después de la preparación)</w:t>
      </w:r>
    </w:p>
    <w:p>
      <w:pPr>
        <w:numPr>
          <w:ilvl w:val="1"/>
          <w:numId w:val="1006"/>
        </w:numPr>
        <w:pStyle w:val="Compact"/>
      </w:pPr>
      <w:r>
        <w:t xml:space="preserve">La selección de NB debe iniciarse lo antes posible (backlog)</w:t>
      </w:r>
    </w:p>
    <w:p>
      <w:pPr>
        <w:numPr>
          <w:ilvl w:val="1"/>
          <w:numId w:val="1006"/>
        </w:numPr>
        <w:pStyle w:val="Compact"/>
      </w:pPr>
      <w:r>
        <w:t xml:space="preserve">El CER requiere tiempo de preparación significativo</w:t>
      </w:r>
    </w:p>
    <w:p>
      <w:pPr>
        <w:numPr>
          <w:ilvl w:val="1"/>
          <w:numId w:val="1006"/>
        </w:numPr>
        <w:pStyle w:val="Compact"/>
      </w:pPr>
      <w:r>
        <w:t xml:space="preserve">Se puede ir avanzando con el NB mientras se obtienen las demás aprobaciones</w:t>
      </w:r>
    </w:p>
    <w:bookmarkEnd w:id="38"/>
    <w:bookmarkStart w:id="39" w:name="sinergias-entre-jurisdicciones"/>
    <w:p>
      <w:pPr>
        <w:pStyle w:val="Heading3"/>
      </w:pPr>
      <w:r>
        <w:t xml:space="preserve">6.3 Sinergias entre Jurisdicciones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Creado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Reutilizable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 File (ISO 14971)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(documento 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Documentation (IEC 62304)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(documento 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EMC Test Reports (IEC 60601-1-2)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(mismo reporte)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Biocompatibility (ISO 10993)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(mismo reporte)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(como base para Technical Documentation)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510(k)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(como referencia), MDR (equivalencia)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(CER), INVIMA (soporte)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(adaptado)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(adaptado a IEC 81001-5-1)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diagramas-de-flujo-por-agencia"/>
    <w:p>
      <w:pPr>
        <w:pStyle w:val="Heading2"/>
      </w:pPr>
      <w:r>
        <w:t xml:space="preserve">7. Diagramas de Flujo por Agencia</w:t>
      </w:r>
    </w:p>
    <w:bookmarkStart w:id="41" w:name="flujo-fda-510k"/>
    <w:p>
      <w:pPr>
        <w:pStyle w:val="Heading3"/>
      </w:pPr>
      <w:r>
        <w:t xml:space="preserve">7.1 Flujo FDA 510(k)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Identificar     │</w:t>
      </w:r>
      <w:r>
        <w:br/>
      </w:r>
      <w:r>
        <w:rPr>
          <w:rStyle w:val="VerbatimChar"/>
        </w:rPr>
        <w:t xml:space="preserve">│  Predicado 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Pre-Submission   │────▶│ Meeting con FDA  │</w:t>
      </w:r>
      <w:r>
        <w:br/>
      </w:r>
      <w:r>
        <w:rPr>
          <w:rStyle w:val="VerbatimChar"/>
        </w:rPr>
        <w:t xml:space="preserve">│ (Q-Sub) opcional │     │ Feedback         │</w:t>
      </w:r>
      <w:r>
        <w:br/>
      </w:r>
      <w:r>
        <w:rPr>
          <w:rStyle w:val="VerbatimChar"/>
        </w:rPr>
        <w:t xml:space="preserve">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 │                       │</w:t>
      </w:r>
      <w:r>
        <w:br/>
      </w:r>
      <w:r>
        <w:rPr>
          <w:rStyle w:val="VerbatimChar"/>
        </w:rPr>
        <w:t xml:space="preserve">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Preparar 510(k) Submission       │</w:t>
      </w:r>
      <w:r>
        <w:br/>
      </w:r>
      <w:r>
        <w:rPr>
          <w:rStyle w:val="VerbatimChar"/>
        </w:rPr>
        <w:t xml:space="preserve">│  • Device description                   │</w:t>
      </w:r>
      <w:r>
        <w:br/>
      </w:r>
      <w:r>
        <w:rPr>
          <w:rStyle w:val="VerbatimChar"/>
        </w:rPr>
        <w:t xml:space="preserve">│  • Substantial equivalence              │</w:t>
      </w:r>
      <w:r>
        <w:br/>
      </w:r>
      <w:r>
        <w:rPr>
          <w:rStyle w:val="VerbatimChar"/>
        </w:rPr>
        <w:t xml:space="preserve">│  • Performance testing                  │</w:t>
      </w:r>
      <w:r>
        <w:br/>
      </w:r>
      <w:r>
        <w:rPr>
          <w:rStyle w:val="VerbatimChar"/>
        </w:rPr>
        <w:t xml:space="preserve">│  • Software documentation               │</w:t>
      </w:r>
      <w:r>
        <w:br/>
      </w:r>
      <w:r>
        <w:rPr>
          <w:rStyle w:val="VerbatimChar"/>
        </w:rPr>
        <w:t xml:space="preserve">│  • AI/ML documentation                  │</w:t>
      </w:r>
      <w:r>
        <w:br/>
      </w:r>
      <w:r>
        <w:rPr>
          <w:rStyle w:val="VerbatimChar"/>
        </w:rPr>
        <w:t xml:space="preserve">│  • Cybersecurity                        │</w:t>
      </w:r>
      <w:r>
        <w:br/>
      </w:r>
      <w:r>
        <w:rPr>
          <w:rStyle w:val="VerbatimChar"/>
        </w:rPr>
        <w:t xml:space="preserve">│  • Biocompatibility                     │</w:t>
      </w:r>
      <w:r>
        <w:br/>
      </w:r>
      <w:r>
        <w:rPr>
          <w:rStyle w:val="VerbatimChar"/>
        </w:rPr>
        <w:t xml:space="preserve">│  • EMC/Safety testing                   │</w:t>
      </w:r>
      <w:r>
        <w:br/>
      </w:r>
      <w:r>
        <w:rPr>
          <w:rStyle w:val="VerbatimChar"/>
        </w:rPr>
        <w:t xml:space="preserve">│  • Labeling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 Submit a FDA    │</w:t>
      </w:r>
      <w:r>
        <w:br/>
      </w:r>
      <w:r>
        <w:rPr>
          <w:rStyle w:val="VerbatimChar"/>
        </w:rPr>
        <w:t xml:space="preserve">          │  vía eSTAR       │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Acceptance Review│──── Refuse to Accept ──▶ Corregir y resubmit</w:t>
      </w:r>
      <w:r>
        <w:br/>
      </w:r>
      <w:r>
        <w:rPr>
          <w:rStyle w:val="VerbatimChar"/>
        </w:rPr>
        <w:t xml:space="preserve">          │ (15 días)        │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│ Accepted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Substantive      │</w:t>
      </w:r>
      <w:r>
        <w:br/>
      </w:r>
      <w:r>
        <w:rPr>
          <w:rStyle w:val="VerbatimChar"/>
        </w:rPr>
        <w:t xml:space="preserve">          │ Review (90 días) │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┌────┴─────┐</w:t>
      </w:r>
      <w:r>
        <w:br/>
      </w:r>
      <w:r>
        <w:rPr>
          <w:rStyle w:val="VerbatimChar"/>
        </w:rPr>
        <w:t xml:space="preserve">              ▼          ▼</w:t>
      </w:r>
      <w:r>
        <w:br/>
      </w:r>
      <w:r>
        <w:rPr>
          <w:rStyle w:val="VerbatimChar"/>
        </w:rPr>
        <w:t xml:space="preserve">     ┌──────────┐  ┌──────────────┐</w:t>
      </w:r>
      <w:r>
        <w:br/>
      </w:r>
      <w:r>
        <w:rPr>
          <w:rStyle w:val="VerbatimChar"/>
        </w:rPr>
        <w:t xml:space="preserve">     │ Clearance│  │ Additional   │</w:t>
      </w:r>
      <w:r>
        <w:br/>
      </w:r>
      <w:r>
        <w:rPr>
          <w:rStyle w:val="VerbatimChar"/>
        </w:rPr>
        <w:t xml:space="preserve">     │ (SE/NSE) │  │ Information  │</w:t>
      </w:r>
      <w:r>
        <w:br/>
      </w:r>
      <w:r>
        <w:rPr>
          <w:rStyle w:val="VerbatimChar"/>
        </w:rPr>
        <w:t xml:space="preserve">     └──────────┘  │ Request (AI) │</w:t>
      </w:r>
      <w:r>
        <w:br/>
      </w:r>
      <w:r>
        <w:rPr>
          <w:rStyle w:val="VerbatimChar"/>
        </w:rPr>
        <w:t xml:space="preserve">                   └──────┬───────┘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┌──────────┐</w:t>
      </w:r>
      <w:r>
        <w:br/>
      </w:r>
      <w:r>
        <w:rPr>
          <w:rStyle w:val="VerbatimChar"/>
        </w:rPr>
        <w:t xml:space="preserve">                   │ Responder │</w:t>
      </w:r>
      <w:r>
        <w:br/>
      </w:r>
      <w:r>
        <w:rPr>
          <w:rStyle w:val="VerbatimChar"/>
        </w:rPr>
        <w:t xml:space="preserve">                   │ y esperar │</w:t>
      </w:r>
      <w:r>
        <w:br/>
      </w:r>
      <w:r>
        <w:rPr>
          <w:rStyle w:val="VerbatimChar"/>
        </w:rPr>
        <w:t xml:space="preserve">                   └──────┬───┘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┌────┴────┐</w:t>
      </w:r>
      <w:r>
        <w:br/>
      </w:r>
      <w:r>
        <w:rPr>
          <w:rStyle w:val="VerbatimChar"/>
        </w:rPr>
        <w:t xml:space="preserve">                     ▼         ▼</w:t>
      </w:r>
      <w:r>
        <w:br/>
      </w:r>
      <w:r>
        <w:rPr>
          <w:rStyle w:val="VerbatimChar"/>
        </w:rPr>
        <w:t xml:space="preserve">              ┌──────────┐ ┌────────┐</w:t>
      </w:r>
      <w:r>
        <w:br/>
      </w:r>
      <w:r>
        <w:rPr>
          <w:rStyle w:val="VerbatimChar"/>
        </w:rPr>
        <w:t xml:space="preserve">              │ Clearance│ │  NSE   │</w:t>
      </w:r>
      <w:r>
        <w:br/>
      </w:r>
      <w:r>
        <w:rPr>
          <w:rStyle w:val="VerbatimChar"/>
        </w:rPr>
        <w:t xml:space="preserve">              └──────────┘ │(denied)│</w:t>
      </w:r>
      <w:r>
        <w:br/>
      </w:r>
      <w:r>
        <w:rPr>
          <w:rStyle w:val="VerbatimChar"/>
        </w:rPr>
        <w:t xml:space="preserve">                           └────────┘</w:t>
      </w:r>
    </w:p>
    <w:bookmarkEnd w:id="41"/>
    <w:bookmarkStart w:id="42" w:name="flujo-emamdr-ce-marking"/>
    <w:p>
      <w:pPr>
        <w:pStyle w:val="Heading3"/>
      </w:pPr>
      <w:r>
        <w:t xml:space="preserve">7.2 Flujo EMA/MDR CE Marking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Seleccionar Org.     │</w:t>
      </w:r>
      <w:r>
        <w:br/>
      </w:r>
      <w:r>
        <w:rPr>
          <w:rStyle w:val="VerbatimChar"/>
        </w:rPr>
        <w:t xml:space="preserve">│ Notificado (NB)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Contrato con NB      │</w:t>
      </w:r>
      <w:r>
        <w:br/>
      </w:r>
      <w:r>
        <w:rPr>
          <w:rStyle w:val="VerbatimChar"/>
        </w:rPr>
        <w:t xml:space="preserve">│ + Application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Preparar Technical Documentation   │</w:t>
      </w:r>
      <w:r>
        <w:br/>
      </w:r>
      <w:r>
        <w:rPr>
          <w:rStyle w:val="VerbatimChar"/>
        </w:rPr>
        <w:t xml:space="preserve">│   (MDR Annex II + III)               │</w:t>
      </w:r>
      <w:r>
        <w:br/>
      </w:r>
      <w:r>
        <w:rPr>
          <w:rStyle w:val="VerbatimChar"/>
        </w:rPr>
        <w:t xml:space="preserve">│   • Device description               │</w:t>
      </w:r>
      <w:r>
        <w:br/>
      </w:r>
      <w:r>
        <w:rPr>
          <w:rStyle w:val="VerbatimChar"/>
        </w:rPr>
        <w:t xml:space="preserve">│   • Risk management                  │</w:t>
      </w:r>
      <w:r>
        <w:br/>
      </w:r>
      <w:r>
        <w:rPr>
          <w:rStyle w:val="VerbatimChar"/>
        </w:rPr>
        <w:t xml:space="preserve">│   • V&amp;V + Clinical evaluation (CER)  │</w:t>
      </w:r>
      <w:r>
        <w:br/>
      </w:r>
      <w:r>
        <w:rPr>
          <w:rStyle w:val="VerbatimChar"/>
        </w:rPr>
        <w:t xml:space="preserve">│   • Software + AI documentation      │</w:t>
      </w:r>
      <w:r>
        <w:br/>
      </w:r>
      <w:r>
        <w:rPr>
          <w:rStyle w:val="VerbatimChar"/>
        </w:rPr>
        <w:t xml:space="preserve">│   • Post-market surveillance plan    │</w:t>
      </w:r>
      <w:r>
        <w:br/>
      </w:r>
      <w:r>
        <w:rPr>
          <w:rStyle w:val="VerbatimChar"/>
        </w:rPr>
        <w:t xml:space="preserve">│   • PMCF plan                        │</w:t>
      </w:r>
      <w:r>
        <w:br/>
      </w:r>
      <w:r>
        <w:rPr>
          <w:rStyle w:val="VerbatimChar"/>
        </w:rPr>
        <w:t xml:space="preserve">│   • Labeling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┌─────────────────┐</w:t>
      </w:r>
      <w:r>
        <w:br/>
      </w:r>
      <w:r>
        <w:rPr>
          <w:rStyle w:val="VerbatimChar"/>
        </w:rPr>
        <w:t xml:space="preserve">        │ Submit TD to NB  │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┌─────────────────┐</w:t>
      </w:r>
      <w:r>
        <w:br/>
      </w:r>
      <w:r>
        <w:rPr>
          <w:rStyle w:val="VerbatimChar"/>
        </w:rPr>
        <w:t xml:space="preserve">        │ NB Document      │</w:t>
      </w:r>
      <w:r>
        <w:br/>
      </w:r>
      <w:r>
        <w:rPr>
          <w:rStyle w:val="VerbatimChar"/>
        </w:rPr>
        <w:t xml:space="preserve">        │ Review           │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┌────┴─────┐</w:t>
      </w:r>
      <w:r>
        <w:br/>
      </w:r>
      <w:r>
        <w:rPr>
          <w:rStyle w:val="VerbatimChar"/>
        </w:rPr>
        <w:t xml:space="preserve">            ▼          ▼</w:t>
      </w:r>
      <w:r>
        <w:br/>
      </w:r>
      <w:r>
        <w:rPr>
          <w:rStyle w:val="VerbatimChar"/>
        </w:rPr>
        <w:t xml:space="preserve">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│ Observations │  │ QMS Audit    │</w:t>
      </w:r>
      <w:r>
        <w:br/>
      </w:r>
      <w:r>
        <w:rPr>
          <w:rStyle w:val="VerbatimChar"/>
        </w:rPr>
        <w:t xml:space="preserve">   │ → Responder  │  │ (on-site)    │</w:t>
      </w:r>
      <w:r>
        <w:br/>
      </w:r>
      <w:r>
        <w:rPr>
          <w:rStyle w:val="VerbatimChar"/>
        </w:rPr>
        <w:t xml:space="preserve"> 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└────────┬────────┘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┌─────────────────┐</w:t>
      </w:r>
      <w:r>
        <w:br/>
      </w:r>
      <w:r>
        <w:rPr>
          <w:rStyle w:val="VerbatimChar"/>
        </w:rPr>
        <w:t xml:space="preserve">        │ NB Final         │</w:t>
      </w:r>
      <w:r>
        <w:br/>
      </w:r>
      <w:r>
        <w:rPr>
          <w:rStyle w:val="VerbatimChar"/>
        </w:rPr>
        <w:t xml:space="preserve">        │ Assessment       │</w:t>
      </w:r>
      <w:r>
        <w:br/>
      </w:r>
      <w:r>
        <w:rPr>
          <w:rStyle w:val="VerbatimChar"/>
        </w:rPr>
        <w:t xml:space="preserve">        └────────┬────────┘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┌────┴─────┐</w:t>
      </w:r>
      <w:r>
        <w:br/>
      </w:r>
      <w:r>
        <w:rPr>
          <w:rStyle w:val="VerbatimChar"/>
        </w:rPr>
        <w:t xml:space="preserve">            ▼          ▼</w:t>
      </w:r>
      <w:r>
        <w:br/>
      </w:r>
      <w:r>
        <w:rPr>
          <w:rStyle w:val="VerbatimChar"/>
        </w:rPr>
        <w:t xml:space="preserve"> 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│ CE Certificate│  │ Major NC     │</w:t>
      </w:r>
      <w:r>
        <w:br/>
      </w:r>
      <w:r>
        <w:rPr>
          <w:rStyle w:val="VerbatimChar"/>
        </w:rPr>
        <w:t xml:space="preserve">   │ Emitido       │  │ → Corregir   │</w:t>
      </w:r>
      <w:r>
        <w:br/>
      </w:r>
      <w:r>
        <w:rPr>
          <w:rStyle w:val="VerbatimChar"/>
        </w:rPr>
        <w:t xml:space="preserve">   └──────┬───────┘  └──────────────┘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Declaración   │</w:t>
      </w:r>
      <w:r>
        <w:br/>
      </w:r>
      <w:r>
        <w:rPr>
          <w:rStyle w:val="VerbatimChar"/>
        </w:rPr>
        <w:t xml:space="preserve">   │ de Conformidad│</w:t>
      </w:r>
      <w:r>
        <w:br/>
      </w:r>
      <w:r>
        <w:rPr>
          <w:rStyle w:val="VerbatimChar"/>
        </w:rPr>
        <w:t xml:space="preserve">   │ + CE Marking  │</w:t>
      </w:r>
      <w:r>
        <w:br/>
      </w:r>
      <w:r>
        <w:rPr>
          <w:rStyle w:val="VerbatimChar"/>
        </w:rPr>
        <w:t xml:space="preserve">   └──────┬───────┘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EUDAMED       │</w:t>
      </w:r>
      <w:r>
        <w:br/>
      </w:r>
      <w:r>
        <w:rPr>
          <w:rStyle w:val="VerbatimChar"/>
        </w:rPr>
        <w:t xml:space="preserve">   │ Registration  │</w:t>
      </w:r>
      <w:r>
        <w:br/>
      </w:r>
      <w:r>
        <w:rPr>
          <w:rStyle w:val="VerbatimChar"/>
        </w:rPr>
        <w:t xml:space="preserve">   └──────────────┘</w:t>
      </w:r>
    </w:p>
    <w:bookmarkEnd w:id="42"/>
    <w:bookmarkStart w:id="43" w:name="flujo-invima-registro-sanitario"/>
    <w:p>
      <w:pPr>
        <w:pStyle w:val="Heading3"/>
      </w:pPr>
      <w:r>
        <w:t xml:space="preserve">7.3 Flujo INVIMA Registro Sanitario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Designar Titular     │</w:t>
      </w:r>
      <w:r>
        <w:br/>
      </w:r>
      <w:r>
        <w:rPr>
          <w:rStyle w:val="VerbatimChar"/>
        </w:rPr>
        <w:t xml:space="preserve">│ del Registro  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Preparar Dossier               │</w:t>
      </w:r>
      <w:r>
        <w:br/>
      </w:r>
      <w:r>
        <w:rPr>
          <w:rStyle w:val="VerbatimChar"/>
        </w:rPr>
        <w:t xml:space="preserve">│  • Formulario de solicitud      │</w:t>
      </w:r>
      <w:r>
        <w:br/>
      </w:r>
      <w:r>
        <w:rPr>
          <w:rStyle w:val="VerbatimChar"/>
        </w:rPr>
        <w:t xml:space="preserve">│  • Certificado de libre venta   │</w:t>
      </w:r>
      <w:r>
        <w:br/>
      </w:r>
      <w:r>
        <w:rPr>
          <w:rStyle w:val="VerbatimChar"/>
        </w:rPr>
        <w:t xml:space="preserve">│  • Poder del fabricante         │</w:t>
      </w:r>
      <w:r>
        <w:br/>
      </w:r>
      <w:r>
        <w:rPr>
          <w:rStyle w:val="VerbatimChar"/>
        </w:rPr>
        <w:t xml:space="preserve">│  • Documentación técnica        │</w:t>
      </w:r>
      <w:r>
        <w:br/>
      </w:r>
      <w:r>
        <w:rPr>
          <w:rStyle w:val="VerbatimChar"/>
        </w:rPr>
        <w:t xml:space="preserve">│  • ISO 13485 / BPM              │</w:t>
      </w:r>
      <w:r>
        <w:br/>
      </w:r>
      <w:r>
        <w:rPr>
          <w:rStyle w:val="VerbatimChar"/>
        </w:rPr>
        <w:t xml:space="preserve">│  • Etiquetado en español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Radicar solicitud    │</w:t>
      </w:r>
      <w:r>
        <w:br/>
      </w:r>
      <w:r>
        <w:rPr>
          <w:rStyle w:val="VerbatimChar"/>
        </w:rPr>
        <w:t xml:space="preserve">    │ ante INVIMA     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Evaluación documental│</w:t>
      </w:r>
      <w:r>
        <w:br/>
      </w:r>
      <w:r>
        <w:rPr>
          <w:rStyle w:val="VerbatimChar"/>
        </w:rPr>
        <w:t xml:space="preserve">    │ INVIMA (30–90 días)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┌────┴─────┐</w:t>
      </w:r>
      <w:r>
        <w:br/>
      </w:r>
      <w:r>
        <w:rPr>
          <w:rStyle w:val="VerbatimChar"/>
        </w:rPr>
        <w:t xml:space="preserve">          ▼          ▼</w:t>
      </w:r>
      <w:r>
        <w:br/>
      </w:r>
      <w:r>
        <w:rPr>
          <w:rStyle w:val="VerbatimChar"/>
        </w:rPr>
        <w:t xml:space="preserve">  ┌──────────────┐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│ Aprobado      │  │ Requerimiento    │</w:t>
      </w:r>
      <w:r>
        <w:br/>
      </w:r>
      <w:r>
        <w:rPr>
          <w:rStyle w:val="VerbatimChar"/>
        </w:rPr>
        <w:t xml:space="preserve">  │               │  │ de información   │</w:t>
      </w:r>
      <w:r>
        <w:br/>
      </w:r>
      <w:r>
        <w:rPr>
          <w:rStyle w:val="VerbatimChar"/>
        </w:rPr>
        <w:t xml:space="preserve">  └──────┬───────┘  └──────┬───────────┘</w:t>
      </w:r>
      <w:r>
        <w:br/>
      </w:r>
      <w:r>
        <w:rPr>
          <w:rStyle w:val="VerbatimChar"/>
        </w:rPr>
        <w:t xml:space="preserve">         │                 │</w:t>
      </w:r>
      <w:r>
        <w:br/>
      </w:r>
      <w:r>
        <w:rPr>
          <w:rStyle w:val="VerbatimChar"/>
        </w:rPr>
        <w:t xml:space="preserve">         │                 ▼</w:t>
      </w:r>
      <w:r>
        <w:br/>
      </w:r>
      <w:r>
        <w:rPr>
          <w:rStyle w:val="VerbatimChar"/>
        </w:rPr>
        <w:t xml:space="preserve">         │         ┌──────────────────┐</w:t>
      </w:r>
      <w:r>
        <w:br/>
      </w:r>
      <w:r>
        <w:rPr>
          <w:rStyle w:val="VerbatimChar"/>
        </w:rPr>
        <w:t xml:space="preserve">         │         │ Responder en     │</w:t>
      </w:r>
      <w:r>
        <w:br/>
      </w:r>
      <w:r>
        <w:rPr>
          <w:rStyle w:val="VerbatimChar"/>
        </w:rPr>
        <w:t xml:space="preserve">         │         │ plazo (30 días)  │</w:t>
      </w:r>
      <w:r>
        <w:br/>
      </w:r>
      <w:r>
        <w:rPr>
          <w:rStyle w:val="VerbatimChar"/>
        </w:rPr>
        <w:t xml:space="preserve">         │         └──────┬───────────┘</w:t>
      </w:r>
      <w:r>
        <w:br/>
      </w:r>
      <w:r>
        <w:rPr>
          <w:rStyle w:val="VerbatimChar"/>
        </w:rPr>
        <w:t xml:space="preserve">         │                │</w:t>
      </w:r>
      <w:r>
        <w:br/>
      </w:r>
      <w:r>
        <w:rPr>
          <w:rStyle w:val="VerbatimChar"/>
        </w:rPr>
        <w:t xml:space="preserve">         └────────┬───────┘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┌─────────────────────┐</w:t>
      </w:r>
      <w:r>
        <w:br/>
      </w:r>
      <w:r>
        <w:rPr>
          <w:rStyle w:val="VerbatimChar"/>
        </w:rPr>
        <w:t xml:space="preserve">       │ Emisión Registro     │</w:t>
      </w:r>
      <w:r>
        <w:br/>
      </w:r>
      <w:r>
        <w:rPr>
          <w:rStyle w:val="VerbatimChar"/>
        </w:rPr>
        <w:t xml:space="preserve">       │ Sanitario            │</w:t>
      </w:r>
      <w:r>
        <w:br/>
      </w:r>
      <w:r>
        <w:rPr>
          <w:rStyle w:val="VerbatimChar"/>
        </w:rPr>
        <w:t xml:space="preserve">       │ (vigencia 10 años)   │</w:t>
      </w:r>
      <w:r>
        <w:br/>
      </w:r>
      <w:r>
        <w:rPr>
          <w:rStyle w:val="VerbatimChar"/>
        </w:rPr>
        <w:t xml:space="preserve">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hitos-críticos-y-dependencias"/>
    <w:p>
      <w:pPr>
        <w:pStyle w:val="Heading2"/>
      </w:pPr>
      <w:r>
        <w:t xml:space="preserve">8. Hitos Críticos y Dependencias</w:t>
      </w:r>
    </w:p>
    <w:bookmarkStart w:id="45" w:name="diagrama-de-dependencias"/>
    <w:p>
      <w:pPr>
        <w:pStyle w:val="Heading3"/>
      </w:pPr>
      <w:r>
        <w:t xml:space="preserve">8.1 Diagrama de Dependencias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MAPA DE DEPENDENCIAS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[ISO 13485 Cert] ──────┬──────────────────────────────────────┐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    │                │                                      │   │</w:t>
      </w:r>
      <w:r>
        <w:br/>
      </w:r>
      <w:r>
        <w:rPr>
          <w:rStyle w:val="VerbatimChar"/>
        </w:rPr>
        <w:t xml:space="preserve">│         ▼                ▼                                      ▼   │</w:t>
      </w:r>
      <w:r>
        <w:br/>
      </w:r>
      <w:r>
        <w:rPr>
          <w:rStyle w:val="VerbatimChar"/>
        </w:rPr>
        <w:t xml:space="preserve">│  [Risk Mgmt File] [EMC/Safety Tests] [Biocompat Tests]  [NB Audit] │</w:t>
      </w:r>
      <w:r>
        <w:br/>
      </w:r>
      <w:r>
        <w:rPr>
          <w:rStyle w:val="VerbatimChar"/>
        </w:rPr>
        <w:t xml:space="preserve">│         │                │                   │                  │   │</w:t>
      </w:r>
      <w:r>
        <w:br/>
      </w:r>
      <w:r>
        <w:rPr>
          <w:rStyle w:val="VerbatimChar"/>
        </w:rPr>
        <w:t xml:space="preserve">│         └────────┬───────┘                   │                  │   │</w:t>
      </w:r>
      <w:r>
        <w:br/>
      </w:r>
      <w:r>
        <w:rPr>
          <w:rStyle w:val="VerbatimChar"/>
        </w:rPr>
        <w:t xml:space="preserve">│                  ▼                            │                  │   │</w:t>
      </w:r>
      <w:r>
        <w:br/>
      </w:r>
      <w:r>
        <w:rPr>
          <w:rStyle w:val="VerbatimChar"/>
        </w:rPr>
        <w:t xml:space="preserve">│          [Software V&amp;V] ◄────────────────────┘                  │   │</w:t>
      </w:r>
      <w:r>
        <w:br/>
      </w:r>
      <w:r>
        <w:rPr>
          <w:rStyle w:val="VerbatimChar"/>
        </w:rPr>
        <w:t xml:space="preserve">│                  │                                               │   │</w:t>
      </w:r>
      <w:r>
        <w:br/>
      </w:r>
      <w:r>
        <w:rPr>
          <w:rStyle w:val="VerbatimChar"/>
        </w:rPr>
        <w:t xml:space="preserve">│         ┌───────┴───────┐                                       │   │</w:t>
      </w:r>
      <w:r>
        <w:br/>
      </w:r>
      <w:r>
        <w:rPr>
          <w:rStyle w:val="VerbatimChar"/>
        </w:rPr>
        <w:t xml:space="preserve">│         ▼               ▼                                       │   │</w:t>
      </w:r>
      <w:r>
        <w:br/>
      </w:r>
      <w:r>
        <w:rPr>
          <w:rStyle w:val="VerbatimChar"/>
        </w:rPr>
        <w:t xml:space="preserve">│  [510(k) Submit]  [CER + Tech Doc] ────────────────────▶ [NB Review]│</w:t>
      </w:r>
      <w:r>
        <w:br/>
      </w:r>
      <w:r>
        <w:rPr>
          <w:rStyle w:val="VerbatimChar"/>
        </w:rPr>
        <w:t xml:space="preserve">│         │               │                                       │   │</w:t>
      </w:r>
      <w:r>
        <w:br/>
      </w:r>
      <w:r>
        <w:rPr>
          <w:rStyle w:val="VerbatimChar"/>
        </w:rPr>
        <w:t xml:space="preserve">│         ▼               │                                       │   │</w:t>
      </w:r>
      <w:r>
        <w:br/>
      </w:r>
      <w:r>
        <w:rPr>
          <w:rStyle w:val="VerbatimChar"/>
        </w:rPr>
        <w:t xml:space="preserve">│  [FDA Clearance]        │                                       │   │</w:t>
      </w:r>
      <w:r>
        <w:br/>
      </w:r>
      <w:r>
        <w:rPr>
          <w:rStyle w:val="VerbatimChar"/>
        </w:rPr>
        <w:t xml:space="preserve">│         │               │                                       │   │</w:t>
      </w:r>
      <w:r>
        <w:br/>
      </w:r>
      <w:r>
        <w:rPr>
          <w:rStyle w:val="VerbatimChar"/>
        </w:rPr>
        <w:t xml:space="preserve">│         ├───────────────┤                                       │   │</w:t>
      </w:r>
      <w:r>
        <w:br/>
      </w:r>
      <w:r>
        <w:rPr>
          <w:rStyle w:val="VerbatimChar"/>
        </w:rPr>
        <w:t xml:space="preserve">│         ▼               ▼                                       ▼   │</w:t>
      </w:r>
      <w:r>
        <w:br/>
      </w:r>
      <w:r>
        <w:rPr>
          <w:rStyle w:val="VerbatimChar"/>
        </w:rPr>
        <w:t xml:space="preserve">│  [INVIMA Dossier] [CE Certificate]                              │   │</w:t>
      </w:r>
      <w:r>
        <w:br/>
      </w:r>
      <w:r>
        <w:rPr>
          <w:rStyle w:val="VerbatimChar"/>
        </w:rPr>
        <w:t xml:space="preserve">│         │               │                                       │   │</w:t>
      </w:r>
      <w:r>
        <w:br/>
      </w:r>
      <w:r>
        <w:rPr>
          <w:rStyle w:val="VerbatimChar"/>
        </w:rPr>
        <w:t xml:space="preserve">│         ▼               ▼                                       │   │</w:t>
      </w:r>
      <w:r>
        <w:br/>
      </w:r>
      <w:r>
        <w:rPr>
          <w:rStyle w:val="VerbatimChar"/>
        </w:rPr>
        <w:t xml:space="preserve">│  [Registro INVIMA] [EU Market Entry]                            │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hitos-críticos-milestones"/>
    <w:p>
      <w:pPr>
        <w:pStyle w:val="Heading3"/>
      </w:pPr>
      <w:r>
        <w:t xml:space="preserve">8.2 Hitos Críticos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Objetivo*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 ISO 13485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 certificación obtenida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EMC/Safety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 testing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V&amp;V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M1, código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File 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M3, M4, 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AI/ML documentation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datos de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Pre-Submission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510(k) submission a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M3, M4, M5, M6,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seleccionado y contrato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M5, datos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 enviada a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M2, M6, M7, 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510(k)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dossier sometido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 (opcional), M2, 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Certificate emitido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M12, auditoría 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22–28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Registro Sanitario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22–24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</w:tbl>
    <w:p>
      <w:pPr>
        <w:pStyle w:val="BodyText"/>
      </w:pPr>
      <w:r>
        <w:rPr>
          <w:iCs/>
          <w:i/>
        </w:rPr>
        <w:t xml:space="preserve">* Los meses son relativos al inicio del programa regulatorio.</w:t>
      </w:r>
    </w:p>
    <w:bookmarkEnd w:id="46"/>
    <w:bookmarkStart w:id="47" w:name="riesgos-del-roadmap"/>
    <w:p>
      <w:pPr>
        <w:pStyle w:val="Heading3"/>
      </w:pPr>
      <w:r>
        <w:t xml:space="preserve">8.3 Riesgos del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 de Organismos Notificados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6–12 meses en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selección de NB desde Mes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Additional Information Request por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2–4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Pre-Submission meeting; documentación IA robusta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en testing 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Baja-Media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2–3 meses + rediseño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preliminar temprano; diseño para EMC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regulatorios IA (FDA/MDR)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+ re-documentación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 de guidance; enfoque conservador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clínicos insuficientes para 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6–12 meses (estudio clínico)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Equivalencia con predicados + literatura robusta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ISO 13485 rechazada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3–6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temprano; consultoría QMS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documento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es parte del expediente regulatorio del sistema Horizon Medical.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2026-05-16T17:08:43Z</dcterms:created>
  <dcterms:modified xsi:type="dcterms:W3CDTF">2026-05-16T17:08:43Z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