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41dd5a9bfd6b8161836c7d924e7e64dc46fadf6"/>
    <w:p>
      <w:pPr>
        <w:pStyle w:val="Heading1"/>
      </w:pPr>
      <w:r>
        <w:t xml:space="preserve">HORIZON MEDICAL — Requisitos FDA (Estados Unidos)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HM-REG-004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Marco regulatorio:</w:t>
      </w:r>
      <w:r>
        <w:t xml:space="preserve"> </w:t>
      </w:r>
      <w:r>
        <w:t xml:space="preserve">21 CFR Parts 800–898, FD&amp;C Act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X28f7561dbd275440392e20892b1e18a3d58a519">
        <w:r>
          <w:rPr>
            <w:rStyle w:val="Hyperlink"/>
          </w:rPr>
          <w:t xml:space="preserve">Vía Regulatoria</w:t>
        </w:r>
      </w:hyperlink>
    </w:p>
    <w:p>
      <w:pPr>
        <w:numPr>
          <w:ilvl w:val="0"/>
          <w:numId w:val="1001"/>
        </w:numPr>
        <w:pStyle w:val="Compact"/>
      </w:pPr>
      <w:hyperlink w:anchor="Xcaee0b201bb707bef36be217f580ee0586c807e">
        <w:r>
          <w:rPr>
            <w:rStyle w:val="Hyperlink"/>
          </w:rPr>
          <w:t xml:space="preserve">Predicado (Predicate Device)</w:t>
        </w:r>
      </w:hyperlink>
    </w:p>
    <w:p>
      <w:pPr>
        <w:numPr>
          <w:ilvl w:val="0"/>
          <w:numId w:val="1001"/>
        </w:numPr>
        <w:pStyle w:val="Compact"/>
      </w:pPr>
      <w:hyperlink w:anchor="Xa01880f10f6e884b674e87705aadb0317170b4e">
        <w:r>
          <w:rPr>
            <w:rStyle w:val="Hyperlink"/>
          </w:rPr>
          <w:t xml:space="preserve">Design History File (DHF)</w:t>
        </w:r>
      </w:hyperlink>
    </w:p>
    <w:p>
      <w:pPr>
        <w:numPr>
          <w:ilvl w:val="0"/>
          <w:numId w:val="1001"/>
        </w:numPr>
        <w:pStyle w:val="Compact"/>
      </w:pPr>
      <w:hyperlink w:anchor="Xf8735ad7b0f8254254943ffef8a2a6698655969">
        <w:r>
          <w:rPr>
            <w:rStyle w:val="Hyperlink"/>
          </w:rPr>
          <w:t xml:space="preserve">Device Master Record (DMR)</w:t>
        </w:r>
      </w:hyperlink>
    </w:p>
    <w:p>
      <w:pPr>
        <w:numPr>
          <w:ilvl w:val="0"/>
          <w:numId w:val="1001"/>
        </w:numPr>
        <w:pStyle w:val="Compact"/>
      </w:pPr>
      <w:hyperlink w:anchor="Xe66d519f36d924f51e194ec5869aa86cf857eeb">
        <w:r>
          <w:rPr>
            <w:rStyle w:val="Hyperlink"/>
          </w:rPr>
          <w:t xml:space="preserve">Verificación y Validación</w:t>
        </w:r>
      </w:hyperlink>
    </w:p>
    <w:p>
      <w:pPr>
        <w:numPr>
          <w:ilvl w:val="0"/>
          <w:numId w:val="1001"/>
        </w:numPr>
        <w:pStyle w:val="Compact"/>
      </w:pPr>
      <w:hyperlink w:anchor="Xb18aeb3f61efaae4786def5822a815c8ce04099">
        <w:r>
          <w:rPr>
            <w:rStyle w:val="Hyperlink"/>
          </w:rPr>
          <w:t xml:space="preserve">Biocompatibilidad (ISO 10993)</w:t>
        </w:r>
      </w:hyperlink>
    </w:p>
    <w:p>
      <w:pPr>
        <w:numPr>
          <w:ilvl w:val="0"/>
          <w:numId w:val="1001"/>
        </w:numPr>
        <w:pStyle w:val="Compact"/>
      </w:pPr>
      <w:hyperlink w:anchor="Xe4c98b923750ee909206fa4477338691e95dffd">
        <w:r>
          <w:rPr>
            <w:rStyle w:val="Hyperlink"/>
          </w:rPr>
          <w:t xml:space="preserve">Ensayos Clínicos / FDA IDE</w:t>
        </w:r>
      </w:hyperlink>
    </w:p>
    <w:p>
      <w:pPr>
        <w:numPr>
          <w:ilvl w:val="0"/>
          <w:numId w:val="1001"/>
        </w:numPr>
        <w:pStyle w:val="Compact"/>
      </w:pPr>
      <w:hyperlink w:anchor="X05a9c13df7b503ce6bf20e9e5ff4f8b44d7491a">
        <w:r>
          <w:rPr>
            <w:rStyle w:val="Hyperlink"/>
          </w:rPr>
          <w:t xml:space="preserve">Software Validation Documentation</w:t>
        </w:r>
      </w:hyperlink>
    </w:p>
    <w:p>
      <w:pPr>
        <w:numPr>
          <w:ilvl w:val="0"/>
          <w:numId w:val="1001"/>
        </w:numPr>
        <w:pStyle w:val="Compact"/>
      </w:pPr>
      <w:hyperlink w:anchor="X000a4cc34336fd1932f033cefa9fe7c4a478e2a">
        <w:r>
          <w:rPr>
            <w:rStyle w:val="Hyperlink"/>
          </w:rPr>
          <w:t xml:space="preserve">Cybersecurity Documentation</w:t>
        </w:r>
      </w:hyperlink>
    </w:p>
    <w:p>
      <w:pPr>
        <w:numPr>
          <w:ilvl w:val="0"/>
          <w:numId w:val="1001"/>
        </w:numPr>
        <w:pStyle w:val="Compact"/>
      </w:pPr>
      <w:hyperlink w:anchor="Xffc7e2a3a818eb21f7ff19817234c4a41eaffa2">
        <w:r>
          <w:rPr>
            <w:rStyle w:val="Hyperlink"/>
          </w:rPr>
          <w:t xml:space="preserve">AI/ML Special Controls</w:t>
        </w:r>
      </w:hyperlink>
    </w:p>
    <w:p>
      <w:pPr>
        <w:numPr>
          <w:ilvl w:val="0"/>
          <w:numId w:val="1001"/>
        </w:numPr>
        <w:pStyle w:val="Compact"/>
      </w:pPr>
      <w:hyperlink w:anchor="X6a426082e9272dafbdd8ec86112900ff52e2ad5">
        <w:r>
          <w:rPr>
            <w:rStyle w:val="Hyperlink"/>
          </w:rPr>
          <w:t xml:space="preserve">Checklist Completo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vía-regulatoria"/>
    <w:p>
      <w:pPr>
        <w:pStyle w:val="Heading2"/>
      </w:pPr>
      <w:r>
        <w:t xml:space="preserve">1. Vía Regulatoria</w:t>
      </w:r>
    </w:p>
    <w:bookmarkStart w:id="21" w:name="análisis-de-vías-regulatorias"/>
    <w:p>
      <w:pPr>
        <w:pStyle w:val="Heading3"/>
      </w:pPr>
      <w:r>
        <w:t xml:space="preserve">1.1 Análisis de Vías Regulatorias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510(k) Premarket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con predicado sustancialmente equivalente ya en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 Novo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novedoso de riesgo bajo-moderado sin predicado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Existen predicados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PMA (Premarket 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 Clase III de alto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aplica (Clase II)</w:t>
            </w:r>
          </w:p>
        </w:tc>
      </w:tr>
    </w:tbl>
    <w:bookmarkEnd w:id="21"/>
    <w:bookmarkStart w:id="22" w:name="justificación-de-510k"/>
    <w:p>
      <w:pPr>
        <w:pStyle w:val="Heading3"/>
      </w:pPr>
      <w:r>
        <w:t xml:space="preserve">1.2 Justificación de 510(k)</w:t>
      </w:r>
    </w:p>
    <w:p>
      <w:pPr>
        <w:pStyle w:val="FirstParagraph"/>
      </w:pPr>
      <w:r>
        <w:t xml:space="preserve">El sistema Horizon Medical Holter ECG califica para la vía</w:t>
      </w:r>
      <w:r>
        <w:t xml:space="preserve"> </w:t>
      </w:r>
      <w:r>
        <w:rPr>
          <w:bCs/>
          <w:b/>
        </w:rPr>
        <w:t xml:space="preserve">510(k)</w:t>
      </w:r>
      <w:r>
        <w:t xml:space="preserve"> </w:t>
      </w:r>
      <w:r>
        <w:t xml:space="preserve">porque: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 Code DRX</w:t>
      </w:r>
      <w:r>
        <w:t xml:space="preserve"> </w:t>
      </w:r>
      <w:r>
        <w:t xml:space="preserve">(Electrocardiograph, Ambulatory) es un dispositivo Clase II con Special Controls establecidos</w:t>
      </w:r>
    </w:p>
    <w:p>
      <w:pPr>
        <w:numPr>
          <w:ilvl w:val="0"/>
          <w:numId w:val="1002"/>
        </w:numPr>
        <w:pStyle w:val="Compact"/>
      </w:pPr>
      <w:r>
        <w:t xml:space="preserve">Existen múltiples predicados sustancialmente equivalentes ya cleared por FDA</w:t>
      </w:r>
    </w:p>
    <w:p>
      <w:pPr>
        <w:numPr>
          <w:ilvl w:val="0"/>
          <w:numId w:val="1002"/>
        </w:numPr>
        <w:pStyle w:val="Compact"/>
      </w:pPr>
      <w:r>
        <w:t xml:space="preserve">El dispositivo tiene el mismo uso previsto (monitoreo ambulatorio de ECG) y características tecnológicas similares a los predicados</w:t>
      </w:r>
    </w:p>
    <w:p>
      <w:pPr>
        <w:numPr>
          <w:ilvl w:val="0"/>
          <w:numId w:val="1002"/>
        </w:numPr>
        <w:pStyle w:val="Compact"/>
      </w:pPr>
      <w:r>
        <w:t xml:space="preserve">La inclusión de AI/ML para análisis de arritmias es consistente con predicados recientes que incorporan algoritmos computarizados de análisis</w:t>
      </w:r>
    </w:p>
    <w:bookmarkEnd w:id="22"/>
    <w:bookmarkStart w:id="23" w:name="tipo-de-510k"/>
    <w:p>
      <w:pPr>
        <w:pStyle w:val="Heading3"/>
      </w:pPr>
      <w:r>
        <w:t xml:space="preserve">1.3 Tipo de 510(k)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Traditional 510(k):</w:t>
      </w:r>
      <w:r>
        <w:t xml:space="preserve"> </w:t>
      </w:r>
      <w:r>
        <w:t xml:space="preserve">Recomendado (vs. Special/Abbreviated)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eSTAR submission:</w:t>
      </w:r>
      <w:r>
        <w:t xml:space="preserve"> </w:t>
      </w:r>
      <w:r>
        <w:t xml:space="preserve">Formato electrónico obligatorio desde 2023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Product Code:</w:t>
      </w:r>
      <w:r>
        <w:t xml:space="preserve"> </w:t>
      </w:r>
      <w:r>
        <w:t xml:space="preserve">DRX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Review Panel:</w:t>
      </w:r>
      <w:r>
        <w:t xml:space="preserve"> </w:t>
      </w:r>
      <w:r>
        <w:t xml:space="preserve">Cardiovascular (CV)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Regulation Number:</w:t>
      </w:r>
      <w:r>
        <w:t xml:space="preserve"> </w:t>
      </w:r>
      <w:r>
        <w:t xml:space="preserve">21 CFR 870.2340</w:t>
      </w:r>
    </w:p>
    <w:bookmarkEnd w:id="23"/>
    <w:bookmarkStart w:id="24" w:name="pre-submission-q-sub"/>
    <w:p>
      <w:pPr>
        <w:pStyle w:val="Heading3"/>
      </w:pPr>
      <w:r>
        <w:t xml:space="preserve">1.4 Pre-Submission (Q-Sub)</w:t>
      </w:r>
    </w:p>
    <w:p>
      <w:pPr>
        <w:pStyle w:val="FirstParagraph"/>
      </w:pPr>
      <w:r>
        <w:t xml:space="preserve">Se recomienda enérgicamente solicitar un</w:t>
      </w:r>
      <w:r>
        <w:t xml:space="preserve"> </w:t>
      </w:r>
      <w:r>
        <w:rPr>
          <w:bCs/>
          <w:b/>
        </w:rPr>
        <w:t xml:space="preserve">Pre-Submission Meeting</w:t>
      </w:r>
      <w:r>
        <w:t xml:space="preserve"> </w:t>
      </w:r>
      <w:r>
        <w:t xml:space="preserve">con FDA antes de someter el 510(k), especialmente para discutir:</w:t>
      </w:r>
    </w:p>
    <w:p>
      <w:pPr>
        <w:numPr>
          <w:ilvl w:val="0"/>
          <w:numId w:val="1004"/>
        </w:numPr>
        <w:pStyle w:val="Compact"/>
      </w:pPr>
      <w:r>
        <w:t xml:space="preserve">Aceptabilidad del predicado seleccionado</w:t>
      </w:r>
    </w:p>
    <w:p>
      <w:pPr>
        <w:numPr>
          <w:ilvl w:val="0"/>
          <w:numId w:val="1004"/>
        </w:numPr>
        <w:pStyle w:val="Compact"/>
      </w:pPr>
      <w:r>
        <w:t xml:space="preserve">Requisitos de testing para el componente de IA/ML</w:t>
      </w:r>
    </w:p>
    <w:p>
      <w:pPr>
        <w:numPr>
          <w:ilvl w:val="0"/>
          <w:numId w:val="1004"/>
        </w:numPr>
        <w:pStyle w:val="Compact"/>
      </w:pPr>
      <w:r>
        <w:t xml:space="preserve">Adecuación del Predetermined Change Control Plan (PCCP) si se considera IA adaptativa</w:t>
      </w:r>
    </w:p>
    <w:p>
      <w:pPr>
        <w:numPr>
          <w:ilvl w:val="0"/>
          <w:numId w:val="1004"/>
        </w:numPr>
        <w:pStyle w:val="Compact"/>
      </w:pPr>
      <w:r>
        <w:t xml:space="preserve">Requisitos de cybersecurity</w:t>
      </w:r>
    </w:p>
    <w:p>
      <w:pPr>
        <w:numPr>
          <w:ilvl w:val="0"/>
          <w:numId w:val="1004"/>
        </w:numPr>
        <w:pStyle w:val="Compact"/>
      </w:pPr>
      <w:r>
        <w:t xml:space="preserve">Necesidad de datos clínicos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edicado-predicate-device"/>
    <w:p>
      <w:pPr>
        <w:pStyle w:val="Heading2"/>
      </w:pPr>
      <w:r>
        <w:t xml:space="preserve">2. Predicado (Predicate Device)</w:t>
      </w:r>
    </w:p>
    <w:bookmarkStart w:id="26" w:name="predicado-primario-propuesto"/>
    <w:p>
      <w:pPr>
        <w:pStyle w:val="Heading3"/>
      </w:pPr>
      <w:r>
        <w:t xml:space="preserve">2.1 Predicado Primario Propuesto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Medical HM-H100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Predicado: iRhythm Zio XT (K142497)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Medical Holter ECG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Zio XT Patch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Uso previsto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ambulatorio ECG 24–48h con análisis de arritmias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ambulatorio ECG hasta 14 días con análisis de arritmias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Holter ECG ambulatorio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Holter ECG ambulatorio (patch)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Canales 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canales, electrodos convencionales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canal, patch adhesivo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Análisis computarizado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(CNN-LSTM) para detección de arritmias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propietario para detección de arritmias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Arritmias detectadas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FA, TV, bradicardia, taquicardia, PVC, PAC, pausas, BAV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FA, TV, bradicardia, taquicardia, PVC, PAC, pausas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→ smartphone →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local → envío por correo →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Visualización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(vía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(análisis post-hoc)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 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DRX</w:t>
            </w:r>
          </w:p>
        </w:tc>
      </w:tr>
    </w:tbl>
    <w:bookmarkEnd w:id="26"/>
    <w:bookmarkStart w:id="27" w:name="predicados-de-referencia-adicionales"/>
    <w:p>
      <w:pPr>
        <w:pStyle w:val="Heading3"/>
      </w:pPr>
      <w:r>
        <w:t xml:space="preserve">2.2 Predicados de Referencia Adicionales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Predicado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Clearance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BioTelemetry MCOT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K162604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BioTelemetry/Philips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Transmisión inalámbrica + análisis automatizado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Cardiac Insight Cardea SOLO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K173437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Cardiac 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Parche ECG + análisis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 Watch 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DEN180044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 con IA (De Novo, pero mismo product code MQP1)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AliveCor KardiaMobile 6L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K200623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 portátil + IA para detección de FA</w:t>
            </w:r>
          </w:p>
        </w:tc>
      </w:tr>
    </w:tbl>
    <w:bookmarkEnd w:id="27"/>
    <w:bookmarkStart w:id="28" w:name="análisis-de-equivalencia-sustancial"/>
    <w:p>
      <w:pPr>
        <w:pStyle w:val="Heading3"/>
      </w:pPr>
      <w:r>
        <w:t xml:space="preserve">2.3 Análisis de Equivalencia Sustancial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Intended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ambulatorio ECG + detección de arritmias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Technological 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 con electrodos de superficie + análisis computarizado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Requiere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Demostrar rendimiento equivalente o 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Mismo perfil de riesgo (dispositivo no invasivo)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Diferencias tecnológicas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en tiempo real, IA CNN-LSTM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diferencias no plantean nuevos riesgos ni afectan la eficacia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design-history-file-dhf"/>
    <w:p>
      <w:pPr>
        <w:pStyle w:val="Heading2"/>
      </w:pPr>
      <w:r>
        <w:t xml:space="preserve">3. Design History File (DHF)</w:t>
      </w:r>
    </w:p>
    <w:bookmarkStart w:id="30" w:name="Xc11d1e7b3b5a604d1f1e18796479e12915fbcfa"/>
    <w:p>
      <w:pPr>
        <w:pStyle w:val="Heading3"/>
      </w:pPr>
      <w:r>
        <w:t xml:space="preserve">3.1 Estructura Requerida del DHF (21 CFR 820.30)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and Development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diseño, fases, responsabilidades,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820.30(b)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del usuario, requisitos del producto, normas aplicables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820.30(c)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Especificaciones, planos, firmware, software,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820.30(d)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Actas de revisiones de diseño en cada 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820.30(e)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que los outputs cumplen con los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820.30(f)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que el dispositivo cumple las necesidades del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820.30(g)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Transferencia a manufactura, procedimientos de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820.30(h)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cambios, revisiones, aprobaciones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820.30(i)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Referencia:</w:t>
      </w:r>
      <w:r>
        <w:t xml:space="preserve"> </w:t>
      </w:r>
      <w:r>
        <w:t xml:space="preserve">Ver template detallado en</w:t>
      </w:r>
      <w:r>
        <w:t xml:space="preserve"> </w:t>
      </w:r>
      <w:r>
        <w:rPr>
          <w:rStyle w:val="VerbatimChar"/>
        </w:rPr>
        <w:t xml:space="preserve">templates/DHF-Design-History-File.md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device-master-record-dmr"/>
    <w:p>
      <w:pPr>
        <w:pStyle w:val="Heading2"/>
      </w:pPr>
      <w:r>
        <w:t xml:space="preserve">4. Device Master Record (DMR)</w:t>
      </w:r>
    </w:p>
    <w:bookmarkStart w:id="32" w:name="contenido-del-dmr-21-cfr-820.181"/>
    <w:p>
      <w:pPr>
        <w:pStyle w:val="Heading3"/>
      </w:pPr>
      <w:r>
        <w:t xml:space="preserve">4.1 Contenido del DMR (21 CFR 820.181)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del producto terminado, criterios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process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Instrucciones de manufactura, ensamblaje,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assurance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inspección, métodos de ensayo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Packaging and labeling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 de empaque, instrucciones de empaque, artwork de etiquetas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Installation and servicing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instalación (si aplica), mantenimiento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 of Materials (BOM)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completa de componentes, proveedores, especificaciones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verificación-y-validación"/>
    <w:p>
      <w:pPr>
        <w:pStyle w:val="Heading2"/>
      </w:pPr>
      <w:r>
        <w:t xml:space="preserve">5. Verificación y Validación</w:t>
      </w:r>
    </w:p>
    <w:bookmarkStart w:id="34" w:name="plan-de-verificación-design-verification"/>
    <w:p>
      <w:pPr>
        <w:pStyle w:val="Heading3"/>
      </w:pPr>
      <w:r>
        <w:t xml:space="preserve">5.1 Plan de Verificación (Design Verification)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Norma/Referencia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Acreditado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60601-1:2020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 de fuga, rigidez dieléctrica, tierra protectora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60601-1-2:2014+AMD1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Emisiones conducidas/radiadas, inmunidad ESD, RF,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 particular Holter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60601-2-47:2012+AMD1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específicos para sistemas ECG ambulatorios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Precisión de 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60601-2-47, AHA/AAMI EC38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Precisión de amplitud, respuesta en frecuencia, CMRR, ruido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10993-1, -5, 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Citotoxicidad, sensibilización, irritación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 de batería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62133-2:2017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Cortocircuito, sobrecarga, aplastamiento, 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62366-1:2015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Formative evaluation, summative usability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Interno/Externo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V&amp;V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testing, integration, system,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Rendimiento 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 SIG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Rango, throughput, estabilidad de conexión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Vida útil y envejecimiento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Acelerado y en tiempo real para batería y 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Empaque y 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ASTM D4169 / 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Vibración, caída, compresión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contra ingreso de líquidos y partículas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</w:tbl>
    <w:bookmarkEnd w:id="34"/>
    <w:bookmarkStart w:id="35" w:name="plan-de-validación-design-validation"/>
    <w:p>
      <w:pPr>
        <w:pStyle w:val="Heading3"/>
      </w:pPr>
      <w:r>
        <w:t xml:space="preserve">5.2 Plan de Validación (Design Validation)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Comparación con Holter de referencia gold-standard en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30–100 pacientes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algorithm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independiente de detección de arritmias contra anotaciones de cardiólogos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externo (&gt;1000 registros)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Usability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Summative usability study con usuarios representativos (pacientes + clínicos)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usuarios por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 use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uso en entorno domiciliario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pacientes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biocompatibilidad-iso-10993"/>
    <w:p>
      <w:pPr>
        <w:pStyle w:val="Heading2"/>
      </w:pPr>
      <w:r>
        <w:t xml:space="preserve">6. Biocompatibilidad (ISO 10993)</w:t>
      </w:r>
    </w:p>
    <w:bookmarkStart w:id="37" w:name="evaluación-de-biocompatibilidad"/>
    <w:p>
      <w:pPr>
        <w:pStyle w:val="Heading3"/>
      </w:pPr>
      <w:r>
        <w:t xml:space="preserve">6.1 Evaluación de Biocompatibilidad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Requeridos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Carcasa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ABS/PC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 con piel intacta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Prolongado (24–48h)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Citotoxicidad, Sensibilización, Irritación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Electrodos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Ag/AgCl + adhesivo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 con piel intacta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Prolongado (24–48h)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Citotoxicidad, Sensibilización, Irritación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Cable/correa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Silicona/TPE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 con piel intacta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Prolongado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Citotoxicidad, Sensibilización</w:t>
            </w:r>
          </w:p>
        </w:tc>
      </w:tr>
    </w:tbl>
    <w:bookmarkEnd w:id="37"/>
    <w:bookmarkStart w:id="38" w:name="tests-de-biocompatibilidad-requeridos"/>
    <w:p>
      <w:pPr>
        <w:pStyle w:val="Heading3"/>
      </w:pPr>
      <w:r>
        <w:t xml:space="preserve">6.2 Tests de Biocompatibilidad Requeridos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Citotoxicidad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10993-5:2009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in vitro de toxicidad celular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Sensibilización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10993-10:2021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sensibilización cutánea (GPMT o LLNA)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Irritación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10993-10:2021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irritación cutánea (in vitro o in vivo)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Caracterización química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10993-18:2020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y cuantificación de extractables/leachables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Para electrodos desechables de terceros ya con certificación de biocompatibilidad, se puede referenciar la documentación existente del proveedor.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ensayos-clínicos-fda-ide"/>
    <w:p>
      <w:pPr>
        <w:pStyle w:val="Heading2"/>
      </w:pPr>
      <w:r>
        <w:t xml:space="preserve">7. Ensayos Clínicos / FDA IDE</w:t>
      </w:r>
    </w:p>
    <w:bookmarkStart w:id="40" w:name="necesidad-de-estudios-clínicos"/>
    <w:p>
      <w:pPr>
        <w:pStyle w:val="Heading3"/>
      </w:pPr>
      <w:r>
        <w:t xml:space="preserve">7.1 Necesidad de Estudios Clínicos</w:t>
      </w:r>
    </w:p>
    <w:p>
      <w:pPr>
        <w:pStyle w:val="FirstParagraph"/>
      </w:pPr>
      <w:r>
        <w:t xml:space="preserve">Para una 510(k) de un Holter ECG Clase II con predicado,</w:t>
      </w:r>
      <w:r>
        <w:t xml:space="preserve"> </w:t>
      </w:r>
      <w:r>
        <w:rPr>
          <w:bCs/>
          <w:b/>
        </w:rPr>
        <w:t xml:space="preserve">no se requiere IDE ni ensayo clínico formal</w:t>
      </w:r>
      <w:r>
        <w:t xml:space="preserve"> </w:t>
      </w:r>
      <w:r>
        <w:t xml:space="preserve">en la mayoría de los casos. Sin embargo, FDA puede solicitar datos clínicos para:</w:t>
      </w:r>
    </w:p>
    <w:p>
      <w:pPr>
        <w:numPr>
          <w:ilvl w:val="0"/>
          <w:numId w:val="1005"/>
        </w:numPr>
        <w:pStyle w:val="Compact"/>
      </w:pPr>
      <w:r>
        <w:t xml:space="preserve">Validar el rendimiento del algoritmo de IA en población clínica</w:t>
      </w:r>
    </w:p>
    <w:p>
      <w:pPr>
        <w:numPr>
          <w:ilvl w:val="0"/>
          <w:numId w:val="1005"/>
        </w:numPr>
        <w:pStyle w:val="Compact"/>
      </w:pPr>
      <w:r>
        <w:t xml:space="preserve">Demostrar equivalencia sustancial con el predicado</w:t>
      </w:r>
    </w:p>
    <w:bookmarkEnd w:id="40"/>
    <w:bookmarkStart w:id="41" w:name="estrategia-de-datos-clínicos-recomendada"/>
    <w:p>
      <w:pPr>
        <w:pStyle w:val="Heading3"/>
      </w:pPr>
      <w:r>
        <w:t xml:space="preserve">7.2 Estrategia de Datos Clínicos Recomendada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 testing + equivalencia con predicado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requerido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Validación retrospectiva de IA con datasets anotados (PhysioNet, INCART)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Nivel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Estudio clínico prospectivo comparativo (vs. Holter estándar)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Fuertemente recomendado para IA</w:t>
            </w:r>
          </w:p>
        </w:tc>
      </w:tr>
    </w:tbl>
    <w:bookmarkEnd w:id="41"/>
    <w:bookmarkStart w:id="42" w:name="estudio-clínico-propuesto-nivel-3"/>
    <w:p>
      <w:pPr>
        <w:pStyle w:val="Heading3"/>
      </w:pPr>
      <w:r>
        <w:t xml:space="preserve">7.3 Estudio Clínico Propuesto (Nivel 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Prospectivo, comparativo, cegado para interpretación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Holter ECG estándar de 12 derivaciones (gold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 primario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 y especificidad de detección de arritmias (FA, TV)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Endpoints secundarios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PPV, NPV, tiempo de uso, satisfacción del paciente, eventos adversos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100–200 pacientes con indicación de Holter ECG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24–48 horas de monitoreo simultáneo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Aprobación IRB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FDA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requerido (dispositivo non-significant risk si no se cambia el manejo clínico)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software-validation-documentation"/>
    <w:p>
      <w:pPr>
        <w:pStyle w:val="Heading2"/>
      </w:pPr>
      <w:r>
        <w:t xml:space="preserve">8. Software Validation Documentation</w:t>
      </w:r>
    </w:p>
    <w:bookmarkStart w:id="44" w:name="documentación-requerida-por-fda"/>
    <w:p>
      <w:pPr>
        <w:pStyle w:val="Heading3"/>
      </w:pPr>
      <w:r>
        <w:t xml:space="preserve">8.1 Documentación Requerida por FDA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of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Guidance</w:t>
            </w:r>
            <w:r>
              <w:t xml:space="preserve"> </w:t>
            </w:r>
            <w:r>
              <w:t xml:space="preserve">“</w:t>
            </w:r>
            <w:r>
              <w:t xml:space="preserve">Content of Premarket Submissions for Software…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Level of Concern (decisiones diagnósticas de arritmias potencialmente letales)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funcional, arquitectura, flujo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 Hazard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riesgos específicos del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Requirements Specification (SRS)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funcionales y no funcionales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 Design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arquitectura del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Design Specification (SDS)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detallado de módulos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Traceability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→ Diseño → Test → Resultados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Testing (V&amp;V)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Unit, integration, system, regression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Revision Level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versiones y 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Unresolved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Bugs conocidos y justificación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Cybersecurity Guidance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componentes de software (open-source, third-party)</w:t>
            </w:r>
          </w:p>
        </w:tc>
      </w:tr>
    </w:tbl>
    <w:bookmarkEnd w:id="44"/>
    <w:bookmarkStart w:id="45" w:name="software-items-para-horizon-medical"/>
    <w:p>
      <w:pPr>
        <w:pStyle w:val="Heading3"/>
      </w:pPr>
      <w:r>
        <w:t xml:space="preserve">8.2 Software Items para Horizon Medical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Software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 IEC 62304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Concern (FDA)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(nRF52832)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Adquisición y filtrado de señal ECG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Procesamiento y almacenamiento de datos clínicos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IA (CNN-LSTM)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de arritmias potencialmente letales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Visualización y alertas (no es fuente primaria de diagnóstico)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 de datos al clínico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Referencia:</w:t>
      </w:r>
      <w:r>
        <w:t xml:space="preserve"> </w:t>
      </w:r>
      <w:r>
        <w:t xml:space="preserve">Ver template detallado en</w:t>
      </w:r>
      <w:r>
        <w:t xml:space="preserve"> </w:t>
      </w:r>
      <w:r>
        <w:rPr>
          <w:rStyle w:val="VerbatimChar"/>
        </w:rPr>
        <w:t xml:space="preserve">templates/Software-Documentation-IEC62304.md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cybersecurity-documentation"/>
    <w:p>
      <w:pPr>
        <w:pStyle w:val="Heading2"/>
      </w:pPr>
      <w:r>
        <w:t xml:space="preserve">9. Cybersecurity Documentation</w:t>
      </w:r>
    </w:p>
    <w:bookmarkStart w:id="47" w:name="X6c306cdf3cfebc6d4658879c50d25d2ab90626b"/>
    <w:p>
      <w:pPr>
        <w:pStyle w:val="Heading3"/>
      </w:pPr>
      <w:r>
        <w:t xml:space="preserve">9.1 Requisitos FDA de Ciberseguridad (2023 Guidance)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Threat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de amenazas y vectores de ataque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de riesgos de ciberseguridad usando CVSS o 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arquitectura de seguridad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 implementados (encryption, auth, access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Bill of Materials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Vulnerability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penetration testing, vulnerability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Patch Management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para gestión de vulnerabilidades y actualizaciones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End-of-Life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para fin de soporte del 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7"/>
    <w:bookmarkStart w:id="48" w:name="superficie-de-ataque-de-horizon-medical"/>
    <w:p>
      <w:pPr>
        <w:pStyle w:val="Heading3"/>
      </w:pPr>
      <w:r>
        <w:t xml:space="preserve">9.2 Superficie de Ataque de Horizon Medical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de Ataque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 (dispositivo →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Intercepción, MITM,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Secure Connection, bonding, encryption AES-128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→ Backend (HTTPS)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MITM, API abuse, data theft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1.3, certificate pinning, OAuth 2.0,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breach, unauthorized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at rest (AES-256), RBAC, audit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Tampering, reverse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boot, signed firmware updates, OTA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XSS, CSRF, injection, session hijack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WAF, CSP, input validation, MFA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 attacks, data poisoning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validation, model integrity verification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Referencia:</w:t>
      </w:r>
      <w:r>
        <w:t xml:space="preserve"> </w:t>
      </w:r>
      <w:r>
        <w:t xml:space="preserve">Ver template detallado en</w:t>
      </w:r>
      <w:r>
        <w:t xml:space="preserve"> </w:t>
      </w:r>
      <w:r>
        <w:rPr>
          <w:rStyle w:val="VerbatimChar"/>
        </w:rPr>
        <w:t xml:space="preserve">templates/Cybersecurity-Documentation.md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aiml-special-controls"/>
    <w:p>
      <w:pPr>
        <w:pStyle w:val="Heading2"/>
      </w:pPr>
      <w:r>
        <w:t xml:space="preserve">10. AI/ML Special Controls</w:t>
      </w:r>
    </w:p>
    <w:bookmarkStart w:id="50" w:name="fda-aiml-framework"/>
    <w:p>
      <w:pPr>
        <w:pStyle w:val="Heading3"/>
      </w:pPr>
      <w:r>
        <w:t xml:space="preserve">10.1 FDA AI/ML Framework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completa del modelo CNN-LSTM, arquitectura, hiperparámetros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Fuentes, tamaño, distribución demográfica, anotación, split train/val/test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Sensibilidad, especificidad, AUC-ROC, PPV, NPV — por tipo de arritmia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standard utilizado para anotación (cardiólogos certificados, consenso)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Bias and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sesgos por edad, sexo, raza/etnia, comorbilidades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Robustness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 con datos ruidosos, artefactos,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con dataset clínico independiente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Locked vs. Adaptive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Declaración de algoritmo locked (no aprende post-deployment)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PCCP (si adaptativo)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Predetermined Change Control Plan — describe cambios futuros planeados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si adaptativo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Explicabilidad de las decisiones del modelo (GradCAM, attention maps)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Doc</w:t>
            </w:r>
          </w:p>
        </w:tc>
      </w:tr>
    </w:tbl>
    <w:bookmarkEnd w:id="50"/>
    <w:bookmarkStart w:id="51" w:name="métricas-de-rendimiento-esperadas"/>
    <w:p>
      <w:pPr>
        <w:pStyle w:val="Heading3"/>
      </w:pPr>
      <w:r>
        <w:t xml:space="preserve">10.2 Métricas de Rendimiento Esperadas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Arritmia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Especificidad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Fibrilación auricular (FA)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Taquicardia ventricular (TV)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Bradicardia sinusal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Taquicardia sinusal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PVC (extrasístoles ventriculares)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Pausas sinusales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Bloqueo AV II/III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0.96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Referencia:</w:t>
      </w:r>
      <w:r>
        <w:t xml:space="preserve"> </w:t>
      </w:r>
      <w:r>
        <w:t xml:space="preserve">Ver template detallado en</w:t>
      </w:r>
      <w:r>
        <w:t xml:space="preserve"> </w:t>
      </w:r>
      <w:r>
        <w:rPr>
          <w:rStyle w:val="VerbatimChar"/>
        </w:rPr>
        <w:t xml:space="preserve">templates/AI-ML-Documentation.md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checklist-completo"/>
    <w:p>
      <w:pPr>
        <w:pStyle w:val="Heading2"/>
      </w:pPr>
      <w:r>
        <w:t xml:space="preserve">11. Checklist Completo</w:t>
      </w:r>
    </w:p>
    <w:bookmarkStart w:id="53" w:name="pre-submission"/>
    <w:p>
      <w:pPr>
        <w:pStyle w:val="Heading3"/>
      </w:pPr>
      <w:r>
        <w:t xml:space="preserve">11.1 Pre-Submission</w:t>
      </w:r>
    </w:p>
    <w:p>
      <w:pPr>
        <w:numPr>
          <w:ilvl w:val="0"/>
          <w:numId w:val="1006"/>
        </w:numPr>
        <w:pStyle w:val="Compact"/>
      </w:pPr>
      <w:r>
        <w:t xml:space="preserve">☐ Identificar predicado y confirmar Product Code (DRX)</w:t>
      </w:r>
    </w:p>
    <w:p>
      <w:pPr>
        <w:numPr>
          <w:ilvl w:val="0"/>
          <w:numId w:val="1006"/>
        </w:numPr>
        <w:pStyle w:val="Compact"/>
      </w:pPr>
      <w:r>
        <w:t xml:space="preserve">☐ Preparar Pre-Submission (Q-Sub) request</w:t>
      </w:r>
    </w:p>
    <w:p>
      <w:pPr>
        <w:numPr>
          <w:ilvl w:val="0"/>
          <w:numId w:val="1006"/>
        </w:numPr>
        <w:pStyle w:val="Compact"/>
      </w:pPr>
      <w:r>
        <w:t xml:space="preserve">☐ Incluir preguntas específicas sobre IA, cybersecurity, clinical data</w:t>
      </w:r>
    </w:p>
    <w:p>
      <w:pPr>
        <w:numPr>
          <w:ilvl w:val="0"/>
          <w:numId w:val="1006"/>
        </w:numPr>
        <w:pStyle w:val="Compact"/>
      </w:pPr>
      <w:r>
        <w:t xml:space="preserve">☐ Asistir a Pre-Submission meeting con FDA</w:t>
      </w:r>
    </w:p>
    <w:p>
      <w:pPr>
        <w:numPr>
          <w:ilvl w:val="0"/>
          <w:numId w:val="1006"/>
        </w:numPr>
        <w:pStyle w:val="Compact"/>
      </w:pPr>
      <w:r>
        <w:t xml:space="preserve">☐ Documentar feedback de FDA y ajustar plan</w:t>
      </w:r>
    </w:p>
    <w:bookmarkEnd w:id="53"/>
    <w:bookmarkStart w:id="54" w:name="establishment-registration"/>
    <w:p>
      <w:pPr>
        <w:pStyle w:val="Heading3"/>
      </w:pPr>
      <w:r>
        <w:t xml:space="preserve">11.2 Establishment &amp; Registration</w:t>
      </w:r>
    </w:p>
    <w:p>
      <w:pPr>
        <w:numPr>
          <w:ilvl w:val="0"/>
          <w:numId w:val="1007"/>
        </w:numPr>
        <w:pStyle w:val="Compact"/>
      </w:pPr>
      <w:r>
        <w:t xml:space="preserve">☐ Designar US Agent (fabricante extranjero)</w:t>
      </w:r>
    </w:p>
    <w:p>
      <w:pPr>
        <w:numPr>
          <w:ilvl w:val="0"/>
          <w:numId w:val="1007"/>
        </w:numPr>
        <w:pStyle w:val="Compact"/>
      </w:pPr>
      <w:r>
        <w:t xml:space="preserve">☐ FDA Establishment Registration (21 CFR 807)</w:t>
      </w:r>
    </w:p>
    <w:p>
      <w:pPr>
        <w:numPr>
          <w:ilvl w:val="0"/>
          <w:numId w:val="1007"/>
        </w:numPr>
        <w:pStyle w:val="Compact"/>
      </w:pPr>
      <w:r>
        <w:t xml:space="preserve">☐ Device Listing en FDA (21 CFR 807)</w:t>
      </w:r>
    </w:p>
    <w:p>
      <w:pPr>
        <w:numPr>
          <w:ilvl w:val="0"/>
          <w:numId w:val="1007"/>
        </w:numPr>
        <w:pStyle w:val="Compact"/>
      </w:pPr>
      <w:r>
        <w:t xml:space="preserve">☐ Obtener D-U-N-S Number</w:t>
      </w:r>
    </w:p>
    <w:p>
      <w:pPr>
        <w:numPr>
          <w:ilvl w:val="0"/>
          <w:numId w:val="1007"/>
        </w:numPr>
        <w:pStyle w:val="Compact"/>
      </w:pPr>
      <w:r>
        <w:t xml:space="preserve">☐ Pago de User Fee (MDUFA)</w:t>
      </w:r>
    </w:p>
    <w:bookmarkEnd w:id="54"/>
    <w:bookmarkStart w:id="55" w:name="design-controls-21-cfr-820.30"/>
    <w:p>
      <w:pPr>
        <w:pStyle w:val="Heading3"/>
      </w:pPr>
      <w:r>
        <w:t xml:space="preserve">11.3 Design Controls (21 CFR 820.30)</w:t>
      </w:r>
    </w:p>
    <w:p>
      <w:pPr>
        <w:numPr>
          <w:ilvl w:val="0"/>
          <w:numId w:val="1008"/>
        </w:numPr>
        <w:pStyle w:val="Compact"/>
      </w:pPr>
      <w:r>
        <w:t xml:space="preserve">☐ Design and Development Plan documentado</w:t>
      </w:r>
    </w:p>
    <w:p>
      <w:pPr>
        <w:numPr>
          <w:ilvl w:val="0"/>
          <w:numId w:val="1008"/>
        </w:numPr>
        <w:pStyle w:val="Compact"/>
      </w:pPr>
      <w:r>
        <w:t xml:space="preserve">☐ Design Input (requisitos) documentados y aprobados</w:t>
      </w:r>
    </w:p>
    <w:p>
      <w:pPr>
        <w:numPr>
          <w:ilvl w:val="0"/>
          <w:numId w:val="1008"/>
        </w:numPr>
        <w:pStyle w:val="Compact"/>
      </w:pPr>
      <w:r>
        <w:t xml:space="preserve">☐ Design Output (especificaciones) documentados</w:t>
      </w:r>
    </w:p>
    <w:p>
      <w:pPr>
        <w:numPr>
          <w:ilvl w:val="0"/>
          <w:numId w:val="1008"/>
        </w:numPr>
        <w:pStyle w:val="Compact"/>
      </w:pPr>
      <w:r>
        <w:t xml:space="preserve">☐ Design Reviews realizadas y documentadas (actas)</w:t>
      </w:r>
    </w:p>
    <w:p>
      <w:pPr>
        <w:numPr>
          <w:ilvl w:val="0"/>
          <w:numId w:val="1008"/>
        </w:numPr>
        <w:pStyle w:val="Compact"/>
      </w:pPr>
      <w:r>
        <w:t xml:space="preserve">☐ Design Verification completada (testing)</w:t>
      </w:r>
    </w:p>
    <w:p>
      <w:pPr>
        <w:numPr>
          <w:ilvl w:val="0"/>
          <w:numId w:val="1008"/>
        </w:numPr>
        <w:pStyle w:val="Compact"/>
      </w:pPr>
      <w:r>
        <w:t xml:space="preserve">☐ Design Validation completada (clinical/usability)</w:t>
      </w:r>
    </w:p>
    <w:p>
      <w:pPr>
        <w:numPr>
          <w:ilvl w:val="0"/>
          <w:numId w:val="1008"/>
        </w:numPr>
        <w:pStyle w:val="Compact"/>
      </w:pPr>
      <w:r>
        <w:t xml:space="preserve">☐ Design Transfer completada</w:t>
      </w:r>
    </w:p>
    <w:p>
      <w:pPr>
        <w:numPr>
          <w:ilvl w:val="0"/>
          <w:numId w:val="1008"/>
        </w:numPr>
        <w:pStyle w:val="Compact"/>
      </w:pPr>
      <w:r>
        <w:t xml:space="preserve">☐ Design History File (DHF) compilado y completo</w:t>
      </w:r>
    </w:p>
    <w:bookmarkEnd w:id="55"/>
    <w:bookmarkStart w:id="56" w:name="testing-y-evidencia"/>
    <w:p>
      <w:pPr>
        <w:pStyle w:val="Heading3"/>
      </w:pPr>
      <w:r>
        <w:t xml:space="preserve">11.4 Testing y Evidencia</w:t>
      </w:r>
    </w:p>
    <w:p>
      <w:pPr>
        <w:numPr>
          <w:ilvl w:val="0"/>
          <w:numId w:val="1009"/>
        </w:numPr>
        <w:pStyle w:val="Compact"/>
      </w:pPr>
      <w:r>
        <w:t xml:space="preserve">☐ IEC 60601-1 — Seguridad eléctrica (reporte de lab acreditado)</w:t>
      </w:r>
    </w:p>
    <w:p>
      <w:pPr>
        <w:numPr>
          <w:ilvl w:val="0"/>
          <w:numId w:val="1009"/>
        </w:numPr>
        <w:pStyle w:val="Compact"/>
      </w:pPr>
      <w:r>
        <w:t xml:space="preserve">☐ IEC 60601-1-2 — EMC (reporte de lab acreditado)</w:t>
      </w:r>
    </w:p>
    <w:p>
      <w:pPr>
        <w:numPr>
          <w:ilvl w:val="0"/>
          <w:numId w:val="1009"/>
        </w:numPr>
        <w:pStyle w:val="Compact"/>
      </w:pPr>
      <w:r>
        <w:t xml:space="preserve">☐ IEC 60601-2-47 — Norma particular Holter (reporte de lab acreditado)</w:t>
      </w:r>
    </w:p>
    <w:p>
      <w:pPr>
        <w:numPr>
          <w:ilvl w:val="0"/>
          <w:numId w:val="1009"/>
        </w:numPr>
        <w:pStyle w:val="Compact"/>
      </w:pPr>
      <w:r>
        <w:t xml:space="preserve">☐ ISO 10993 — Biocompatibilidad (reportes de lab)</w:t>
      </w:r>
    </w:p>
    <w:p>
      <w:pPr>
        <w:numPr>
          <w:ilvl w:val="0"/>
          <w:numId w:val="1009"/>
        </w:numPr>
        <w:pStyle w:val="Compact"/>
      </w:pPr>
      <w:r>
        <w:t xml:space="preserve">☐ IEC 62133-2 — Seguridad de batería</w:t>
      </w:r>
    </w:p>
    <w:p>
      <w:pPr>
        <w:numPr>
          <w:ilvl w:val="0"/>
          <w:numId w:val="1009"/>
        </w:numPr>
        <w:pStyle w:val="Compact"/>
      </w:pPr>
      <w:r>
        <w:t xml:space="preserve">☐ Software V&amp;V completada según IEC 62304</w:t>
      </w:r>
    </w:p>
    <w:p>
      <w:pPr>
        <w:numPr>
          <w:ilvl w:val="0"/>
          <w:numId w:val="1009"/>
        </w:numPr>
        <w:pStyle w:val="Compact"/>
      </w:pPr>
      <w:r>
        <w:t xml:space="preserve">☐ AI/ML validation con dataset independiente</w:t>
      </w:r>
    </w:p>
    <w:p>
      <w:pPr>
        <w:numPr>
          <w:ilvl w:val="0"/>
          <w:numId w:val="1009"/>
        </w:numPr>
        <w:pStyle w:val="Compact"/>
      </w:pPr>
      <w:r>
        <w:t xml:space="preserve">☐ Usability study (summative) completada</w:t>
      </w:r>
    </w:p>
    <w:p>
      <w:pPr>
        <w:numPr>
          <w:ilvl w:val="0"/>
          <w:numId w:val="1009"/>
        </w:numPr>
        <w:pStyle w:val="Compact"/>
      </w:pPr>
      <w:r>
        <w:t xml:space="preserve">☐ Cybersecurity testing (penetration test, vulnerability scan)</w:t>
      </w:r>
    </w:p>
    <w:bookmarkEnd w:id="56"/>
    <w:bookmarkStart w:id="57" w:name="documentación-510k"/>
    <w:p>
      <w:pPr>
        <w:pStyle w:val="Heading3"/>
      </w:pPr>
      <w:r>
        <w:t xml:space="preserve">11.5 Documentación 510(k)</w:t>
      </w:r>
    </w:p>
    <w:p>
      <w:pPr>
        <w:numPr>
          <w:ilvl w:val="0"/>
          <w:numId w:val="1010"/>
        </w:numPr>
        <w:pStyle w:val="Compact"/>
      </w:pPr>
      <w:r>
        <w:t xml:space="preserve">☐ Cover letter</w:t>
      </w:r>
    </w:p>
    <w:p>
      <w:pPr>
        <w:numPr>
          <w:ilvl w:val="0"/>
          <w:numId w:val="1010"/>
        </w:numPr>
        <w:pStyle w:val="Compact"/>
      </w:pPr>
      <w:r>
        <w:t xml:space="preserve">☐ 510(k) Summary o Statement</w:t>
      </w:r>
    </w:p>
    <w:p>
      <w:pPr>
        <w:numPr>
          <w:ilvl w:val="0"/>
          <w:numId w:val="1010"/>
        </w:numPr>
        <w:pStyle w:val="Compact"/>
      </w:pPr>
      <w:r>
        <w:t xml:space="preserve">☐ Truthful and Accuracy Statement</w:t>
      </w:r>
    </w:p>
    <w:p>
      <w:pPr>
        <w:numPr>
          <w:ilvl w:val="0"/>
          <w:numId w:val="1010"/>
        </w:numPr>
        <w:pStyle w:val="Compact"/>
      </w:pPr>
      <w:r>
        <w:t xml:space="preserve">☐ Indications for Use Statement (FDA Form 3881)</w:t>
      </w:r>
    </w:p>
    <w:p>
      <w:pPr>
        <w:numPr>
          <w:ilvl w:val="0"/>
          <w:numId w:val="1010"/>
        </w:numPr>
        <w:pStyle w:val="Compact"/>
      </w:pPr>
      <w:r>
        <w:t xml:space="preserve">☐ Class II Summary and Certification</w:t>
      </w:r>
    </w:p>
    <w:p>
      <w:pPr>
        <w:numPr>
          <w:ilvl w:val="0"/>
          <w:numId w:val="1010"/>
        </w:numPr>
        <w:pStyle w:val="Compact"/>
      </w:pPr>
      <w:r>
        <w:t xml:space="preserve">☐ Financial Certification or Disclosure Statement (Form FDA 3674)</w:t>
      </w:r>
    </w:p>
    <w:p>
      <w:pPr>
        <w:numPr>
          <w:ilvl w:val="0"/>
          <w:numId w:val="1010"/>
        </w:numPr>
        <w:pStyle w:val="Compact"/>
      </w:pPr>
      <w:r>
        <w:t xml:space="preserve">☐ Declarations of Conformity and Summary Reports (standards)</w:t>
      </w:r>
    </w:p>
    <w:p>
      <w:pPr>
        <w:numPr>
          <w:ilvl w:val="0"/>
          <w:numId w:val="1010"/>
        </w:numPr>
        <w:pStyle w:val="Compact"/>
      </w:pPr>
      <w:r>
        <w:t xml:space="preserve">☐ Executive Summary / Device Description</w:t>
      </w:r>
    </w:p>
    <w:p>
      <w:pPr>
        <w:numPr>
          <w:ilvl w:val="0"/>
          <w:numId w:val="1010"/>
        </w:numPr>
        <w:pStyle w:val="Compact"/>
      </w:pPr>
      <w:r>
        <w:t xml:space="preserve">☐ Substantial Equivalence Comparison</w:t>
      </w:r>
    </w:p>
    <w:p>
      <w:pPr>
        <w:numPr>
          <w:ilvl w:val="0"/>
          <w:numId w:val="1010"/>
        </w:numPr>
        <w:pStyle w:val="Compact"/>
      </w:pPr>
      <w:r>
        <w:t xml:space="preserve">☐ Non-clinical (bench) performance testing</w:t>
      </w:r>
    </w:p>
    <w:p>
      <w:pPr>
        <w:numPr>
          <w:ilvl w:val="0"/>
          <w:numId w:val="1010"/>
        </w:numPr>
        <w:pStyle w:val="Compact"/>
      </w:pPr>
      <w:r>
        <w:t xml:space="preserve">☐ Clinical performance data (si aplica)</w:t>
      </w:r>
    </w:p>
    <w:p>
      <w:pPr>
        <w:numPr>
          <w:ilvl w:val="0"/>
          <w:numId w:val="1010"/>
        </w:numPr>
        <w:pStyle w:val="Compact"/>
      </w:pPr>
      <w:r>
        <w:t xml:space="preserve">☐ Software documentation (Level of Concern, SRS, architecture, V&amp;V)</w:t>
      </w:r>
    </w:p>
    <w:p>
      <w:pPr>
        <w:numPr>
          <w:ilvl w:val="0"/>
          <w:numId w:val="1010"/>
        </w:numPr>
        <w:pStyle w:val="Compact"/>
      </w:pPr>
      <w:r>
        <w:t xml:space="preserve">☐ AI/ML documentation</w:t>
      </w:r>
    </w:p>
    <w:p>
      <w:pPr>
        <w:numPr>
          <w:ilvl w:val="0"/>
          <w:numId w:val="1010"/>
        </w:numPr>
        <w:pStyle w:val="Compact"/>
      </w:pPr>
      <w:r>
        <w:t xml:space="preserve">☐ Cybersecurity documentation + SBOM</w:t>
      </w:r>
    </w:p>
    <w:p>
      <w:pPr>
        <w:numPr>
          <w:ilvl w:val="0"/>
          <w:numId w:val="1010"/>
        </w:numPr>
        <w:pStyle w:val="Compact"/>
      </w:pPr>
      <w:r>
        <w:t xml:space="preserve">☐ Biocompatibility evaluation</w:t>
      </w:r>
    </w:p>
    <w:p>
      <w:pPr>
        <w:numPr>
          <w:ilvl w:val="0"/>
          <w:numId w:val="1010"/>
        </w:numPr>
        <w:pStyle w:val="Compact"/>
      </w:pPr>
      <w:r>
        <w:t xml:space="preserve">☐ EMC and Electrical Safety testing</w:t>
      </w:r>
    </w:p>
    <w:p>
      <w:pPr>
        <w:numPr>
          <w:ilvl w:val="0"/>
          <w:numId w:val="1010"/>
        </w:numPr>
        <w:pStyle w:val="Compact"/>
      </w:pPr>
      <w:r>
        <w:t xml:space="preserve">☐ Sterilization (si aplica — N/A para Horizon)</w:t>
      </w:r>
    </w:p>
    <w:p>
      <w:pPr>
        <w:numPr>
          <w:ilvl w:val="0"/>
          <w:numId w:val="1010"/>
        </w:numPr>
        <w:pStyle w:val="Compact"/>
      </w:pPr>
      <w:r>
        <w:t xml:space="preserve">☐ Shelf life / reliability data</w:t>
      </w:r>
    </w:p>
    <w:p>
      <w:pPr>
        <w:numPr>
          <w:ilvl w:val="0"/>
          <w:numId w:val="1010"/>
        </w:numPr>
        <w:pStyle w:val="Compact"/>
      </w:pPr>
      <w:r>
        <w:t xml:space="preserve">☐ Labeling (IFU, packaging labels, warnings)</w:t>
      </w:r>
    </w:p>
    <w:p>
      <w:pPr>
        <w:numPr>
          <w:ilvl w:val="0"/>
          <w:numId w:val="1010"/>
        </w:numPr>
        <w:pStyle w:val="Compact"/>
      </w:pPr>
      <w:r>
        <w:t xml:space="preserve">☐ eSTAR formatted and submitted</w:t>
      </w:r>
    </w:p>
    <w:bookmarkEnd w:id="57"/>
    <w:bookmarkStart w:id="58" w:name="post-clearance"/>
    <w:p>
      <w:pPr>
        <w:pStyle w:val="Heading3"/>
      </w:pPr>
      <w:r>
        <w:t xml:space="preserve">11.6 Post-Clearance</w:t>
      </w:r>
    </w:p>
    <w:p>
      <w:pPr>
        <w:numPr>
          <w:ilvl w:val="0"/>
          <w:numId w:val="1011"/>
        </w:numPr>
        <w:pStyle w:val="Compact"/>
      </w:pPr>
      <w:r>
        <w:t xml:space="preserve">☐ MDR/ADR reporting procedures establecidos (21 CFR 803)</w:t>
      </w:r>
    </w:p>
    <w:p>
      <w:pPr>
        <w:numPr>
          <w:ilvl w:val="0"/>
          <w:numId w:val="1011"/>
        </w:numPr>
        <w:pStyle w:val="Compact"/>
      </w:pPr>
      <w:r>
        <w:t xml:space="preserve">☐ Corrections and Removals procedures (21 CFR 806)</w:t>
      </w:r>
    </w:p>
    <w:p>
      <w:pPr>
        <w:numPr>
          <w:ilvl w:val="0"/>
          <w:numId w:val="1011"/>
        </w:numPr>
        <w:pStyle w:val="Compact"/>
      </w:pPr>
      <w:r>
        <w:t xml:space="preserve">☐ Annual Registration renewal</w:t>
      </w:r>
    </w:p>
    <w:p>
      <w:pPr>
        <w:numPr>
          <w:ilvl w:val="0"/>
          <w:numId w:val="1011"/>
        </w:numPr>
        <w:pStyle w:val="Compact"/>
      </w:pPr>
      <w:r>
        <w:t xml:space="preserve">☐ UDI registration en GUDID</w:t>
      </w:r>
    </w:p>
    <w:p>
      <w:pPr>
        <w:numPr>
          <w:ilvl w:val="0"/>
          <w:numId w:val="1011"/>
        </w:numPr>
        <w:pStyle w:val="Compact"/>
      </w:pPr>
      <w:r>
        <w:t xml:space="preserve">☐ Post-market surveillance plan</w:t>
      </w:r>
    </w:p>
    <w:p>
      <w:pPr>
        <w:numPr>
          <w:ilvl w:val="0"/>
          <w:numId w:val="1011"/>
        </w:numPr>
        <w:pStyle w:val="Compact"/>
      </w:pPr>
      <w:r>
        <w:t xml:space="preserve">☐ Complaint handling procedure (21 CFR 820.198)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Control de Versiones: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Asuntos Regulatorios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confidencial — Horizon Medical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2026-05-16T17:18:26Z</dcterms:created>
  <dcterms:modified xsi:type="dcterms:W3CDTF">2026-05-16T17:18:26Z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