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4e0f88b1a5069e7214b0f07933af625a3616d6e"/>
    <w:p>
      <w:pPr>
        <w:pStyle w:val="Heading1"/>
      </w:pPr>
      <w:r>
        <w:t xml:space="preserve">HORIZON MEDICAL — Guía Paso a Paso: FDA 510(k)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HM-REG-007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Resumen Ejecutivo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Vía regulatoria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510(k) Traditional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DRX (21 CFR 870.2340)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iRhythm Zio XT (K142497)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estimado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 meses (post-preparación)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$127,000–263,000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Indefinida (mientras se mantenga compliance)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imeline-visual"/>
    <w:p>
      <w:pPr>
        <w:pStyle w:val="Heading2"/>
      </w:pPr>
      <w:r>
        <w:t xml:space="preserve">Timeline Visual</w:t>
      </w:r>
    </w:p>
    <w:p>
      <w:pPr>
        <w:pStyle w:val="SourceCode"/>
      </w:pPr>
      <w:r>
        <w:rPr>
          <w:rStyle w:val="VerbatimChar"/>
        </w:rPr>
        <w:t xml:space="preserve">Mes:  1     2     3     4     5     6     7     8     9     10    11    12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ESTAB ████</w:t>
      </w:r>
      <w:r>
        <w:br/>
      </w:r>
      <w:r>
        <w:rPr>
          <w:rStyle w:val="VerbatimChar"/>
        </w:rPr>
        <w:t xml:space="preserve">      Establishment Registration + Device Listing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QSUB  ██████████</w:t>
      </w:r>
      <w:r>
        <w:br/>
      </w:r>
      <w:r>
        <w:rPr>
          <w:rStyle w:val="VerbatimChar"/>
        </w:rPr>
        <w:t xml:space="preserve">      Pre-Submission (Q-Sub) preparation + meeting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TEST  ████████████████████████</w:t>
      </w:r>
      <w:r>
        <w:br/>
      </w:r>
      <w:r>
        <w:rPr>
          <w:rStyle w:val="VerbatimChar"/>
        </w:rPr>
        <w:t xml:space="preserve">      Testing (EMC, Safety, Bio, SW, AI, Cyber)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PREP  │     │     │     ████████████████</w:t>
      </w:r>
      <w:r>
        <w:br/>
      </w:r>
      <w:r>
        <w:rPr>
          <w:rStyle w:val="VerbatimChar"/>
        </w:rPr>
        <w:t xml:space="preserve">      │     │     │     510(k) document preparation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SUBM  │     │     │     │     │     │     │     ██</w:t>
      </w:r>
      <w:r>
        <w:br/>
      </w:r>
      <w:r>
        <w:rPr>
          <w:rStyle w:val="VerbatimChar"/>
        </w:rPr>
        <w:t xml:space="preserve">      │     │     │     │     │     │     │     eSTAR submission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REV   │     │     │     │     │     │     │     │     ████████████████</w:t>
      </w:r>
      <w:r>
        <w:br/>
      </w:r>
      <w:r>
        <w:rPr>
          <w:rStyle w:val="VerbatimChar"/>
        </w:rPr>
        <w:t xml:space="preserve">      │     │     │     │     │     │     │     │     FDA Review (90+ days)</w:t>
      </w:r>
    </w:p>
    <w:p>
      <w:r>
        <w:pict>
          <v:rect style="width:0;height:1.5pt" o:hralign="center" o:hrstd="t" o:hr="t"/>
        </w:pict>
      </w:r>
    </w:p>
    <w:bookmarkEnd w:id="21"/>
    <w:bookmarkStart w:id="24" w:name="paso-1-establecimiento-y-registro-mes-1"/>
    <w:p>
      <w:pPr>
        <w:pStyle w:val="Heading2"/>
      </w:pPr>
      <w:r>
        <w:t xml:space="preserve">Paso 1: Establecimiento y Registro (Mes 1)</w:t>
      </w:r>
    </w:p>
    <w:bookmarkStart w:id="22" w:name="acciones"/>
    <w:p>
      <w:pPr>
        <w:pStyle w:val="Heading3"/>
      </w:pPr>
      <w:r>
        <w:t xml:space="preserve">1.1 Acciones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Obtener D-U-N-S Number</w:t>
      </w:r>
      <w:r>
        <w:t xml:space="preserve"> </w:t>
      </w:r>
      <w:r>
        <w:t xml:space="preserve">(Dun &amp; Bradstreet) — requerido para registro FDA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Designar US Agent</w:t>
      </w:r>
      <w:r>
        <w:t xml:space="preserve"> </w:t>
      </w:r>
      <w:r>
        <w:t xml:space="preserve">(obligatorio si fabricante fuera de EE.UU.)</w:t>
      </w:r>
    </w:p>
    <w:p>
      <w:pPr>
        <w:numPr>
          <w:ilvl w:val="1"/>
          <w:numId w:val="1002"/>
        </w:numPr>
        <w:pStyle w:val="Compact"/>
      </w:pPr>
      <w:r>
        <w:t xml:space="preserve">Requerimiento: persona o empresa en EE.UU. que actúe como punto de contacto</w:t>
      </w:r>
    </w:p>
    <w:p>
      <w:pPr>
        <w:numPr>
          <w:ilvl w:val="1"/>
          <w:numId w:val="1002"/>
        </w:numPr>
        <w:pStyle w:val="Compact"/>
      </w:pPr>
      <w:r>
        <w:t xml:space="preserve">Servicios de US Agent: RQMIS, Registrar Corp, Pacific Bridge Medical, emergo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Registrar establecimiento ante FDA</w:t>
      </w:r>
      <w:r>
        <w:t xml:space="preserve"> </w:t>
      </w:r>
      <w:r>
        <w:t xml:space="preserve">(21 CFR 807)</w:t>
      </w:r>
    </w:p>
    <w:p>
      <w:pPr>
        <w:numPr>
          <w:ilvl w:val="1"/>
          <w:numId w:val="1003"/>
        </w:numPr>
        <w:pStyle w:val="Compact"/>
      </w:pPr>
      <w:r>
        <w:t xml:space="preserve">Portal: https://www.fda.gov/medical-devices/device-registration-and-listing</w:t>
      </w:r>
    </w:p>
    <w:p>
      <w:pPr>
        <w:numPr>
          <w:ilvl w:val="1"/>
          <w:numId w:val="1003"/>
        </w:numPr>
        <w:pStyle w:val="Compact"/>
      </w:pPr>
      <w:r>
        <w:t xml:space="preserve">Periodo: octubre 1 – diciembre 31 de cada año (registro anual)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Registrar dispositivo (Device Listing)</w:t>
      </w:r>
      <w:r>
        <w:t xml:space="preserve"> </w:t>
      </w:r>
      <w:r>
        <w:t xml:space="preserve">en FDA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Pagar Annual Registration Fee</w:t>
      </w:r>
      <w:r>
        <w:t xml:space="preserve"> </w:t>
      </w:r>
      <w:r>
        <w:t xml:space="preserve">(~$6,493 USD en 2026)</w:t>
      </w:r>
    </w:p>
    <w:bookmarkEnd w:id="22"/>
    <w:bookmarkStart w:id="23" w:name="costos"/>
    <w:p>
      <w:pPr>
        <w:pStyle w:val="Heading3"/>
      </w:pPr>
      <w:r>
        <w:t xml:space="preserve">1.2 Costos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D-U-N-S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Agent (anual)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Establishment Registration (anual)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~$6,493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paso-2-pre-submission-meeting-mes-13"/>
    <w:p>
      <w:pPr>
        <w:pStyle w:val="Heading2"/>
      </w:pPr>
      <w:r>
        <w:t xml:space="preserve">Paso 2: Pre-Submission Meeting (Mes 1–3)</w:t>
      </w:r>
    </w:p>
    <w:bookmarkStart w:id="25" w:name="por-qué-es-importante"/>
    <w:p>
      <w:pPr>
        <w:pStyle w:val="Heading3"/>
      </w:pPr>
      <w:r>
        <w:t xml:space="preserve">2.1 ¿Por qué es importante?</w:t>
      </w:r>
    </w:p>
    <w:p>
      <w:pPr>
        <w:pStyle w:val="FirstParagraph"/>
      </w:pPr>
      <w:r>
        <w:t xml:space="preserve">El Pre-Submission (Q-Sub) permite obtener feedback de FDA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preparar la 510(k) completa. Es especialmente valioso para Horizon Medical debido al componente de IA/ML.</w:t>
      </w:r>
    </w:p>
    <w:bookmarkEnd w:id="25"/>
    <w:bookmarkStart w:id="26" w:name="acciones-1"/>
    <w:p>
      <w:pPr>
        <w:pStyle w:val="Heading3"/>
      </w:pPr>
      <w:r>
        <w:t xml:space="preserve">2.2 Acciones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Pre-Submission request</w:t>
      </w:r>
      <w:r>
        <w:t xml:space="preserve"> </w:t>
      </w:r>
      <w:r>
        <w:t xml:space="preserve">que incluya:</w:t>
      </w:r>
    </w:p>
    <w:p>
      <w:pPr>
        <w:numPr>
          <w:ilvl w:val="1"/>
          <w:numId w:val="1005"/>
        </w:numPr>
        <w:pStyle w:val="Compact"/>
      </w:pPr>
      <w:r>
        <w:t xml:space="preserve">Descripción del dispositivo</w:t>
      </w:r>
    </w:p>
    <w:p>
      <w:pPr>
        <w:numPr>
          <w:ilvl w:val="1"/>
          <w:numId w:val="1005"/>
        </w:numPr>
        <w:pStyle w:val="Compact"/>
      </w:pPr>
      <w:r>
        <w:t xml:space="preserve">Uso previsto y indicaciones</w:t>
      </w:r>
    </w:p>
    <w:p>
      <w:pPr>
        <w:numPr>
          <w:ilvl w:val="1"/>
          <w:numId w:val="1005"/>
        </w:numPr>
        <w:pStyle w:val="Compact"/>
      </w:pPr>
      <w:r>
        <w:t xml:space="preserve">Predicado(s) propuesto(s)</w:t>
      </w:r>
    </w:p>
    <w:p>
      <w:pPr>
        <w:numPr>
          <w:ilvl w:val="1"/>
          <w:numId w:val="1005"/>
        </w:numPr>
        <w:pStyle w:val="Compact"/>
      </w:pPr>
      <w:r>
        <w:t xml:space="preserve">Preguntas específicas para FDA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Formular preguntas clave</w:t>
      </w:r>
      <w:r>
        <w:t xml:space="preserve"> </w:t>
      </w:r>
      <w:r>
        <w:t xml:space="preserve">para FDA:</w:t>
      </w:r>
    </w:p>
    <w:p>
      <w:pPr>
        <w:numPr>
          <w:ilvl w:val="1"/>
          <w:numId w:val="1006"/>
        </w:numPr>
        <w:pStyle w:val="Compact"/>
      </w:pPr>
      <w:r>
        <w:t xml:space="preserve">¿Es aceptable Zio XT (K142497) como predicado para este dispositivo?</w:t>
      </w:r>
    </w:p>
    <w:p>
      <w:pPr>
        <w:numPr>
          <w:ilvl w:val="1"/>
          <w:numId w:val="1006"/>
        </w:numPr>
        <w:pStyle w:val="Compact"/>
      </w:pPr>
      <w:r>
        <w:t xml:space="preserve">¿Qué datos clínicos son necesarios para demostrar substantial equivalence?</w:t>
      </w:r>
    </w:p>
    <w:p>
      <w:pPr>
        <w:numPr>
          <w:ilvl w:val="1"/>
          <w:numId w:val="1006"/>
        </w:numPr>
        <w:pStyle w:val="Compact"/>
      </w:pPr>
      <w:r>
        <w:t xml:space="preserve">¿Qué documentación de AI/ML es requerida?</w:t>
      </w:r>
    </w:p>
    <w:p>
      <w:pPr>
        <w:numPr>
          <w:ilvl w:val="1"/>
          <w:numId w:val="1006"/>
        </w:numPr>
        <w:pStyle w:val="Compact"/>
      </w:pPr>
      <w:r>
        <w:t xml:space="preserve">¿Se necesita un PCCP o es suficiente documentar como locked algorithm?</w:t>
      </w:r>
    </w:p>
    <w:p>
      <w:pPr>
        <w:numPr>
          <w:ilvl w:val="1"/>
          <w:numId w:val="1006"/>
        </w:numPr>
        <w:pStyle w:val="Compact"/>
      </w:pPr>
      <w:r>
        <w:t xml:space="preserve">¿Qué nivel de cybersecurity testing es esperado?</w:t>
      </w:r>
    </w:p>
    <w:p>
      <w:pPr>
        <w:numPr>
          <w:ilvl w:val="1"/>
          <w:numId w:val="1006"/>
        </w:numPr>
        <w:pStyle w:val="Compact"/>
      </w:pPr>
      <w:r>
        <w:t xml:space="preserve">¿Es necesario un estudio clínico prospectivo o son suficientes los bench data + validación retrospectiva de IA?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Enviar Q-Sub a FDA</w:t>
      </w:r>
      <w:r>
        <w:t xml:space="preserve"> </w:t>
      </w:r>
      <w:r>
        <w:t xml:space="preserve">vía email a CDRH-PREMARKETQSUB@fda.hhs.gov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Asistir al meeting</w:t>
      </w:r>
      <w:r>
        <w:t xml:space="preserve"> </w:t>
      </w:r>
      <w:r>
        <w:t xml:space="preserve">(teleconferencia, ~60 minutos)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Documentar feedback</w:t>
      </w:r>
      <w:r>
        <w:t xml:space="preserve"> </w:t>
      </w:r>
      <w:r>
        <w:t xml:space="preserve">y ajustar plan de 510(k)</w:t>
      </w:r>
    </w:p>
    <w:bookmarkEnd w:id="26"/>
    <w:bookmarkStart w:id="27" w:name="timeline-del-q-sub"/>
    <w:p>
      <w:pPr>
        <w:pStyle w:val="Heading3"/>
      </w:pPr>
      <w:r>
        <w:t xml:space="preserve">2.3 Timeline del Q-Sub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Preparación del Q-Sub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acusa recibo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programa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60–75 días desde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minutes (feedback escrito)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 post-meeting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paso-3-testing-y-evidencia-mes-16"/>
    <w:p>
      <w:pPr>
        <w:pStyle w:val="Heading2"/>
      </w:pPr>
      <w:r>
        <w:t xml:space="preserve">Paso 3: Testing y Evidencia (Mes 1–6)</w:t>
      </w:r>
    </w:p>
    <w:bookmarkStart w:id="29" w:name="testing-plan"/>
    <w:p>
      <w:pPr>
        <w:pStyle w:val="Heading3"/>
      </w:pPr>
      <w:r>
        <w:t xml:space="preserve">3.1 Testing Plan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 (seguridad eléctrica)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[Lab acreditado]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$8,000–15,000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60601-1-2 (EMC)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[Lab acreditado]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60601-2-47 (Holter)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[Lab acreditado]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 (biocompatibilidad)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[Lab acreditado]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62133-2 (batería)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[Lab acreditado]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$3,000–8,000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V&amp;V (IEC 62304)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$15,000–30,000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 +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Externo (pen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 study (IEC 62366)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Interno/Externo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validation (si requerido)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Hospital/CRO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8–16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$20,000–50,000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29"/>
    <w:bookmarkStart w:id="30" w:name="laboratorios-recomendados-fda-recognized"/>
    <w:p>
      <w:pPr>
        <w:pStyle w:val="Heading3"/>
      </w:pPr>
      <w:r>
        <w:t xml:space="preserve">3.2 Laboratorios Recomendados (FDA-recognized)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(US, 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suite IEC 60601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TÜV SÜD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Munich / Portland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 + EMC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Northbrook, 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+ EMC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Nelson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 Lake City, 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Biocompatibilidad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Toledo, 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Biocompatibilidad + preclinical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paso-4-preparación-del-510k-mes-48"/>
    <w:p>
      <w:pPr>
        <w:pStyle w:val="Heading2"/>
      </w:pPr>
      <w:r>
        <w:t xml:space="preserve">Paso 4: Preparación del 510(k) (Mes 4–8)</w:t>
      </w:r>
    </w:p>
    <w:bookmarkStart w:id="32" w:name="estructura-del-510k-estar-format"/>
    <w:p>
      <w:pPr>
        <w:pStyle w:val="Heading3"/>
      </w:pPr>
      <w:r>
        <w:t xml:space="preserve">4.1 Estructura del 510(k) — eSTAR Format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 eSTAR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letter, 510(k) summary, truthful statement, financial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completa, componentes, principio de funcionamiento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Substantial Equivalence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table, justificación de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Testing — 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Safety, EMC, ECG accuracy, 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Testing —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concern, SRS, architecture, V&amp;V,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Testing — AI/ML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Algorithm, training data, performance, bias, PCCP (if 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model, risk assessment, controls, 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 evaluation, test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— 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62366 summative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—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data (if any), literature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IFU, device labels,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Declarations of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</w:t>
            </w:r>
          </w:p>
        </w:tc>
      </w:tr>
    </w:tbl>
    <w:bookmarkEnd w:id="32"/>
    <w:bookmarkStart w:id="33" w:name="acciones-2"/>
    <w:p>
      <w:pPr>
        <w:pStyle w:val="Heading3"/>
      </w:pPr>
      <w:r>
        <w:t xml:space="preserve">4.2 Acciones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Descargar eSTAR template</w:t>
      </w:r>
      <w:r>
        <w:t xml:space="preserve"> </w:t>
      </w:r>
      <w:r>
        <w:t xml:space="preserve">de FDA (formato electrónico obligatorio)</w:t>
      </w:r>
    </w:p>
    <w:p>
      <w:pPr>
        <w:numPr>
          <w:ilvl w:val="1"/>
          <w:numId w:val="1008"/>
        </w:numPr>
        <w:pStyle w:val="Compact"/>
      </w:pPr>
      <w:r>
        <w:t xml:space="preserve">https://www.fda.gov/medical-devices/how-study-and-market-your-device/estar-medical-device-premarket-submissions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Compilar 510(k) Summary</w:t>
      </w:r>
      <w:r>
        <w:t xml:space="preserve"> </w:t>
      </w:r>
      <w:r>
        <w:t xml:space="preserve">(o Statement)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Redactar Indications for Use</w:t>
      </w:r>
      <w:r>
        <w:t xml:space="preserve"> </w:t>
      </w:r>
      <w:r>
        <w:t xml:space="preserve">(FDA Form 3881)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Device Description</w:t>
      </w:r>
      <w:r>
        <w:t xml:space="preserve"> </w:t>
      </w:r>
      <w:r>
        <w:t xml:space="preserve">detallada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Elaborar Substantial Equivalence Discussion</w:t>
      </w:r>
      <w:r>
        <w:t xml:space="preserve"> </w:t>
      </w:r>
      <w:r>
        <w:t xml:space="preserve">con tablas comparativas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Compilar Performance Testing</w:t>
      </w:r>
      <w:r>
        <w:t xml:space="preserve"> </w:t>
      </w:r>
      <w:r>
        <w:t xml:space="preserve">(bench, software, AI/ML, cyber)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Biocompatibility Evaluation</w:t>
      </w:r>
      <w:r>
        <w:t xml:space="preserve"> </w:t>
      </w:r>
      <w:r>
        <w:t xml:space="preserve">(summary + reports)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Compilar Clinical Data</w:t>
      </w:r>
      <w:r>
        <w:t xml:space="preserve"> </w:t>
      </w:r>
      <w:r>
        <w:t xml:space="preserve">(usability + clinical performance)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Labeling</w:t>
      </w:r>
      <w:r>
        <w:t xml:space="preserve"> </w:t>
      </w:r>
      <w:r>
        <w:t xml:space="preserve">(IFU, labels)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Standards Declarations</w:t>
      </w:r>
      <w:r>
        <w:t xml:space="preserve"> </w:t>
      </w:r>
      <w:r>
        <w:t xml:space="preserve">(lista de normas con declaraciones de conformidad)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Completar Financial Certification</w:t>
      </w:r>
      <w:r>
        <w:t xml:space="preserve"> </w:t>
      </w:r>
      <w:r>
        <w:t xml:space="preserve">(FDA Form 3674)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Realizar revisión interna</w:t>
      </w:r>
      <w:r>
        <w:t xml:space="preserve"> </w:t>
      </w:r>
      <w:r>
        <w:t xml:space="preserve">completa del submission package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Contratar consultor regulatorio</w:t>
      </w:r>
      <w:r>
        <w:t xml:space="preserve"> </w:t>
      </w:r>
      <w:r>
        <w:t xml:space="preserve">para revisión final (recomendado)</w:t>
      </w:r>
    </w:p>
    <w:bookmarkEnd w:id="33"/>
    <w:bookmarkStart w:id="34" w:name="costos-1"/>
    <w:p>
      <w:pPr>
        <w:pStyle w:val="Heading3"/>
      </w:pPr>
      <w:r>
        <w:t xml:space="preserve">4.3 Costos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Consultoría regulatoria (preparación 510(k))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$30,000–80,000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MDUFA User Fee (510(k),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~$21,760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MDUFA User Fee (510(k), small business)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~$5,440 (2026)</w:t>
            </w:r>
          </w:p>
        </w:tc>
      </w:tr>
    </w:tbl>
    <w:p>
      <w:pPr>
        <w:pStyle w:val="BlockText"/>
      </w:pPr>
      <w:r>
        <w:rPr>
          <w:bCs/>
          <w:b/>
        </w:rPr>
        <w:t xml:space="preserve">Small Business Qualification:</w:t>
      </w:r>
      <w:r>
        <w:t xml:space="preserve"> </w:t>
      </w:r>
      <w:r>
        <w:t xml:space="preserve">Aplicar antes del 31 de diciembre del año fiscal anterior. Requiere ingresos brutos anuales &lt; $100M.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aso-5-sometimiento-a-fda-mes-8"/>
    <w:p>
      <w:pPr>
        <w:pStyle w:val="Heading2"/>
      </w:pPr>
      <w:r>
        <w:t xml:space="preserve">Paso 5: Sometimiento a FDA (Mes 8)</w:t>
      </w:r>
    </w:p>
    <w:bookmarkStart w:id="36" w:name="acciones-3"/>
    <w:p>
      <w:pPr>
        <w:pStyle w:val="Heading3"/>
      </w:pPr>
      <w:r>
        <w:t xml:space="preserve">5.1 Acciones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Pagar MDUFA User Fee</w:t>
      </w:r>
      <w:r>
        <w:t xml:space="preserve"> </w:t>
      </w:r>
      <w:r>
        <w:t xml:space="preserve">antes del sometimiento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Enviar 510(k) vía eSTAR</w:t>
      </w:r>
      <w:r>
        <w:t xml:space="preserve"> </w:t>
      </w:r>
      <w:r>
        <w:t xml:space="preserve">(no se aceptan en papel)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Incluir todos los exhibits</w:t>
      </w:r>
      <w:r>
        <w:t xml:space="preserve"> </w:t>
      </w:r>
      <w:r>
        <w:t xml:space="preserve">referenciados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Confirmar receipt</w:t>
      </w:r>
      <w:r>
        <w:t xml:space="preserve"> </w:t>
      </w:r>
      <w:r>
        <w:t xml:space="preserve">de FDA (Acknowledgment Letter, ~2 semanas)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Anotar 510(k) number</w:t>
      </w:r>
      <w:r>
        <w:t xml:space="preserve"> </w:t>
      </w:r>
      <w:r>
        <w:t xml:space="preserve">asignado (formato: K2XXXXX)</w:t>
      </w:r>
    </w:p>
    <w:bookmarkEnd w:id="36"/>
    <w:bookmarkStart w:id="37" w:name="portal-de-sometimiento"/>
    <w:p>
      <w:pPr>
        <w:pStyle w:val="Heading3"/>
      </w:pPr>
      <w:r>
        <w:t xml:space="preserve">5.2 Portal de Sometimiento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FDA’s eSTAR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https://www.fda.gov/medical-devices/device-advice-comprehensive-regulatory-assistance/track-your-device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paso-6-revisión-fda-mes-812"/>
    <w:p>
      <w:pPr>
        <w:pStyle w:val="Heading2"/>
      </w:pPr>
      <w:r>
        <w:t xml:space="preserve">Paso 6: Revisión FDA (Mes 8–12)</w:t>
      </w:r>
    </w:p>
    <w:bookmarkStart w:id="39" w:name="proceso-de-revisión"/>
    <w:p>
      <w:pPr>
        <w:pStyle w:val="Heading3"/>
      </w:pPr>
      <w:r>
        <w:t xml:space="preserve">6.1 Proceso de Revisión</w:t>
      </w:r>
    </w:p>
    <w:p>
      <w:pPr>
        <w:pStyle w:val="SourceCode"/>
      </w:pPr>
      <w:r>
        <w:rPr>
          <w:rStyle w:val="VerbatimChar"/>
        </w:rPr>
        <w:t xml:space="preserve">Sometimiento (Día 0)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Acceptance Review ──── Refuse to Accept (RTA) ──▶ Corregir (15 días)</w:t>
      </w:r>
      <w:r>
        <w:br/>
      </w:r>
      <w:r>
        <w:rPr>
          <w:rStyle w:val="VerbatimChar"/>
        </w:rPr>
        <w:t xml:space="preserve">(Día 1–15)                                        y re-submit</w:t>
      </w:r>
      <w:r>
        <w:br/>
      </w:r>
      <w:r>
        <w:rPr>
          <w:rStyle w:val="VerbatimChar"/>
        </w:rPr>
        <w:t xml:space="preserve">     │ Accepted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Filing Review ────── Assigned to Reviewer + Branch Chief</w:t>
      </w:r>
      <w:r>
        <w:br/>
      </w:r>
      <w:r>
        <w:rPr>
          <w:rStyle w:val="VerbatimChar"/>
        </w:rPr>
        <w:t xml:space="preserve">(Día 15)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Substantive Review ─── Additional Information (AI) Request ──▶ Responder</w:t>
      </w:r>
      <w:r>
        <w:br/>
      </w:r>
      <w:r>
        <w:rPr>
          <w:rStyle w:val="VerbatimChar"/>
        </w:rPr>
        <w:t xml:space="preserve">(Día 15–90)              (pausa el reloj)                      (180 días)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┌──┴──┐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SE    NSE  (Not Substantially Equivalent → appeal o re-submit)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510(k) Clearance Letter (SE Decision)</w:t>
      </w:r>
    </w:p>
    <w:bookmarkEnd w:id="39"/>
    <w:bookmarkStart w:id="40" w:name="tiempos-típicos"/>
    <w:p>
      <w:pPr>
        <w:pStyle w:val="Heading3"/>
      </w:pPr>
      <w:r>
        <w:t xml:space="preserve">6.2 Tiempos Típicos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calendar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hay deficiencias → RTA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Substantive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calendar days (MDUFA goal)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dispositivos con AI/ML puede extenderse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 el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fabricante tiene 180 días para responder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(sin AI 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(con AI 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120–180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para dispositivos con IA</w:t>
            </w:r>
          </w:p>
        </w:tc>
      </w:tr>
    </w:tbl>
    <w:bookmarkEnd w:id="40"/>
    <w:bookmarkStart w:id="41" w:name="acciones-durante-la-revisión"/>
    <w:p>
      <w:pPr>
        <w:pStyle w:val="Heading3"/>
      </w:pPr>
      <w:r>
        <w:t xml:space="preserve">6.3 Acciones Durante la Revisión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Monitorear estado</w:t>
      </w:r>
      <w:r>
        <w:t xml:space="preserve"> </w:t>
      </w:r>
      <w:r>
        <w:t xml:space="preserve">del 510(k) en el portal FDA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equipo de respuesta</w:t>
      </w:r>
      <w:r>
        <w:t xml:space="preserve"> </w:t>
      </w:r>
      <w:r>
        <w:t xml:space="preserve">para posibles AI requests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Responder AI requests</w:t>
      </w:r>
      <w:r>
        <w:t xml:space="preserve"> </w:t>
      </w:r>
      <w:r>
        <w:t xml:space="preserve">de forma completa y dentro de plazo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Considerar meeting</w:t>
      </w:r>
      <w:r>
        <w:t xml:space="preserve"> </w:t>
      </w:r>
      <w:r>
        <w:t xml:space="preserve">con reviewer si hay preguntas complejas</w:t>
      </w:r>
    </w:p>
    <w:bookmarkEnd w:id="41"/>
    <w:bookmarkStart w:id="42" w:name="X9a006efa351f1339d2e9b7480bcbddff738bdef"/>
    <w:p>
      <w:pPr>
        <w:pStyle w:val="Heading3"/>
      </w:pPr>
      <w:r>
        <w:t xml:space="preserve">6.4 AI Requests Comunes para Dispositivos con IA/ML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 Típica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Prepararse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Describe la representación demográfica del dataset de entrenamiento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análisis detallado de demographics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Proporcione métricas de rendimiento en subgrupos (edad, sexo, raza)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bias completo 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Proporcione datos de validación clínica independiente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 clínico o validación con dataset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¿Es un locked algorithm? Si no, proporcione PCCP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claramente como locked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Proporcione SBOM completo y threat model actualizado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en formato CycloneDX/SPDX listo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paso-7-post-clearance-continuo"/>
    <w:p>
      <w:pPr>
        <w:pStyle w:val="Heading2"/>
      </w:pPr>
      <w:r>
        <w:t xml:space="preserve">Paso 7: Post-Clearance (Continuo)</w:t>
      </w:r>
    </w:p>
    <w:bookmarkStart w:id="44" w:name="acciones-inmediatas"/>
    <w:p>
      <w:pPr>
        <w:pStyle w:val="Heading3"/>
      </w:pPr>
      <w:r>
        <w:t xml:space="preserve">7.1 Acciones Inmediatas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Registrar UDI en GUDID</w:t>
      </w:r>
      <w:r>
        <w:t xml:space="preserve"> </w:t>
      </w:r>
      <w:r>
        <w:t xml:space="preserve">(Global Unique Device Identification Database)</w:t>
      </w:r>
    </w:p>
    <w:p>
      <w:pPr>
        <w:numPr>
          <w:ilvl w:val="1"/>
          <w:numId w:val="1012"/>
        </w:numPr>
        <w:pStyle w:val="Compact"/>
      </w:pPr>
      <w:r>
        <w:t xml:space="preserve">https://www.fda.gov/medical-devices/unique-device-identification-system-udi-system/global-unique-device-identification-database-gudid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Actualizar Device Listing</w:t>
      </w:r>
      <w:r>
        <w:t xml:space="preserve"> </w:t>
      </w:r>
      <w:r>
        <w:t xml:space="preserve">en FDA con 510(k) number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Implementar MDR/ADR reporting</w:t>
      </w:r>
      <w:r>
        <w:t xml:space="preserve"> </w:t>
      </w:r>
      <w:r>
        <w:t xml:space="preserve">(21 CFR 803)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Establecer complaint handling</w:t>
      </w:r>
      <w:r>
        <w:t xml:space="preserve"> </w:t>
      </w:r>
      <w:r>
        <w:t xml:space="preserve">(21 CFR 820.198)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Implementar Corrections and Removals</w:t>
      </w:r>
      <w:r>
        <w:t xml:space="preserve"> </w:t>
      </w:r>
      <w:r>
        <w:t xml:space="preserve">procedures (21 CFR 806)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Iniciar comercialización</w:t>
      </w:r>
      <w:r>
        <w:t xml:space="preserve"> </w:t>
      </w:r>
      <w:r>
        <w:t xml:space="preserve">en EE.UU.</w:t>
      </w:r>
    </w:p>
    <w:bookmarkEnd w:id="44"/>
    <w:bookmarkStart w:id="45" w:name="obligaciones-continuas"/>
    <w:p>
      <w:pPr>
        <w:pStyle w:val="Heading3"/>
      </w:pPr>
      <w:r>
        <w:t xml:space="preserve">7.2 Obligaciones Continuas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Establishment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Octubre 1 – Diciembre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807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Registration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MDUFA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MDR (Medical Device Report) — deaths/injuries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 / 5 días (awareness)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MDR — malfunctions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Corrections and Removals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working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controls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820.30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QMS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820 (→ ISO 13485 transition)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UDI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device info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830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recursos-y-contactos"/>
    <w:p>
      <w:pPr>
        <w:pStyle w:val="Heading2"/>
      </w:pPr>
      <w:r>
        <w:t xml:space="preserve">Recursos y Contactos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CDRH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https://www.fda.gov/medical-devices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https://www.fda.gov/medical-devices/how-study-and-market-your-device/estar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510(k)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https://www.accessdata.fda.gov/scripts/cdrh/cfdocs/cfpmn/pmn.cfm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MDUFA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https://www.fda.gov/medical-devices/device-advice-comprehensive-regulatory-assistance/medical-device-user-fee-amendments-mdufa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https://www.fda.gov/medical-devices/unique-device-identification-system-udi-system/global-unique-device-identification-database-gudid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Pre-Submission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CDRH-PREMARKETQSUB@fda.hhs.gov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https://www.fda.gov/medical-devices/software-medical-device-samd/artificial-intelligence-and-machine-learning-aiml-enabled-medical-devices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Asuntos Regulatorios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— Horizon Medical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2026-05-16T17:37:40Z</dcterms:created>
  <dcterms:modified xsi:type="dcterms:W3CDTF">2026-05-16T17:37:40Z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