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50b17b0ff88b8b3df7cd15b714caa98197a994d"/>
    <w:p>
      <w:pPr>
        <w:pStyle w:val="Heading1"/>
      </w:pPr>
      <w:r>
        <w:t xml:space="preserve">HORIZON MEDICAL — Clasificación del Dispositivo Médico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HM-REG-001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Clasificación del documento:</w:t>
      </w:r>
      <w:r>
        <w:t xml:space="preserve"> </w:t>
      </w:r>
      <w:r>
        <w:t xml:space="preserve">Confidencial</w:t>
      </w:r>
      <w:r>
        <w:br/>
      </w:r>
      <w:r>
        <w:rPr>
          <w:bCs/>
          <w:b/>
        </w:rPr>
        <w:t xml:space="preserve">Preparado por:</w:t>
      </w:r>
      <w:r>
        <w:t xml:space="preserve"> </w:t>
      </w:r>
      <w:r>
        <w:t xml:space="preserve">Departamento de Asuntos Regulatorios — Horizon Medical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1ecbb9e0f6fd2782c0be86a5087eff38fa2877a">
        <w:r>
          <w:rPr>
            <w:rStyle w:val="Hyperlink"/>
          </w:rPr>
          <w:t xml:space="preserve">Descripción Completa del Dispositivo</w:t>
        </w:r>
      </w:hyperlink>
    </w:p>
    <w:p>
      <w:pPr>
        <w:numPr>
          <w:ilvl w:val="0"/>
          <w:numId w:val="1001"/>
        </w:numPr>
        <w:pStyle w:val="Compact"/>
      </w:pPr>
      <w:hyperlink w:anchor="Xc670d16f43b62535f111dd8749297aca1727bce">
        <w:r>
          <w:rPr>
            <w:rStyle w:val="Hyperlink"/>
          </w:rPr>
          <w:t xml:space="preserve">Uso Previsto (Intended Use)</w:t>
        </w:r>
      </w:hyperlink>
    </w:p>
    <w:p>
      <w:pPr>
        <w:numPr>
          <w:ilvl w:val="0"/>
          <w:numId w:val="1001"/>
        </w:numPr>
        <w:pStyle w:val="Compact"/>
      </w:pPr>
      <w:hyperlink w:anchor="X0b494353bd69f33bcaea2b99d1a2ccbf6690188">
        <w:r>
          <w:rPr>
            <w:rStyle w:val="Hyperlink"/>
          </w:rPr>
          <w:t xml:space="preserve">Indicaciones de Uso</w:t>
        </w:r>
      </w:hyperlink>
    </w:p>
    <w:p>
      <w:pPr>
        <w:numPr>
          <w:ilvl w:val="0"/>
          <w:numId w:val="1001"/>
        </w:numPr>
        <w:pStyle w:val="Compact"/>
      </w:pPr>
      <w:hyperlink w:anchor="X78f29c6145d170adcd44c5a3801002062c004c6">
        <w:r>
          <w:rPr>
            <w:rStyle w:val="Hyperlink"/>
          </w:rPr>
          <w:t xml:space="preserve">Contraindicaciones</w:t>
        </w:r>
      </w:hyperlink>
    </w:p>
    <w:p>
      <w:pPr>
        <w:numPr>
          <w:ilvl w:val="0"/>
          <w:numId w:val="1001"/>
        </w:numPr>
        <w:pStyle w:val="Compact"/>
      </w:pPr>
      <w:hyperlink w:anchor="Xff33c52a581cecca6c028cee13e2733d4f8da02">
        <w:r>
          <w:rPr>
            <w:rStyle w:val="Hyperlink"/>
          </w:rPr>
          <w:t xml:space="preserve">Clasificación por Jurisdicción</w:t>
        </w:r>
      </w:hyperlink>
    </w:p>
    <w:p>
      <w:pPr>
        <w:numPr>
          <w:ilvl w:val="0"/>
          <w:numId w:val="1001"/>
        </w:numPr>
        <w:pStyle w:val="Compact"/>
      </w:pPr>
      <w:hyperlink w:anchor="X12cd28fe277f3e1d1c2e6fbd68f1d511aceacb2">
        <w:r>
          <w:rPr>
            <w:rStyle w:val="Hyperlink"/>
          </w:rPr>
          <w:t xml:space="preserve">Justificación de la Clasificación</w:t>
        </w:r>
      </w:hyperlink>
    </w:p>
    <w:p>
      <w:pPr>
        <w:numPr>
          <w:ilvl w:val="0"/>
          <w:numId w:val="1001"/>
        </w:numPr>
        <w:pStyle w:val="Compact"/>
      </w:pPr>
      <w:hyperlink w:anchor="X82e53f138a47b91f289d0f62e8899d70a0c25df">
        <w:r>
          <w:rPr>
            <w:rStyle w:val="Hyperlink"/>
          </w:rPr>
          <w:t xml:space="preserve">Normas Aplicables</w:t>
        </w:r>
      </w:hyperlink>
    </w:p>
    <w:p>
      <w:pPr>
        <w:numPr>
          <w:ilvl w:val="0"/>
          <w:numId w:val="1001"/>
        </w:numPr>
        <w:pStyle w:val="Compact"/>
      </w:pPr>
      <w:hyperlink w:anchor="X53030e4c67634cd495915cd59c88a28cd99ca69">
        <w:r>
          <w:rPr>
            <w:rStyle w:val="Hyperlink"/>
          </w:rPr>
          <w:t xml:space="preserve">Resumen de Clasificación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descripción-completa-del-dispositivo"/>
    <w:p>
      <w:pPr>
        <w:pStyle w:val="Heading2"/>
      </w:pPr>
      <w:r>
        <w:t xml:space="preserve">1. Descripción Completa del Dispositivo</w:t>
      </w:r>
    </w:p>
    <w:bookmarkStart w:id="21" w:name="nombre-del-dispositivo"/>
    <w:p>
      <w:pPr>
        <w:pStyle w:val="Heading3"/>
      </w:pPr>
      <w:r>
        <w:t xml:space="preserve">1.1 Nombre del Dispositivo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Nombre comercial:</w:t>
      </w:r>
      <w:r>
        <w:t xml:space="preserve"> </w:t>
      </w:r>
      <w:r>
        <w:t xml:space="preserve">Horizon Medical Holter ECG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Nombre genérico:</w:t>
      </w:r>
      <w:r>
        <w:t xml:space="preserve"> </w:t>
      </w:r>
      <w:r>
        <w:t xml:space="preserve">Sistema de monitoreo electrocardiográfico ambulatorio continuo con análisis algorítmico basado en inteligencia artificial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Nombre técnico:</w:t>
      </w:r>
      <w:r>
        <w:t xml:space="preserve"> </w:t>
      </w:r>
      <w:r>
        <w:t xml:space="preserve">Ambulatory electrocardiographic monitoring system with AI-based arrhythmia detection</w:t>
      </w:r>
    </w:p>
    <w:bookmarkEnd w:id="21"/>
    <w:bookmarkStart w:id="22" w:name="descripción-general"/>
    <w:p>
      <w:pPr>
        <w:pStyle w:val="Heading3"/>
      </w:pPr>
      <w:r>
        <w:t xml:space="preserve">1.2 Descripción General</w:t>
      </w:r>
    </w:p>
    <w:p>
      <w:pPr>
        <w:pStyle w:val="FirstParagraph"/>
      </w:pPr>
      <w:r>
        <w:t xml:space="preserve">El sistema Horizon Medical es un dispositivo médico de monitoreo cardíaco ambulatorio de tipo Holter que permite la adquisición, transmisión, almacenamiento y análisis de señales electrocardiográficas (ECG) de forma continua durante períodos de 24 a 48 horas. El sistema integra hardware portátil, conectividad inalámbrica IoT, software en la nube con algoritmos de inteligencia artificial (IA) para detección automatizada de arritmias, una aplicación móvil para el paciente y un dashboard web para el profesional de salud.</w:t>
      </w:r>
    </w:p>
    <w:bookmarkEnd w:id="22"/>
    <w:bookmarkStart w:id="23" w:name="componentes-del-sistema"/>
    <w:p>
      <w:pPr>
        <w:pStyle w:val="Heading3"/>
      </w:pPr>
      <w:r>
        <w:t xml:space="preserve">1.3 Componentes del Sistema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Modelo/Versión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Dispositivo Holter (hardware)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 portátil de adquisición ECG con electrodos de superficie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HM-H100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Firmware del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embebido en el microcontrolador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 v1.0 (nRF52832)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/ Servidor en la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procesamiento, almacenamiento y análisis de datos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 de IA/ML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CNN-LSTM para detección automatizada de arritmias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Aplicación móvil (App)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para paciente (iOS/Android) para visualización y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web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web para profesionales de 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v1.0</w:t>
            </w:r>
          </w:p>
        </w:tc>
      </w:tr>
    </w:tbl>
    <w:bookmarkEnd w:id="23"/>
    <w:bookmarkStart w:id="24" w:name="especificaciones-técnicas-del-hardware"/>
    <w:p>
      <w:pPr>
        <w:pStyle w:val="Heading3"/>
      </w:pPr>
      <w:r>
        <w:t xml:space="preserve">1.4 Especificaciones Técnicas del Hardware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Microcontrolador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Nordic Semiconductor nRF52832 (ARM Cortex-M4F, 64MHz)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AFE (Analog Front-End)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Instruments ADS1298 (8 canales, 24 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ECG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canales (derivaciones)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Resolución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Frecuencia de muestreo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Hz por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Low Energy (BLE) 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LiPo 3.7V, 500mAh recargable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48 horas de monitoreo 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× 40 × 12 mm (aprox.)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 g (sin electrodos)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Protección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IP22 (resistente a salpicaduras)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Desechables, adhesivos Ag/AgCl, tipo snap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USB-C, 5V/500mA</w:t>
            </w:r>
          </w:p>
        </w:tc>
      </w:tr>
    </w:tbl>
    <w:bookmarkEnd w:id="24"/>
    <w:bookmarkStart w:id="25" w:name="especificaciones-del-software"/>
    <w:p>
      <w:pPr>
        <w:pStyle w:val="Heading3"/>
      </w:pPr>
      <w:r>
        <w:t xml:space="preserve">1.5 Especificaciones del Software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C/C++ sobre Zephyr RTOS (nRF52832)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Adquisición, filtrado digital, transmisión 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/ Node.js, infraestructura cloud (AWS/Azure)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Recepción, almacenamiento, procesamiento, 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TensorFlow/PyTorch — Arquitectura CNN-LSTM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de arritmias: FA, TV, bradicardia, taquicardia, extrasístoles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(iOS/Android)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Visualización ECG en tiempo real, alertas,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clínica, informes, gestión de pacientes</w:t>
            </w:r>
          </w:p>
        </w:tc>
      </w:tr>
    </w:tbl>
    <w:bookmarkEnd w:id="25"/>
    <w:bookmarkStart w:id="26" w:name="principio-de-funcionamiento"/>
    <w:p>
      <w:pPr>
        <w:pStyle w:val="Heading3"/>
      </w:pPr>
      <w:r>
        <w:t xml:space="preserve">1.6 Principio de Funcionamiento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Adquisición:</w:t>
      </w:r>
      <w:r>
        <w:t xml:space="preserve"> </w:t>
      </w:r>
      <w:r>
        <w:t xml:space="preserve">Los electrodos de superficie captan las señales bioeléctricas cardíacas. El ADS1298 digitaliza las señales con resolución de 24 bits a 500 Hz.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Preprocesamiento (firmware):</w:t>
      </w:r>
      <w:r>
        <w:t xml:space="preserve"> </w:t>
      </w:r>
      <w:r>
        <w:t xml:space="preserve">Filtrado digital paso-banda (0.05–150 Hz), filtro notch (50/60 Hz), detección de desconexión de electrodos.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Transmisión:</w:t>
      </w:r>
      <w:r>
        <w:t xml:space="preserve"> </w:t>
      </w:r>
      <w:r>
        <w:t xml:space="preserve">Los datos se transmiten vía BLE al teléfono del paciente en tiempo real o se almacenan en buffer interno para transmisión diferida.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Almacenamiento en la nube:</w:t>
      </w:r>
      <w:r>
        <w:t xml:space="preserve"> </w:t>
      </w:r>
      <w:r>
        <w:t xml:space="preserve">La app móvil retransmite los datos al backend vía HTTPS/TLS 1.3.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Análisis IA:</w:t>
      </w:r>
      <w:r>
        <w:t xml:space="preserve"> </w:t>
      </w:r>
      <w:r>
        <w:t xml:space="preserve">El modelo CNN-LSTM analiza segmentos de ECG para clasificar ritmos cardíacos y detectar arritmias.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Visualización y alertas:</w:t>
      </w:r>
      <w:r>
        <w:t xml:space="preserve"> </w:t>
      </w:r>
      <w:r>
        <w:t xml:space="preserve">Los resultados se presentan en la app del paciente y el dashboard clínico. Las alertas críticas se generan en tiempo real.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uso-previsto-intended-use"/>
    <w:p>
      <w:pPr>
        <w:pStyle w:val="Heading2"/>
      </w:pPr>
      <w:r>
        <w:t xml:space="preserve">2. Uso Previsto (Intended Use)</w:t>
      </w:r>
    </w:p>
    <w:bookmarkStart w:id="28" w:name="declaración-de-uso-previsto"/>
    <w:p>
      <w:pPr>
        <w:pStyle w:val="Heading3"/>
      </w:pPr>
      <w:r>
        <w:t xml:space="preserve">2.1 Declaración de Uso Previsto</w:t>
      </w:r>
    </w:p>
    <w:p>
      <w:pPr>
        <w:pStyle w:val="BlockText"/>
      </w:pPr>
      <w:r>
        <w:t xml:space="preserve">El sistema Horizon Medical Holter ECG está destinado a la adquisición, registro, transmisión, almacenamiento, análisis y presentación de señales electrocardiográficas (ECG) de superficie de pacientes adultos en entorno ambulatorio. El dispositivo está diseñado para monitoreo continuo de ECG durante períodos de 24 a 48 horas. El módulo de inteligencia artificial proporciona detección automatizada asistida de arritmias cardíacas como herramienta de soporte a la decisión clínica. Todos los resultados del análisis de IA deben ser revisados y confirmados por un profesional de salud calificado antes de tomar decisiones clínicas.</w:t>
      </w:r>
    </w:p>
    <w:bookmarkEnd w:id="28"/>
    <w:bookmarkStart w:id="29" w:name="población-objetivo"/>
    <w:p>
      <w:pPr>
        <w:pStyle w:val="Heading3"/>
      </w:pPr>
      <w:r>
        <w:t xml:space="preserve">2.2 Población Objetivo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Edad:</w:t>
      </w:r>
      <w:r>
        <w:t xml:space="preserve"> </w:t>
      </w:r>
      <w:r>
        <w:t xml:space="preserve">Pacientes adultos (≥ 18 años)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Sexo:</w:t>
      </w:r>
      <w:r>
        <w:t xml:space="preserve"> </w:t>
      </w:r>
      <w:r>
        <w:t xml:space="preserve">Masculino y femenino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Condición:</w:t>
      </w:r>
      <w:r>
        <w:t xml:space="preserve"> </w:t>
      </w:r>
      <w:r>
        <w:t xml:space="preserve">Pacientes con sospecha o diagnóstico de arritmias cardíacas, palpitaciones, síncope, evaluación post-eventos cardíacos, seguimiento post-ablación o post-implante de dispositivos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Entorno de uso:</w:t>
      </w:r>
      <w:r>
        <w:t xml:space="preserve"> </w:t>
      </w:r>
      <w:r>
        <w:t xml:space="preserve">Ambulatorio (hogar del paciente, vida cotidiana)</w:t>
      </w:r>
    </w:p>
    <w:bookmarkEnd w:id="29"/>
    <w:bookmarkStart w:id="30" w:name="usuarios-previstos"/>
    <w:p>
      <w:pPr>
        <w:pStyle w:val="Heading3"/>
      </w:pPr>
      <w:r>
        <w:t xml:space="preserve">2.3 Usuarios Previstos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Cardiólogo / Electrofisiólogo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Prescripción, revisión de resultados,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Médico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Prescripción inicial, derivación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Técnico/Enfermero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Colocación del dispositivo, instrucción al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físico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Portador del dispositivo durante el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</w:t>
            </w:r>
          </w:p>
        </w:tc>
      </w:tr>
    </w:tbl>
    <w:bookmarkEnd w:id="30"/>
    <w:bookmarkStart w:id="31" w:name="entorno-de-uso"/>
    <w:p>
      <w:pPr>
        <w:pStyle w:val="Heading3"/>
      </w:pPr>
      <w:r>
        <w:t xml:space="preserve">2.4 Entorno de Uso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Dispositivo Holter:</w:t>
      </w:r>
      <w:r>
        <w:t xml:space="preserve"> </w:t>
      </w:r>
      <w:r>
        <w:t xml:space="preserve">Uso ambulatorio, portado sobre el pecho del paciente, ambiente doméstico/cotidiano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 móvil:</w:t>
      </w:r>
      <w:r>
        <w:t xml:space="preserve"> </w:t>
      </w:r>
      <w:r>
        <w:t xml:space="preserve">Smartphone del paciente con Bluetooth y conexión a Internet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Dashboard web:</w:t>
      </w:r>
      <w:r>
        <w:t xml:space="preserve"> </w:t>
      </w:r>
      <w:r>
        <w:t xml:space="preserve">Consultorio médico, hospital, centro de telemedicina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Infraestructura cloud con certificación de seguridad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ndicaciones-de-uso"/>
    <w:p>
      <w:pPr>
        <w:pStyle w:val="Heading2"/>
      </w:pPr>
      <w:r>
        <w:t xml:space="preserve">3. Indicaciones de Uso</w:t>
      </w:r>
    </w:p>
    <w:bookmarkStart w:id="33" w:name="indicaciones-clínicas"/>
    <w:p>
      <w:pPr>
        <w:pStyle w:val="Heading3"/>
      </w:pPr>
      <w:r>
        <w:t xml:space="preserve">3.1 Indicaciones Clínicas</w:t>
      </w:r>
    </w:p>
    <w:p>
      <w:pPr>
        <w:pStyle w:val="FirstParagraph"/>
      </w:pPr>
      <w:r>
        <w:t xml:space="preserve">El sistema Horizon Medical Holter ECG está indicado para: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Detección y documentación de arritmias cardíacas</w:t>
      </w:r>
      <w:r>
        <w:t xml:space="preserve"> </w:t>
      </w:r>
      <w:r>
        <w:t xml:space="preserve">durante la actividad diaria normal del paciente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Evaluación de palpitaciones</w:t>
      </w:r>
      <w:r>
        <w:t xml:space="preserve"> </w:t>
      </w:r>
      <w:r>
        <w:t xml:space="preserve">de origen indeterminado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Evaluación de síncope o pre-síncope</w:t>
      </w:r>
      <w:r>
        <w:t xml:space="preserve"> </w:t>
      </w:r>
      <w:r>
        <w:t xml:space="preserve">de posible etiología cardíaca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Monitoreo de fibrilación auricular (FA)</w:t>
      </w:r>
      <w:r>
        <w:t xml:space="preserve"> </w:t>
      </w:r>
      <w:r>
        <w:t xml:space="preserve">— detección, cuantificación de carga arrítmica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Evaluación de la respuesta ventricular</w:t>
      </w:r>
      <w:r>
        <w:t xml:space="preserve"> </w:t>
      </w:r>
      <w:r>
        <w:t xml:space="preserve">en pacientes con fibrilación auricular conocida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Seguimiento post-ablación</w:t>
      </w:r>
      <w:r>
        <w:t xml:space="preserve"> </w:t>
      </w:r>
      <w:r>
        <w:t xml:space="preserve">de arritmias auriculares o ventriculares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Evaluación de la eficacia de terapia antiarrítmica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Detección de isquemia silente</w:t>
      </w:r>
      <w:r>
        <w:t xml:space="preserve"> </w:t>
      </w:r>
      <w:r>
        <w:t xml:space="preserve">(análisis del segmento ST)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Evaluación de la variabilidad de la frecuencia cardíaca (HRV)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Correlación de síntomas</w:t>
      </w:r>
      <w:r>
        <w:t xml:space="preserve"> </w:t>
      </w:r>
      <w:r>
        <w:t xml:space="preserve">(diario del paciente) con hallazgos electrocardiográficos</w:t>
      </w:r>
    </w:p>
    <w:bookmarkEnd w:id="33"/>
    <w:bookmarkStart w:id="34" w:name="X694e496a69b858619c9b30eccea1dca610dfcc7"/>
    <w:p>
      <w:pPr>
        <w:pStyle w:val="Heading3"/>
      </w:pPr>
      <w:r>
        <w:t xml:space="preserve">3.2 Tipos de Arritmias Detectadas por el Módulo de 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Arritmia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Abreviatura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 de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Fibrilación auricular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/ 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auricular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Taquicardia ventricular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/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Fibrilación ventricular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FV / 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Taquicardia supraventricular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TSV / SVT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Bradicardia sinusal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Taquicardia sinusal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Extrasístoles ventriculares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/ PVC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Baja–Media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Extrasístoles supraventriculares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ESV / 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Pausas sinusales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Bloqueo AV de 2º y 3er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BAV II/III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contraindicaciones"/>
    <w:p>
      <w:pPr>
        <w:pStyle w:val="Heading2"/>
      </w:pPr>
      <w:r>
        <w:t xml:space="preserve">4. Contraindicaciones</w:t>
      </w:r>
    </w:p>
    <w:bookmarkStart w:id="36" w:name="contraindicaciones-absolutas"/>
    <w:p>
      <w:pPr>
        <w:pStyle w:val="Heading3"/>
      </w:pPr>
      <w:r>
        <w:t xml:space="preserve">4.1 Contraindicaciones Absolutas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utilizar para monitoreo en tiempo real en unidades de cuidados intensivos (UCI)</w:t>
      </w:r>
      <w:r>
        <w:t xml:space="preserve"> </w:t>
      </w:r>
      <w:r>
        <w:t xml:space="preserve">— el dispositivo no es un monitor de paciente hospitalario y no está diseñado para alarmas de emergencia en tiempo real en entorno hospitalario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utilizar como único medio de diagnóstico</w:t>
      </w:r>
      <w:r>
        <w:t xml:space="preserve"> </w:t>
      </w:r>
      <w:r>
        <w:t xml:space="preserve">— los resultados del análisis de IA son de soporte y deben ser confirmados por un profesional médico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utilizar en pacientes con implantes electrónicos activos</w:t>
      </w:r>
      <w:r>
        <w:t xml:space="preserve"> </w:t>
      </w:r>
      <w:r>
        <w:t xml:space="preserve">(marcapasos, desfibriladores implantables) sin supervisión médica, debido a posible interferencia electromagnética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utilizar en entornos con campos electromagnéticos intensos</w:t>
      </w:r>
      <w:r>
        <w:t xml:space="preserve"> </w:t>
      </w:r>
      <w:r>
        <w:t xml:space="preserve">(resonancia magnética, equipos de diatermia)</w:t>
      </w:r>
    </w:p>
    <w:bookmarkEnd w:id="36"/>
    <w:bookmarkStart w:id="37" w:name="contraindicaciones-relativas"/>
    <w:p>
      <w:pPr>
        <w:pStyle w:val="Heading3"/>
      </w:pPr>
      <w:r>
        <w:t xml:space="preserve">4.2 Contraindicaciones Relativas</w:t>
      </w:r>
    </w:p>
    <w:p>
      <w:pPr>
        <w:numPr>
          <w:ilvl w:val="0"/>
          <w:numId w:val="1008"/>
        </w:numPr>
        <w:pStyle w:val="Compact"/>
      </w:pPr>
      <w:r>
        <w:t xml:space="preserve">Pacientes con alergias conocidas a adhesivos o electrodos de Ag/AgCl</w:t>
      </w:r>
    </w:p>
    <w:p>
      <w:pPr>
        <w:numPr>
          <w:ilvl w:val="0"/>
          <w:numId w:val="1008"/>
        </w:numPr>
        <w:pStyle w:val="Compact"/>
      </w:pPr>
      <w:r>
        <w:t xml:space="preserve">Pacientes con lesiones cutáneas extensas en la zona de colocación de electrodos</w:t>
      </w:r>
    </w:p>
    <w:p>
      <w:pPr>
        <w:numPr>
          <w:ilvl w:val="0"/>
          <w:numId w:val="1008"/>
        </w:numPr>
        <w:pStyle w:val="Compact"/>
      </w:pPr>
      <w:r>
        <w:t xml:space="preserve">Pacientes pediátricos (&lt; 18 años) — no validado clínicamente para esta población</w:t>
      </w:r>
    </w:p>
    <w:p>
      <w:pPr>
        <w:numPr>
          <w:ilvl w:val="0"/>
          <w:numId w:val="1008"/>
        </w:numPr>
        <w:pStyle w:val="Compact"/>
      </w:pPr>
      <w:r>
        <w:t xml:space="preserve">Pacientes con incapacidad para operar un smartphone (se requiere app para transmisión de datos)</w:t>
      </w:r>
    </w:p>
    <w:bookmarkEnd w:id="37"/>
    <w:bookmarkStart w:id="38" w:name="advertencias-y-precauciones"/>
    <w:p>
      <w:pPr>
        <w:pStyle w:val="Heading3"/>
      </w:pPr>
      <w:r>
        <w:t xml:space="preserve">4.3 Advertencias y Precauciones</w:t>
      </w:r>
    </w:p>
    <w:p>
      <w:pPr>
        <w:numPr>
          <w:ilvl w:val="0"/>
          <w:numId w:val="1009"/>
        </w:numPr>
        <w:pStyle w:val="Compact"/>
      </w:pPr>
      <w:r>
        <w:t xml:space="preserve">El dispositivo</w:t>
      </w:r>
      <w:r>
        <w:t xml:space="preserve"> </w:t>
      </w:r>
      <w:r>
        <w:rPr>
          <w:bCs/>
          <w:b/>
        </w:rPr>
        <w:t xml:space="preserve">no es un desfibrilador</w:t>
      </w:r>
      <w:r>
        <w:t xml:space="preserve"> </w:t>
      </w:r>
      <w:r>
        <w:t xml:space="preserve">ni proporciona terapia eléctrica</w:t>
      </w:r>
    </w:p>
    <w:p>
      <w:pPr>
        <w:numPr>
          <w:ilvl w:val="0"/>
          <w:numId w:val="1009"/>
        </w:numPr>
        <w:pStyle w:val="Compact"/>
      </w:pPr>
      <w:r>
        <w:t xml:space="preserve">Las alertas de IA</w:t>
      </w:r>
      <w:r>
        <w:t xml:space="preserve"> </w:t>
      </w:r>
      <w:r>
        <w:rPr>
          <w:bCs/>
          <w:b/>
        </w:rPr>
        <w:t xml:space="preserve">no reemplazan</w:t>
      </w:r>
      <w:r>
        <w:t xml:space="preserve"> </w:t>
      </w:r>
      <w:r>
        <w:t xml:space="preserve">el juicio clínico profesional</w:t>
      </w:r>
    </w:p>
    <w:p>
      <w:pPr>
        <w:numPr>
          <w:ilvl w:val="0"/>
          <w:numId w:val="1009"/>
        </w:numPr>
        <w:pStyle w:val="Compact"/>
      </w:pPr>
      <w:r>
        <w:t xml:space="preserve">La conectividad BLE tiene un alcance limitado (~10 m); el paciente debe mantener el smartphone cerca</w:t>
      </w:r>
    </w:p>
    <w:p>
      <w:pPr>
        <w:numPr>
          <w:ilvl w:val="0"/>
          <w:numId w:val="1009"/>
        </w:numPr>
        <w:pStyle w:val="Compact"/>
      </w:pPr>
      <w:r>
        <w:t xml:space="preserve">La pérdida temporal de conectividad a Internet no afecta la adquisición de datos (se almacenan localmente y se sincronizan después)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clasificación-por-jurisdicción"/>
    <w:p>
      <w:pPr>
        <w:pStyle w:val="Heading2"/>
      </w:pPr>
      <w:r>
        <w:t xml:space="preserve">5. Clasificación por Jurisdicción</w:t>
      </w:r>
    </w:p>
    <w:bookmarkStart w:id="40" w:name="clasificación-invima-colombia"/>
    <w:p>
      <w:pPr>
        <w:pStyle w:val="Heading3"/>
      </w:pPr>
      <w:r>
        <w:t xml:space="preserve">5.1 Clasificación INVIMA (Colombia)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— Instituto Nacional de Vigilancia de Medicamentos y Alimentos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Normativa aplicable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4725 de 2005 (dispositivos médicos en Colombia)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de riesgo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Clase IIa — Riesgo Moderado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activo, no invasivo, destinado a monitoreo de funciones fisiológicas (ECG) con software de diagnóstico asistido. Según el Artículo 7 del Decreto 4725, los dispositivos activos de diagnóstico destinados a suministrar información para detectar, diagnosticar o monitorizar funciones fisiológicas se clasifican como Clase IIa cuando no son de soporte vital directo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Regla de 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10 (dispositivos activos de diagnóstico)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Sanitario de Dispositivo Médico</w:t>
            </w:r>
          </w:p>
        </w:tc>
      </w:tr>
    </w:tbl>
    <w:bookmarkEnd w:id="40"/>
    <w:bookmarkStart w:id="41" w:name="clasificación-fda-estados-unidos"/>
    <w:p>
      <w:pPr>
        <w:pStyle w:val="Heading3"/>
      </w:pPr>
      <w:r>
        <w:t xml:space="preserve">5.2 Clasificación FDA (Estados Unidos)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— Food and Drug Administration, CDRH (Center for Devices and Radiological Health)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Regulación CFR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Part 870 — Cardiovascular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DRX (Electrocardiograph, Ambulatory — Holter Monitor)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Clase II (Special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Vía regulatoria recomendada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510(k) Premarket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dispositivos cardiovasculares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Predicado (predicate device)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iRhythm Zio XT (K142497), BioTelemetry MCOT (K162604), Cardiac Insight Cardea SOLO (K173437)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 IA/ML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documentación adicional según FDA Guidance</w:t>
            </w:r>
            <w:r>
              <w:t xml:space="preserve"> </w:t>
            </w:r>
            <w:r>
              <w:t xml:space="preserve">“</w:t>
            </w:r>
            <w:r>
              <w:t xml:space="preserve">Artificial Intelligence/Machine Learning (AI/ML)-Based Software as a Medical Device (SaMD)</w:t>
            </w:r>
            <w:r>
              <w:t xml:space="preserve">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Predetermined Change Control Plan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Level of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(el software proporciona información para decisiones clínicas sobre arritmias potencialmente letales)</w:t>
            </w:r>
          </w:p>
        </w:tc>
      </w:tr>
    </w:tbl>
    <w:bookmarkEnd w:id="41"/>
    <w:bookmarkStart w:id="42" w:name="clasificación-emamdr-unión-europea"/>
    <w:p>
      <w:pPr>
        <w:pStyle w:val="Heading3"/>
      </w:pPr>
      <w:r>
        <w:t xml:space="preserve">5.3 Clasificación EMA/MDR (Unión Europea)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Reglamento (UE) 2017/745 — Medical Device Regulation (MDR)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Clase IIa</w:t>
            </w:r>
            <w:r>
              <w:t xml:space="preserve"> </w:t>
            </w:r>
            <w:r>
              <w:t xml:space="preserve">(software de diagnóstico) /</w:t>
            </w:r>
            <w:r>
              <w:t xml:space="preserve"> </w:t>
            </w:r>
            <w:r>
              <w:rPr>
                <w:bCs/>
                <w:b/>
              </w:rPr>
              <w:t xml:space="preserve">Clase IIb</w:t>
            </w:r>
            <w:r>
              <w:t xml:space="preserve"> </w:t>
            </w:r>
            <w:r>
              <w:t xml:space="preserve">(si se considera que la información generada puede conducir directamente a decisiones terapéuticas sobre arritmias potencialmente letales)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recomendada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Clase IIb</w:t>
            </w:r>
            <w:r>
              <w:t xml:space="preserve"> </w:t>
            </w:r>
            <w:r>
              <w:t xml:space="preserve">(enfoque conservador debido a detección de TV/FV)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Regla de clasificación MDR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Regla 11</w:t>
            </w:r>
            <w:r>
              <w:t xml:space="preserve"> </w:t>
            </w:r>
            <w:r>
              <w:t xml:space="preserve">— Software destinado a proporcionar información utilizada para tomar decisiones con fines de diagnóstico o terapéuticos. Si las decisiones tienen un impacto que puede causar la muerte o un deterioro irreversible del estado de salud → Clase III. Si puede causar un deterioro grave → Clase IIb. En otros casos → Clase IIa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 Clase IIb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detecta arritmias ventriculares (TV/FV) cuya no detección podría causar un deterioro grave del estado de salud. Si bien la decisión final es del médico, la información proporcionada es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Organismo Notificado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— obligatorio para Clase IIa y IIb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Marcado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bajo MDR 2017/745 con Declaración de Conformidad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justificación-de-la-clasificación"/>
    <w:p>
      <w:pPr>
        <w:pStyle w:val="Heading2"/>
      </w:pPr>
      <w:r>
        <w:t xml:space="preserve">6. Justificación de la Clasificación</w:t>
      </w:r>
    </w:p>
    <w:bookmarkStart w:id="44" w:name="análisis-de-factores-de-clasificación"/>
    <w:p>
      <w:pPr>
        <w:pStyle w:val="Heading3"/>
      </w:pPr>
      <w:r>
        <w:t xml:space="preserve">6.1 Análisis de Factores de Clasificación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en Clasificación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Invasividad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invasivo (electrodos de superficie)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clasificación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 de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Transitorio a corto plazo (24–48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Fuente de 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activo (batería)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 clasificación vs. pasivo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del cuerpo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Superficie del torso (no SNC, no sistema cardiovascular directo)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Diagnóstico/monitoreo (no terapéutico)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vs. terapéutico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como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SaMD — proporciona información diagnóstica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 clasificación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automatizado con clasificación de arritmias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 clasificación (especialmente en MDR)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 de la 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Arritmias potencialmente letales (TV, FV)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 clasificación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Autonomía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de soporte; decisión final es del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vs. sistema autónomo</w:t>
            </w:r>
          </w:p>
        </w:tc>
      </w:tr>
    </w:tbl>
    <w:bookmarkEnd w:id="44"/>
    <w:bookmarkStart w:id="45" w:name="X991ceafc7cde9258b01fbc7e9abe19847b33732"/>
    <w:p>
      <w:pPr>
        <w:pStyle w:val="Heading3"/>
      </w:pPr>
      <w:r>
        <w:t xml:space="preserve">6.2 Comparación con Predicados y Dispositivos Equivalentes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Vía Regulatoria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Zio XT / Zio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iRhythm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MCOT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BioTelemetry (Philips)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Cardea 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Cardiac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KardiaMobile 6L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 / De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Watch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Novo (DEN180044)</w:t>
            </w:r>
          </w:p>
        </w:tc>
      </w:tr>
    </w:tbl>
    <w:bookmarkEnd w:id="45"/>
    <w:bookmarkStart w:id="46" w:name="conclusión-de-clasificación"/>
    <w:p>
      <w:pPr>
        <w:pStyle w:val="Heading3"/>
      </w:pPr>
      <w:r>
        <w:t xml:space="preserve">6.3 Conclusión de Clasificación</w:t>
      </w:r>
    </w:p>
    <w:p>
      <w:pPr>
        <w:pStyle w:val="FirstParagraph"/>
      </w:pPr>
      <w:r>
        <w:t xml:space="preserve">El sistema Horizon Medical se clasifica de manera consistente como</w:t>
      </w:r>
      <w:r>
        <w:t xml:space="preserve"> </w:t>
      </w:r>
      <w:r>
        <w:rPr>
          <w:bCs/>
          <w:b/>
        </w:rPr>
        <w:t xml:space="preserve">Clase II</w:t>
      </w:r>
      <w:r>
        <w:t xml:space="preserve"> </w:t>
      </w:r>
      <w:r>
        <w:t xml:space="preserve">(FDA) /</w:t>
      </w:r>
      <w:r>
        <w:t xml:space="preserve"> </w:t>
      </w:r>
      <w:r>
        <w:rPr>
          <w:bCs/>
          <w:b/>
        </w:rPr>
        <w:t xml:space="preserve">Clase IIa-IIb</w:t>
      </w:r>
      <w:r>
        <w:t xml:space="preserve"> </w:t>
      </w:r>
      <w:r>
        <w:t xml:space="preserve">(MDR) /</w:t>
      </w:r>
      <w:r>
        <w:t xml:space="preserve"> </w:t>
      </w:r>
      <w:r>
        <w:rPr>
          <w:bCs/>
          <w:b/>
        </w:rPr>
        <w:t xml:space="preserve">Clase IIa</w:t>
      </w:r>
      <w:r>
        <w:t xml:space="preserve"> </w:t>
      </w:r>
      <w:r>
        <w:t xml:space="preserve">(INVIMA), alineado con dispositivos predicados del mismo segmento. La presencia de IA para detección de arritmias ventriculares justifica un enfoque conservador hacia</w:t>
      </w:r>
      <w:r>
        <w:t xml:space="preserve"> </w:t>
      </w:r>
      <w:r>
        <w:rPr>
          <w:bCs/>
          <w:b/>
        </w:rPr>
        <w:t xml:space="preserve">Clase IIb en MDR</w:t>
      </w:r>
      <w:r>
        <w:t xml:space="preserve">, aunque existe precedente de dispositivos similares clasificados como IIa.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normas-aplicables"/>
    <w:p>
      <w:pPr>
        <w:pStyle w:val="Heading2"/>
      </w:pPr>
      <w:r>
        <w:t xml:space="preserve">7. Normas Aplicables</w:t>
      </w:r>
    </w:p>
    <w:bookmarkStart w:id="48" w:name="X7b257f65978614e2c57f9ad5a9c2069efc30fb4"/>
    <w:p>
      <w:pPr>
        <w:pStyle w:val="Heading3"/>
      </w:pPr>
      <w:r>
        <w:t xml:space="preserve">7.1 Normas de Seguridad y Rendimiento Esenciales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electrical equipment — General requirements for basic safety and essential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del dispositivo Holter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60601-1-2:2014+AMD1:2020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EMC — Electromagnetic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Hardware, emisiones e inmunidad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60601-1-6:2010+AMD1:2013+AMD2:2020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sistema (hardware + software)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60601-1-8:2006+AMD1:2012+AMD2:2020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60601-1-11:2015+AMD1:2020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for medical electrical equipment used in the home healthcare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ambulatorio/domiciliario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60601-2-47:2012+AMD1:2019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Particular requirements for the basic safety and essential performance of ambulatory electrocardiographic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particular para Holter ECG</w:t>
            </w:r>
          </w:p>
        </w:tc>
      </w:tr>
    </w:tbl>
    <w:bookmarkEnd w:id="48"/>
    <w:bookmarkStart w:id="49" w:name="normas-de-software"/>
    <w:p>
      <w:pPr>
        <w:pStyle w:val="Heading3"/>
      </w:pPr>
      <w:r>
        <w:t xml:space="preserve">7.2 Normas de Software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62304:2006+AMD1:2015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 software — Software life cycle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software (firmware, backend, app, 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82304-1:2016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software — General requirements for product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 salud como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62366-1:2015+AMD1:2020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devices — Application of usability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 del software y hardware</w:t>
            </w:r>
          </w:p>
        </w:tc>
      </w:tr>
    </w:tbl>
    <w:bookmarkEnd w:id="49"/>
    <w:bookmarkStart w:id="50" w:name="normas-de-gestión-de-calidad-y-riesgo"/>
    <w:p>
      <w:pPr>
        <w:pStyle w:val="Heading3"/>
      </w:pPr>
      <w:r>
        <w:t xml:space="preserve">7.3 Normas de Gestión de Calidad y Riesgo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13485:2016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devices — Quality management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gestión de calidad del fabricante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14971:2019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devices — Application of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riesgos del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ISO/TR 24971:2020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 on the application of ISO 14971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complementaria de gestión de riesgos</w:t>
            </w:r>
          </w:p>
        </w:tc>
      </w:tr>
    </w:tbl>
    <w:bookmarkEnd w:id="50"/>
    <w:bookmarkStart w:id="51" w:name="X8386680409123f115225d072293667861a3d12f"/>
    <w:p>
      <w:pPr>
        <w:pStyle w:val="Heading3"/>
      </w:pPr>
      <w:r>
        <w:t xml:space="preserve">7.4 Normas de Biocompatibilidad y Seguridad Eléctrica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10993-1:2018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evaluation of medical devices — Evaluation and testing within a risk management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Electrodos, carcasa (contacto con piel)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10993-5:2009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for in vitro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en contacto con 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10993-10:2021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for skin sensitization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en contacto con 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62133-2:2017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cells and batteries — Safety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LiPo</w:t>
            </w:r>
          </w:p>
        </w:tc>
      </w:tr>
    </w:tbl>
    <w:bookmarkEnd w:id="51"/>
    <w:bookmarkStart w:id="52" w:name="Xed96344519bf0df1a17aa9f033ff0e981e22054"/>
    <w:p>
      <w:pPr>
        <w:pStyle w:val="Heading3"/>
      </w:pPr>
      <w:r>
        <w:t xml:space="preserve">7.5 Normas de Ciberseguridad y Protección de Datos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 /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81001-5-1:2021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software and health IT systems safety, effectiveness and security —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Ciberseguridad del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AAMI TIR57:2016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for medical device security —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riesgos de ciberseguridad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Guidance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in Medical Devices: QSR Considerations and Content of Premarket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Ciberseguridad para FDA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Cybersecurity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for Improving Critical Infrastructure 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de referencia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(UE 2016/679)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Data Protection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personales en 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Insurance Portability and Accountability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salud en EE.UU.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Ley 1581 de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de datos personales (Colombia)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personales en Colombia</w:t>
            </w:r>
          </w:p>
        </w:tc>
      </w:tr>
    </w:tbl>
    <w:bookmarkEnd w:id="52"/>
    <w:bookmarkStart w:id="53" w:name="normas-de-iaml-para-dispositivos-médicos"/>
    <w:p>
      <w:pPr>
        <w:pStyle w:val="Heading3"/>
      </w:pPr>
      <w:r>
        <w:t xml:space="preserve">7.6 Normas de IA/ML para Dispositivos Médicos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 /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AI/ML Action Plan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Artificial Intelligence/Machine Learning (AI/ML)-Based SaMD Action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regulatorio IA/ML FDA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IMDRF SaMD:2014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as a Medical Device (SaMD): Key Definitions and Possible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de SaMD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ISO/IEC TR 24028:2020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technology — AI — Overview of trustworthiness in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Confiabilidad de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ISO/IEC 23894:2023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technology — AI — Guidance on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riesgos de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GMLP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Machine Learning Practice for Medical Device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Buenas prácticas ML</w:t>
            </w:r>
          </w:p>
        </w:tc>
      </w:tr>
    </w:tbl>
    <w:bookmarkEnd w:id="53"/>
    <w:bookmarkStart w:id="54" w:name="otras-normas-aplicables"/>
    <w:p>
      <w:pPr>
        <w:pStyle w:val="Heading3"/>
      </w:pPr>
      <w:r>
        <w:t xml:space="preserve">7.7 Otras Normas Aplicables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15223-1:2021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devices — Symbols to be used with information to be supplied by the 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60529:2013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 of protection provided by enclosures (IP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Carcasa del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62133-2:2017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lithium cells and batteries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LiPo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38.3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of lithium batteries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 de batería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11607-1:2019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 for terminally sterilized medical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Empaque (si aplica)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UDI (EU 2017/745 Art. 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Device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UDI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 CFR 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Device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UDI FDA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resumen-de-clasificación"/>
    <w:p>
      <w:pPr>
        <w:pStyle w:val="Heading2"/>
      </w:pPr>
      <w:r>
        <w:t xml:space="preserve">8. Resumen de Clasificación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HORIZON MEDICAL — RESUMEN DE CLASIFICACIÓN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├──────────────┬───────────────┬───────────────┬───────────────────────┤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Jurisdicción │ Clasificación │ Vía Regul.    │ Norma/Regulación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├──────────────┼───────────────┼───────────────┼───────────────────────┤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INVIMA (CO)  │ Clase IIa     │ Registro San. │ Decreto 4725/2005     │</w:t>
      </w:r>
      <w:r>
        <w:br/>
      </w:r>
      <w:r>
        <w:rPr>
          <w:rStyle w:val="VerbatimChar"/>
        </w:rPr>
        <w:t xml:space="preserve">│ FDA (US)     │ Clase II      │ 510(k)        │ 21 CFR 870            │</w:t>
      </w:r>
      <w:r>
        <w:br/>
      </w:r>
      <w:r>
        <w:rPr>
          <w:rStyle w:val="VerbatimChar"/>
        </w:rPr>
        <w:t xml:space="preserve">│ EMA/MDR (EU) │ Clase IIb*    │ CE + NB       │ MDR 2017/745 Regla 11 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├──────────────┴───────────────┴───────────────┴───────────────────────┤</w:t>
      </w:r>
      <w:r>
        <w:br/>
      </w:r>
      <w:r>
        <w:rPr>
          <w:rStyle w:val="VerbatimChar"/>
        </w:rPr>
        <w:t xml:space="preserve">│ * Enfoque conservador. Posible Clase IIa si el NB acepta            │</w:t>
      </w:r>
      <w:r>
        <w:br/>
      </w:r>
      <w:r>
        <w:rPr>
          <w:rStyle w:val="VerbatimChar"/>
        </w:rPr>
        <w:t xml:space="preserve">│   que la IA es solo soporte y no influye directamente en terapia.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del documento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documento es parte del expediente regulatorio del sistema Horizon Medical. Toda la información contenida es confidencial y propiedad de Horizon Medical.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2026-05-16T17:06:11Z</dcterms:created>
  <dcterms:modified xsi:type="dcterms:W3CDTF">2026-05-16T17:06:11Z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