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4e5f2ef8c9ca10168a485330c4bc2a1ae22a5a4"/>
    <w:p>
      <w:pPr>
        <w:pStyle w:val="Heading1"/>
      </w:pPr>
      <w:r>
        <w:t xml:space="preserve">HORIZON MEDICAL — Requisitos INVIMA (Colombia)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HM-REG-003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Marco regulatorio:</w:t>
      </w:r>
      <w:r>
        <w:t xml:space="preserve"> </w:t>
      </w:r>
      <w:r>
        <w:t xml:space="preserve">Decreto 4725 de 2005, Resolución 4002 de 2007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5809c6e988a1b5e73794933ff91198d8c172db5">
        <w:r>
          <w:rPr>
            <w:rStyle w:val="Hyperlink"/>
          </w:rPr>
          <w:t xml:space="preserve">Marco Regulatorio Colombiano</w:t>
        </w:r>
      </w:hyperlink>
    </w:p>
    <w:p>
      <w:pPr>
        <w:numPr>
          <w:ilvl w:val="0"/>
          <w:numId w:val="1001"/>
        </w:numPr>
        <w:pStyle w:val="Compact"/>
      </w:pPr>
      <w:hyperlink w:anchor="Xd86450448338fdf1c2cb159d40abe3f7c632677">
        <w:r>
          <w:rPr>
            <w:rStyle w:val="Hyperlink"/>
          </w:rPr>
          <w:t xml:space="preserve">Documentos Técnicos Requeridos</w:t>
        </w:r>
      </w:hyperlink>
    </w:p>
    <w:p>
      <w:pPr>
        <w:numPr>
          <w:ilvl w:val="0"/>
          <w:numId w:val="1001"/>
        </w:numPr>
        <w:pStyle w:val="Compact"/>
      </w:pPr>
      <w:hyperlink w:anchor="X5144a2b7029e423a9769769cd1e9581a9313181">
        <w:r>
          <w:rPr>
            <w:rStyle w:val="Hyperlink"/>
          </w:rPr>
          <w:t xml:space="preserve">Estudios Clínicos Necesarios</w:t>
        </w:r>
      </w:hyperlink>
    </w:p>
    <w:p>
      <w:pPr>
        <w:numPr>
          <w:ilvl w:val="0"/>
          <w:numId w:val="1001"/>
        </w:numPr>
        <w:pStyle w:val="Compact"/>
      </w:pPr>
      <w:hyperlink w:anchor="X9ff638d8e270b237d267175e5c4f67e3e756915">
        <w:r>
          <w:rPr>
            <w:rStyle w:val="Hyperlink"/>
          </w:rPr>
          <w:t xml:space="preserve">Certificaciones ISO Requeridas</w:t>
        </w:r>
      </w:hyperlink>
    </w:p>
    <w:p>
      <w:pPr>
        <w:numPr>
          <w:ilvl w:val="0"/>
          <w:numId w:val="1001"/>
        </w:numPr>
        <w:pStyle w:val="Compact"/>
      </w:pPr>
      <w:hyperlink w:anchor="Xe5bc512a13dd9ab8b2597d2ae5898fd791be8f4">
        <w:r>
          <w:rPr>
            <w:rStyle w:val="Hyperlink"/>
          </w:rPr>
          <w:t xml:space="preserve">Documentación de Software (IEC 62304)</w:t>
        </w:r>
      </w:hyperlink>
    </w:p>
    <w:p>
      <w:pPr>
        <w:numPr>
          <w:ilvl w:val="0"/>
          <w:numId w:val="1001"/>
        </w:numPr>
        <w:pStyle w:val="Compact"/>
      </w:pPr>
      <w:hyperlink w:anchor="X216571cddb08c8e0af8f037a5b7fee581756d3c">
        <w:r>
          <w:rPr>
            <w:rStyle w:val="Hyperlink"/>
          </w:rPr>
          <w:t xml:space="preserve">Documentación de IA/Machine Learning</w:t>
        </w:r>
      </w:hyperlink>
    </w:p>
    <w:p>
      <w:pPr>
        <w:numPr>
          <w:ilvl w:val="0"/>
          <w:numId w:val="1001"/>
        </w:numPr>
        <w:pStyle w:val="Compact"/>
      </w:pPr>
      <w:hyperlink w:anchor="X026c3ffe2e99979765ae77e0162d9c689e3eec6">
        <w:r>
          <w:rPr>
            <w:rStyle w:val="Hyperlink"/>
          </w:rPr>
          <w:t xml:space="preserve">Buenas Prácticas de Manufactura</w:t>
        </w:r>
      </w:hyperlink>
    </w:p>
    <w:p>
      <w:pPr>
        <w:numPr>
          <w:ilvl w:val="0"/>
          <w:numId w:val="1001"/>
        </w:numPr>
        <w:pStyle w:val="Compact"/>
      </w:pPr>
      <w:hyperlink w:anchor="X2631da9a6b5e5a5026242f87f35de58f61a4d8f">
        <w:r>
          <w:rPr>
            <w:rStyle w:val="Hyperlink"/>
          </w:rPr>
          <w:t xml:space="preserve">Checklist Completo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marco-regulatorio-colombiano"/>
    <w:p>
      <w:pPr>
        <w:pStyle w:val="Heading2"/>
      </w:pPr>
      <w:r>
        <w:t xml:space="preserve">1. Marco Regulatorio Colombiano</w:t>
      </w:r>
    </w:p>
    <w:bookmarkStart w:id="21" w:name="legislación-aplicable"/>
    <w:p>
      <w:pPr>
        <w:pStyle w:val="Heading3"/>
      </w:pPr>
      <w:r>
        <w:t xml:space="preserve">1.1 Legislación Aplicable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Decreto 4725 de 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Régimen de registros sanitarios, permiso de comercialización y vigilancia sanitaria de dispositivos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4002 de 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Adopta el instrumento de verificación de cumplimiento de CCAA de dispositivos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BPM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2013009143 de 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requisitos para registro sanitario de dispositivos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específicos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Decreto 3770 de 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Régimen de registros sanitarios (complementario)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Ley 1581 de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de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pacientes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4816 de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Nacional de Tecnovigilancia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Post-market</w:t>
            </w:r>
          </w:p>
        </w:tc>
      </w:tr>
    </w:tbl>
    <w:bookmarkEnd w:id="21"/>
    <w:bookmarkStart w:id="22" w:name="clasificación-en-invima"/>
    <w:p>
      <w:pPr>
        <w:pStyle w:val="Heading3"/>
      </w:pPr>
      <w:r>
        <w:t xml:space="preserve">1.2 Clasificación en INVIMA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Clase de riesgo:</w:t>
      </w:r>
      <w:r>
        <w:t xml:space="preserve"> </w:t>
      </w:r>
      <w:r>
        <w:t xml:space="preserve">IIa (Riesgo Moderado)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Tipo de registro:</w:t>
      </w:r>
      <w:r>
        <w:t xml:space="preserve"> </w:t>
      </w:r>
      <w:r>
        <w:t xml:space="preserve">Registro Sanitario de Dispositivo Médico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Vigencia:</w:t>
      </w:r>
      <w:r>
        <w:t xml:space="preserve"> </w:t>
      </w:r>
      <w:r>
        <w:t xml:space="preserve">10 años, renovable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Titular:</w:t>
      </w:r>
      <w:r>
        <w:t xml:space="preserve"> </w:t>
      </w:r>
      <w:r>
        <w:t xml:space="preserve">Fabricante o importador autorizado en Colombia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Modalidad:</w:t>
      </w:r>
      <w:r>
        <w:t xml:space="preserve"> </w:t>
      </w:r>
      <w:r>
        <w:t xml:space="preserve">Registro sanitario nuevo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ocumentos-técnicos-requeridos"/>
    <w:p>
      <w:pPr>
        <w:pStyle w:val="Heading2"/>
      </w:pPr>
      <w:r>
        <w:t xml:space="preserve">2. Documentos Técnicos Requeridos</w:t>
      </w:r>
    </w:p>
    <w:bookmarkStart w:id="24" w:name="documentación-administrativa"/>
    <w:p>
      <w:pPr>
        <w:pStyle w:val="Heading3"/>
      </w:pPr>
      <w:r>
        <w:t xml:space="preserve">2.1 Documentación Administrativa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Formulario Único de Registro 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oficial INVIMA diligenciado completamente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Poder o autorización del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que autoriza al titular a registrar el dispositivo en Colombia. Debe estar apostillado/consularizado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Certificado de existencia y representación legal</w:t>
            </w:r>
            <w:r>
              <w:t xml:space="preserve"> </w:t>
            </w:r>
            <w:r>
              <w:t xml:space="preserve">del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Cámara de Comercio vigente (&lt; 90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Certificado de libre venta (CLV)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Emitido por la autoridad sanitaria del país de fabricación. Si el fabricante es colombiano, se requiere declaración de conformidad del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Certificado ISO 13485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Certificado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sistema de gestión de calidad vigente, emitido por organismo acreditado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Recibo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de la tasa de evaluación a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</w:tbl>
    <w:bookmarkEnd w:id="24"/>
    <w:bookmarkStart w:id="25" w:name="documentación-técnica-del-dispositivo"/>
    <w:p>
      <w:pPr>
        <w:pStyle w:val="Heading3"/>
      </w:pPr>
      <w:r>
        <w:t xml:space="preserve">2.2 Documentación Técnica del Dispositivo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 del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genérico y comercial, principio de funcionamiento, materiales, componentes, accesorios, especificaciones técnicas, fotografías o dibujos 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previsto y indicaciones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Indicaciones de uso, población objetivo, contraindicaciones, advertencias y precauciones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Instrucciones de uso (IFU)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español. Incluir: instalación, operación, mantenimiento, limpieza, almacenamiento, eliminación. Debe cumplir con requisitos de etiquetado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Maqueta de etiquetas en español. Incluir: nombre del dispositivo, fabricante, representante, lote, fecha de vencimiento (si aplica), condiciones de almacenamiento, símbolos ISO 15223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Especificaciones técnicas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 eléctricos, mecánicos, de software. Para Horizon: frecuencia de muestreo, resolución, canales, rango BLE, autonomía de batería,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Análisis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del Risk Management File según ISO 14971. Incluir: identificación de peligros, estimación de riesgos, medidas de mitigación, riesgo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Reportes de ensayos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de laboratorios acreditados: seguridad eléctrica (IEC 60601-1), EMC (IEC 60601-1-2), Holter (IEC 60601-2-47), biocompatibilidad (ISO 10993)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Información del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general del software, versión, clasificación de seguridad, proceso de validación. Para Horizon: firmware, backend, app, dashboard, módulo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bibliográfica de seguridad y desempeño de dispositivos equivalentes. Datos clínicos propios si están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Declaración de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Declaración firmada por el fabricante de que el dispositivo cumple con las normas técnicas aplicables</w:t>
            </w:r>
          </w:p>
        </w:tc>
      </w:tr>
    </w:tbl>
    <w:bookmarkEnd w:id="25"/>
    <w:bookmarkStart w:id="26" w:name="documentación-de-calidad"/>
    <w:p>
      <w:pPr>
        <w:pStyle w:val="Heading3"/>
      </w:pPr>
      <w:r>
        <w:t xml:space="preserve">2.3 Documentación de Calidad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del sistema de gestión de calidad ISO 13485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Procedimientos de manufactura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proceso de fabricación, controles de proceso, controles de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Procedimientos de inspección y ensayo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 de aceptación, métodos de inspección,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trazabilidad de materiales, componentes, producto terminado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estudios-clínicos-necesarios"/>
    <w:p>
      <w:pPr>
        <w:pStyle w:val="Heading2"/>
      </w:pPr>
      <w:r>
        <w:t xml:space="preserve">3. Estudios Clínicos Necesarios</w:t>
      </w:r>
    </w:p>
    <w:bookmarkStart w:id="28" w:name="X1c1118537e50cba53ef8d046ee2476c3e768d0a"/>
    <w:p>
      <w:pPr>
        <w:pStyle w:val="Heading3"/>
      </w:pPr>
      <w:r>
        <w:t xml:space="preserve">3.1 Requisitos de Evidencia Clínica para Clase IIa</w:t>
      </w:r>
    </w:p>
    <w:p>
      <w:pPr>
        <w:pStyle w:val="FirstParagraph"/>
      </w:pPr>
      <w:r>
        <w:t xml:space="preserve">Para dispositivos Clase IIa en INVIMA,</w:t>
      </w:r>
      <w:r>
        <w:t xml:space="preserve"> </w:t>
      </w:r>
      <w:r>
        <w:rPr>
          <w:bCs/>
          <w:b/>
        </w:rPr>
        <w:t xml:space="preserve">no se requieren ensayos clínicos propios</w:t>
      </w:r>
      <w:r>
        <w:t xml:space="preserve"> </w:t>
      </w:r>
      <w:r>
        <w:t xml:space="preserve">de forma obligatoria. Se acepta: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Revisión bibliográfica</w:t>
      </w:r>
      <w:r>
        <w:t xml:space="preserve"> </w:t>
      </w:r>
      <w:r>
        <w:t xml:space="preserve">de la evidencia clínica publicada para dispositivos Holter ECG equivalentes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Datos de equivalencia</w:t>
      </w:r>
      <w:r>
        <w:t xml:space="preserve"> </w:t>
      </w:r>
      <w:r>
        <w:t xml:space="preserve">con dispositivos ya registrados en INVIMA o aprobados por FDA/EMA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Datos clínicos propios</w:t>
      </w:r>
      <w:r>
        <w:t xml:space="preserve"> </w:t>
      </w:r>
      <w:r>
        <w:t xml:space="preserve">(si están disponibles) como evidencia complementaria</w:t>
      </w:r>
    </w:p>
    <w:bookmarkEnd w:id="28"/>
    <w:bookmarkStart w:id="29" w:name="X1fe2548ff1fa7fa80e115fc9397727b57d12531"/>
    <w:p>
      <w:pPr>
        <w:pStyle w:val="Heading3"/>
      </w:pPr>
      <w:r>
        <w:t xml:space="preserve">3.2 Estrategia de Evidencia Clínica para Horizon Medical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 de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bibliográfica sistemática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Publicaciones sobre monitores Holter ECG, precisión diagnóstica,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(obligatoria)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Equivalencia con predicados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Comparación técnica con Zio XT, MCOT, CardioScan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 verificación y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V&amp;V del dispositivo (precisión de ECG, detección de arritmias)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510(k) clearance (si obtenida)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 aprobación FDA como evidencia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(fortalece el dossier)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Estudio clínico piloto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 con 30–50 pacientes comparando con Holter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(recomendado pero no obligatorio)</w:t>
            </w:r>
          </w:p>
        </w:tc>
      </w:tr>
    </w:tbl>
    <w:bookmarkEnd w:id="29"/>
    <w:bookmarkStart w:id="30" w:name="consideración-especial-para-ia"/>
    <w:p>
      <w:pPr>
        <w:pStyle w:val="Heading3"/>
      </w:pPr>
      <w:r>
        <w:t xml:space="preserve">3.3 Consideración Especial para IA</w:t>
      </w:r>
    </w:p>
    <w:p>
      <w:pPr>
        <w:pStyle w:val="FirstParagraph"/>
      </w:pPr>
      <w:r>
        <w:t xml:space="preserve">INVIMA no cuenta con una guía específica para dispositivos con IA. Se recomienda:</w:t>
      </w:r>
      <w:r>
        <w:t xml:space="preserve"> </w:t>
      </w:r>
      <w:r>
        <w:t xml:space="preserve">- Incluir una descripción clara del algoritmo y su función como herramienta de soporte</w:t>
      </w:r>
      <w:r>
        <w:t xml:space="preserve"> </w:t>
      </w:r>
      <w:r>
        <w:t xml:space="preserve">- Presentar métricas de rendimiento del modelo (sensibilidad, especificidad, AUC)</w:t>
      </w:r>
      <w:r>
        <w:t xml:space="preserve"> </w:t>
      </w:r>
      <w:r>
        <w:t xml:space="preserve">- Documentar que la decisión final es del profesional de salud</w:t>
      </w:r>
      <w:r>
        <w:t xml:space="preserve"> </w:t>
      </w:r>
      <w:r>
        <w:t xml:space="preserve">- Referenciar la guía FDA de AI/ML como estándar internacional de referencia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ertificaciones-iso-requeridas"/>
    <w:p>
      <w:pPr>
        <w:pStyle w:val="Heading2"/>
      </w:pPr>
      <w:r>
        <w:t xml:space="preserve">4. Certificaciones ISO Requeridas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Certificación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13485:2016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 (o certificado BPM equivalente expedido por INVIMA o autoridad reconocida)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14971:2019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cumplimiento (no requiere certificación separada; se demuestra con el Risk Management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60601-1</w:t>
            </w:r>
            <w:r>
              <w:t xml:space="preserve"> </w:t>
            </w:r>
            <w:r>
              <w:t xml:space="preserve">(serie)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ensayo de laboratorio acreditado (no certificación del fabricante)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cumplimiento documentada (recomendado, no obligatorio para INVIMA)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</w:tbl>
    <w:bookmarkStart w:id="32" w:name="nota-sobre-iso-13485-en-colombia"/>
    <w:p>
      <w:pPr>
        <w:pStyle w:val="Heading3"/>
      </w:pPr>
      <w:r>
        <w:t xml:space="preserve">4.1 Nota sobre ISO 13485 en Colombia</w:t>
      </w:r>
    </w:p>
    <w:p>
      <w:pPr>
        <w:pStyle w:val="FirstParagraph"/>
      </w:pPr>
      <w:r>
        <w:t xml:space="preserve">INVIMA acepta como alternativa al certificado ISO 13485:</w:t>
      </w:r>
      <w:r>
        <w:t xml:space="preserve"> </w:t>
      </w:r>
      <w:r>
        <w:t xml:space="preserve">- Certificado de Buenas Prácticas de Manufactura (BPM) emitido por una autoridad sanitaria reconocida</w:t>
      </w:r>
      <w:r>
        <w:t xml:space="preserve"> </w:t>
      </w:r>
      <w:r>
        <w:t xml:space="preserve">- Certificado ISO 13485 emitido por organismo de certificación acreditado bajo IAF</w:t>
      </w:r>
    </w:p>
    <w:p>
      <w:pPr>
        <w:pStyle w:val="BodyText"/>
      </w:pPr>
      <w:r>
        <w:t xml:space="preserve">El certificado debe estar vigente al momento de la solicitud y durante toda la vigencia del registro sanitario.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ocumentación-de-software-iec-62304"/>
    <w:p>
      <w:pPr>
        <w:pStyle w:val="Heading2"/>
      </w:pPr>
      <w:r>
        <w:t xml:space="preserve">5. Documentación de Software (IEC 62304)</w:t>
      </w:r>
    </w:p>
    <w:bookmarkStart w:id="34" w:name="requisitos-de-software-para-invima"/>
    <w:p>
      <w:pPr>
        <w:pStyle w:val="Heading3"/>
      </w:pPr>
      <w:r>
        <w:t xml:space="preserve">5.1 Requisitos de Software para INVIMA</w:t>
      </w:r>
    </w:p>
    <w:p>
      <w:pPr>
        <w:pStyle w:val="FirstParagraph"/>
      </w:pPr>
      <w:r>
        <w:t xml:space="preserve">INVIMA no exige explícitamente la conformidad con IEC 62304, pero se recomienda fuertemente como estándar de referencia internacional. La documentación mínima requerida incluye: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 general del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componentes, versiones, funcionalidades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Clasificación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del software según su impacto en la seguridad del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Proceso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un proceso controlado de desarrollo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del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que el software funciona según sus especificaciones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control de versiones y gestión de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(básico)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 medidas de seguridad para protección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</w:tbl>
    <w:bookmarkEnd w:id="34"/>
    <w:bookmarkStart w:id="35" w:name="Xe8a0983b132c8a03da95bd5182ca9b1b3eb78ff"/>
    <w:p>
      <w:pPr>
        <w:pStyle w:val="Heading3"/>
      </w:pPr>
      <w:r>
        <w:t xml:space="preserve">5.2 Documentación de Software para Horizon Medical</w:t>
      </w:r>
    </w:p>
    <w:p>
      <w:pPr>
        <w:pStyle w:val="FirstParagraph"/>
      </w:pPr>
      <w:r>
        <w:t xml:space="preserve">Para el sistema Horizon Medical, se debe documentar: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Firmware (nRF52832):</w:t>
      </w:r>
      <w:r>
        <w:t xml:space="preserve"> </w:t>
      </w:r>
      <w:r>
        <w:t xml:space="preserve">Descripción funcional, versión, proceso de actualización OTA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 / Cloud:</w:t>
      </w:r>
      <w:r>
        <w:t xml:space="preserve"> </w:t>
      </w:r>
      <w:r>
        <w:t xml:space="preserve">Arquitectura de servicios, procesamiento de datos, API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Módulo IA (CNN-LSTM):</w:t>
      </w:r>
      <w:r>
        <w:t xml:space="preserve"> </w:t>
      </w:r>
      <w:r>
        <w:t xml:space="preserve">Descripción del algoritmo, datos de entrenamiento, métricas de rendimiento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 móvil:</w:t>
      </w:r>
      <w:r>
        <w:t xml:space="preserve"> </w:t>
      </w:r>
      <w:r>
        <w:t xml:space="preserve">Funcionalidades, plataformas soportadas (iOS/Android), versión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Dashboard web:</w:t>
      </w:r>
      <w:r>
        <w:t xml:space="preserve"> </w:t>
      </w:r>
      <w:r>
        <w:t xml:space="preserve">Funcionalidades para el profesional de salud, acceso, seguridad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ocumentación-de-iamachine-learning"/>
    <w:p>
      <w:pPr>
        <w:pStyle w:val="Heading2"/>
      </w:pPr>
      <w:r>
        <w:t xml:space="preserve">6. Documentación de IA/Machine Learning</w:t>
      </w:r>
    </w:p>
    <w:bookmarkStart w:id="37" w:name="situación-regulatoria-de-ia-en-colombia"/>
    <w:p>
      <w:pPr>
        <w:pStyle w:val="Heading3"/>
      </w:pPr>
      <w:r>
        <w:t xml:space="preserve">6.1 Situación Regulatoria de IA en Colombia</w:t>
      </w:r>
    </w:p>
    <w:p>
      <w:pPr>
        <w:pStyle w:val="FirstParagraph"/>
      </w:pPr>
      <w:r>
        <w:t xml:space="preserve">A la fecha de este documento,</w:t>
      </w:r>
      <w:r>
        <w:t xml:space="preserve"> </w:t>
      </w:r>
      <w:r>
        <w:rPr>
          <w:bCs/>
          <w:b/>
        </w:rPr>
        <w:t xml:space="preserve">INVIMA no cuenta con regulación específica ni guía para dispositivos médicos con inteligencia artificial</w:t>
      </w:r>
      <w:r>
        <w:t xml:space="preserve">. Sin embargo, se recomienda:</w:t>
      </w:r>
    </w:p>
    <w:p>
      <w:pPr>
        <w:numPr>
          <w:ilvl w:val="0"/>
          <w:numId w:val="1005"/>
        </w:numPr>
        <w:pStyle w:val="Compact"/>
      </w:pPr>
      <w:r>
        <w:t xml:space="preserve">Documentar la IA de forma transparente siguiendo estándares internacionales (FDA AI/ML Guidance)</w:t>
      </w:r>
    </w:p>
    <w:p>
      <w:pPr>
        <w:numPr>
          <w:ilvl w:val="0"/>
          <w:numId w:val="1005"/>
        </w:numPr>
        <w:pStyle w:val="Compact"/>
      </w:pPr>
      <w:r>
        <w:t xml:space="preserve">Clasificar el módulo de IA como componente de software del dispositivo médico</w:t>
      </w:r>
    </w:p>
    <w:p>
      <w:pPr>
        <w:numPr>
          <w:ilvl w:val="0"/>
          <w:numId w:val="1005"/>
        </w:numPr>
        <w:pStyle w:val="Compact"/>
      </w:pPr>
      <w:r>
        <w:t xml:space="preserve">Incluir en el dossier: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 del 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CNN-LSTM para detección de arritmias (FA, TV, bradicardia,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algorithm (no aprendizaje continuo post-deployment)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 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Fuentes de datos, tamaño del dataset, distribución demográfica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 de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Sensibilidad, especificidad, VPP, VPN, AUC-ROC por tipo de arritmia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Metodología de validación (cross-validation, hold-out set, dataset externo)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conocidas del algoritmo, condiciones de fallo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de soporte — la decisión final es del profesional médico</w:t>
            </w:r>
          </w:p>
        </w:tc>
      </w:tr>
    </w:tbl>
    <w:bookmarkEnd w:id="37"/>
    <w:bookmarkStart w:id="38" w:name="recomendación"/>
    <w:p>
      <w:pPr>
        <w:pStyle w:val="Heading3"/>
      </w:pPr>
      <w:r>
        <w:t xml:space="preserve">6.2 Recomendación</w:t>
      </w:r>
    </w:p>
    <w:p>
      <w:pPr>
        <w:pStyle w:val="FirstParagraph"/>
      </w:pPr>
      <w:r>
        <w:t xml:space="preserve">Anticipar que INVIMA adoptará regulación de IA en el futuro cercano. Preparar la documentación siguiendo estándares FDA/MDR facilitará la actualización cuando se requiera.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buenas-prácticas-de-manufactura"/>
    <w:p>
      <w:pPr>
        <w:pStyle w:val="Heading2"/>
      </w:pPr>
      <w:r>
        <w:t xml:space="preserve">7. Buenas Prácticas de Manufactura</w:t>
      </w:r>
    </w:p>
    <w:bookmarkStart w:id="40" w:name="requisitos-bpm-según-invima"/>
    <w:p>
      <w:pPr>
        <w:pStyle w:val="Heading3"/>
      </w:pPr>
      <w:r>
        <w:t xml:space="preserve">7.1 Requisitos BPM según INVIMA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Áreas de producción adecuadas, controladas, limpias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calificado, capacitado, con roles definidos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Equipos calibrados, mantenidos,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documental controlado (SOPs, registros, especificaciones)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calificados, inspección de entrada,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validados, controles en proceso,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 final, criterios de aceptación, liberación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y 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 controladas, FIFO,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Quejas y 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manejo de quejas, acciones correctivas y preventivas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de auditorías internas periódicas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</w:t>
            </w:r>
          </w:p>
        </w:tc>
      </w:tr>
    </w:tbl>
    <w:bookmarkEnd w:id="40"/>
    <w:bookmarkStart w:id="41" w:name="verificación-ccaa-decreto-4725-art.-38"/>
    <w:p>
      <w:pPr>
        <w:pStyle w:val="Heading3"/>
      </w:pPr>
      <w:r>
        <w:t xml:space="preserve">7.2 Verificación CCAA (Decreto 4725, Art. 38)</w:t>
      </w:r>
    </w:p>
    <w:p>
      <w:pPr>
        <w:pStyle w:val="FirstParagraph"/>
      </w:pPr>
      <w:r>
        <w:t xml:space="preserve">Para dispositivos Clase IIa, INVIMA puede realizar una verificación de Capacidad de Almacenamiento y Acondicionamiento (CCAA) en las instalaciones del titular o importador en Colombia. Esto incluye:</w:t>
      </w:r>
    </w:p>
    <w:p>
      <w:pPr>
        <w:numPr>
          <w:ilvl w:val="0"/>
          <w:numId w:val="1006"/>
        </w:numPr>
        <w:pStyle w:val="Compact"/>
      </w:pPr>
      <w:r>
        <w:t xml:space="preserve">Condiciones de almacenamiento adecuadas</w:t>
      </w:r>
    </w:p>
    <w:p>
      <w:pPr>
        <w:numPr>
          <w:ilvl w:val="0"/>
          <w:numId w:val="1006"/>
        </w:numPr>
        <w:pStyle w:val="Compact"/>
      </w:pPr>
      <w:r>
        <w:t xml:space="preserve">Control de temperatura y humedad (si aplica)</w:t>
      </w:r>
    </w:p>
    <w:p>
      <w:pPr>
        <w:numPr>
          <w:ilvl w:val="0"/>
          <w:numId w:val="1006"/>
        </w:numPr>
        <w:pStyle w:val="Compact"/>
      </w:pPr>
      <w:r>
        <w:t xml:space="preserve">Sistema de trazabilidad</w:t>
      </w:r>
    </w:p>
    <w:p>
      <w:pPr>
        <w:numPr>
          <w:ilvl w:val="0"/>
          <w:numId w:val="1006"/>
        </w:numPr>
        <w:pStyle w:val="Compact"/>
      </w:pPr>
      <w:r>
        <w:t xml:space="preserve">Personal capacitado</w:t>
      </w:r>
    </w:p>
    <w:p>
      <w:pPr>
        <w:numPr>
          <w:ilvl w:val="0"/>
          <w:numId w:val="1006"/>
        </w:numPr>
        <w:pStyle w:val="Compact"/>
      </w:pPr>
      <w:r>
        <w:t xml:space="preserve">Procedimientos de recepción e inspección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checklist-completo"/>
    <w:p>
      <w:pPr>
        <w:pStyle w:val="Heading2"/>
      </w:pPr>
      <w:r>
        <w:t xml:space="preserve">8. Checklist Completo</w:t>
      </w:r>
    </w:p>
    <w:bookmarkStart w:id="43" w:name="documentación-administrativa-1"/>
    <w:p>
      <w:pPr>
        <w:pStyle w:val="Heading3"/>
      </w:pPr>
      <w:r>
        <w:t xml:space="preserve">8.1 Documentación Administrativa</w:t>
      </w:r>
    </w:p>
    <w:p>
      <w:pPr>
        <w:numPr>
          <w:ilvl w:val="0"/>
          <w:numId w:val="1007"/>
        </w:numPr>
        <w:pStyle w:val="Compact"/>
      </w:pPr>
      <w:r>
        <w:t xml:space="preserve">☐ Formulario Único de Registro Sanitario diligenciado</w:t>
      </w:r>
    </w:p>
    <w:p>
      <w:pPr>
        <w:numPr>
          <w:ilvl w:val="0"/>
          <w:numId w:val="1007"/>
        </w:numPr>
        <w:pStyle w:val="Compact"/>
      </w:pPr>
      <w:r>
        <w:t xml:space="preserve">☐ Poder del fabricante al titular (apostillado/consularizado)</w:t>
      </w:r>
    </w:p>
    <w:p>
      <w:pPr>
        <w:numPr>
          <w:ilvl w:val="0"/>
          <w:numId w:val="1007"/>
        </w:numPr>
        <w:pStyle w:val="Compact"/>
      </w:pPr>
      <w:r>
        <w:t xml:space="preserve">☐ Certificado de existencia y representación legal del titular (&lt; 90 días)</w:t>
      </w:r>
    </w:p>
    <w:p>
      <w:pPr>
        <w:numPr>
          <w:ilvl w:val="0"/>
          <w:numId w:val="1007"/>
        </w:numPr>
        <w:pStyle w:val="Compact"/>
      </w:pPr>
      <w:r>
        <w:t xml:space="preserve">☐ Certificado de libre venta del país de origen (apostillado/consularizado)</w:t>
      </w:r>
    </w:p>
    <w:p>
      <w:pPr>
        <w:numPr>
          <w:ilvl w:val="0"/>
          <w:numId w:val="1007"/>
        </w:numPr>
        <w:pStyle w:val="Compact"/>
      </w:pPr>
      <w:r>
        <w:t xml:space="preserve">☐ Certificado ISO 13485 vigente (o BPM equivalente)</w:t>
      </w:r>
    </w:p>
    <w:p>
      <w:pPr>
        <w:numPr>
          <w:ilvl w:val="0"/>
          <w:numId w:val="1007"/>
        </w:numPr>
        <w:pStyle w:val="Compact"/>
      </w:pPr>
      <w:r>
        <w:t xml:space="preserve">☐ Recibo de pago de tasa INVIMA</w:t>
      </w:r>
    </w:p>
    <w:p>
      <w:pPr>
        <w:numPr>
          <w:ilvl w:val="0"/>
          <w:numId w:val="1007"/>
        </w:numPr>
        <w:pStyle w:val="Compact"/>
      </w:pPr>
      <w:r>
        <w:t xml:space="preserve">☐ Carta de responsabilidad del titular del registro sanitario</w:t>
      </w:r>
    </w:p>
    <w:bookmarkEnd w:id="43"/>
    <w:bookmarkStart w:id="44" w:name="documentación-técnica"/>
    <w:p>
      <w:pPr>
        <w:pStyle w:val="Heading3"/>
      </w:pPr>
      <w:r>
        <w:t xml:space="preserve">8.2 Documentación Técnica</w:t>
      </w:r>
    </w:p>
    <w:p>
      <w:pPr>
        <w:numPr>
          <w:ilvl w:val="0"/>
          <w:numId w:val="1008"/>
        </w:numPr>
        <w:pStyle w:val="Compact"/>
      </w:pPr>
      <w:r>
        <w:t xml:space="preserve">☐ Descripción completa del dispositivo (nombre, componentes, principio de funcionamiento)</w:t>
      </w:r>
    </w:p>
    <w:p>
      <w:pPr>
        <w:numPr>
          <w:ilvl w:val="0"/>
          <w:numId w:val="1008"/>
        </w:numPr>
        <w:pStyle w:val="Compact"/>
      </w:pPr>
      <w:r>
        <w:t xml:space="preserve">☐ Fotografías y/o dibujos técnicos del dispositivo</w:t>
      </w:r>
    </w:p>
    <w:p>
      <w:pPr>
        <w:numPr>
          <w:ilvl w:val="0"/>
          <w:numId w:val="1008"/>
        </w:numPr>
        <w:pStyle w:val="Compact"/>
      </w:pPr>
      <w:r>
        <w:t xml:space="preserve">☐ Especificaciones técnicas completas (hardware + software)</w:t>
      </w:r>
    </w:p>
    <w:p>
      <w:pPr>
        <w:numPr>
          <w:ilvl w:val="0"/>
          <w:numId w:val="1008"/>
        </w:numPr>
        <w:pStyle w:val="Compact"/>
      </w:pPr>
      <w:r>
        <w:t xml:space="preserve">☐ Uso previsto, indicaciones y contraindicaciones</w:t>
      </w:r>
    </w:p>
    <w:p>
      <w:pPr>
        <w:numPr>
          <w:ilvl w:val="0"/>
          <w:numId w:val="1008"/>
        </w:numPr>
        <w:pStyle w:val="Compact"/>
      </w:pPr>
      <w:r>
        <w:t xml:space="preserve">☐ Instrucciones de uso (IFU) en español</w:t>
      </w:r>
    </w:p>
    <w:p>
      <w:pPr>
        <w:numPr>
          <w:ilvl w:val="0"/>
          <w:numId w:val="1008"/>
        </w:numPr>
        <w:pStyle w:val="Compact"/>
      </w:pPr>
      <w:r>
        <w:t xml:space="preserve">☐ Etiquetado (maquetas) en español conforme a normatividad</w:t>
      </w:r>
    </w:p>
    <w:p>
      <w:pPr>
        <w:numPr>
          <w:ilvl w:val="0"/>
          <w:numId w:val="1008"/>
        </w:numPr>
        <w:pStyle w:val="Compact"/>
      </w:pPr>
      <w:r>
        <w:t xml:space="preserve">☐ Declaración de conformidad del fabricante</w:t>
      </w:r>
    </w:p>
    <w:p>
      <w:pPr>
        <w:numPr>
          <w:ilvl w:val="0"/>
          <w:numId w:val="1008"/>
        </w:numPr>
        <w:pStyle w:val="Compact"/>
      </w:pPr>
      <w:r>
        <w:t xml:space="preserve">☐ Lista de componentes y materiales</w:t>
      </w:r>
    </w:p>
    <w:p>
      <w:pPr>
        <w:numPr>
          <w:ilvl w:val="0"/>
          <w:numId w:val="1008"/>
        </w:numPr>
        <w:pStyle w:val="Compact"/>
      </w:pPr>
      <w:r>
        <w:t xml:space="preserve">☐ Información del software (descripción, versión, clasificación, validación)</w:t>
      </w:r>
    </w:p>
    <w:p>
      <w:pPr>
        <w:numPr>
          <w:ilvl w:val="0"/>
          <w:numId w:val="1008"/>
        </w:numPr>
        <w:pStyle w:val="Compact"/>
      </w:pPr>
      <w:r>
        <w:t xml:space="preserve">☐ Descripción del módulo de IA (algoritmo, rendimiento, limitaciones)</w:t>
      </w:r>
    </w:p>
    <w:bookmarkEnd w:id="44"/>
    <w:bookmarkStart w:id="45" w:name="reportes-de-ensayo-y-evidencia"/>
    <w:p>
      <w:pPr>
        <w:pStyle w:val="Heading3"/>
      </w:pPr>
      <w:r>
        <w:t xml:space="preserve">8.3 Reportes de Ensayo y Evidencia</w:t>
      </w:r>
    </w:p>
    <w:p>
      <w:pPr>
        <w:numPr>
          <w:ilvl w:val="0"/>
          <w:numId w:val="1009"/>
        </w:numPr>
        <w:pStyle w:val="Compact"/>
      </w:pPr>
      <w:r>
        <w:t xml:space="preserve">☐ Reporte de seguridad eléctrica — IEC 60601-1 (laboratorio acreditado)</w:t>
      </w:r>
    </w:p>
    <w:p>
      <w:pPr>
        <w:numPr>
          <w:ilvl w:val="0"/>
          <w:numId w:val="1009"/>
        </w:numPr>
        <w:pStyle w:val="Compact"/>
      </w:pPr>
      <w:r>
        <w:t xml:space="preserve">☐ Reporte de EMC — IEC 60601-1-2 (laboratorio acreditado)</w:t>
      </w:r>
    </w:p>
    <w:p>
      <w:pPr>
        <w:numPr>
          <w:ilvl w:val="0"/>
          <w:numId w:val="1009"/>
        </w:numPr>
        <w:pStyle w:val="Compact"/>
      </w:pPr>
      <w:r>
        <w:t xml:space="preserve">☐ Reporte de norma particular — IEC 60601-2-47 (laboratorio acreditado)</w:t>
      </w:r>
    </w:p>
    <w:p>
      <w:pPr>
        <w:numPr>
          <w:ilvl w:val="0"/>
          <w:numId w:val="1009"/>
        </w:numPr>
        <w:pStyle w:val="Compact"/>
      </w:pPr>
      <w:r>
        <w:t xml:space="preserve">☐ Reporte de biocompatibilidad — ISO 10993-5, 10993-10 (laboratorio acreditado)</w:t>
      </w:r>
    </w:p>
    <w:p>
      <w:pPr>
        <w:numPr>
          <w:ilvl w:val="0"/>
          <w:numId w:val="1009"/>
        </w:numPr>
        <w:pStyle w:val="Compact"/>
      </w:pPr>
      <w:r>
        <w:t xml:space="preserve">☐ Reporte de seguridad de batería — IEC 62133-2 (laboratorio acreditado)</w:t>
      </w:r>
    </w:p>
    <w:p>
      <w:pPr>
        <w:numPr>
          <w:ilvl w:val="0"/>
          <w:numId w:val="1009"/>
        </w:numPr>
        <w:pStyle w:val="Compact"/>
      </w:pPr>
      <w:r>
        <w:t xml:space="preserve">☐ Resumen del Risk Management File (ISO 14971)</w:t>
      </w:r>
    </w:p>
    <w:bookmarkEnd w:id="45"/>
    <w:bookmarkStart w:id="46" w:name="evidencia-clínica"/>
    <w:p>
      <w:pPr>
        <w:pStyle w:val="Heading3"/>
      </w:pPr>
      <w:r>
        <w:t xml:space="preserve">8.4 Evidencia Clínica</w:t>
      </w:r>
    </w:p>
    <w:p>
      <w:pPr>
        <w:numPr>
          <w:ilvl w:val="0"/>
          <w:numId w:val="1010"/>
        </w:numPr>
        <w:pStyle w:val="Compact"/>
      </w:pPr>
      <w:r>
        <w:t xml:space="preserve">☐ Revisión bibliográfica sistemática de dispositivos Holter ECG</w:t>
      </w:r>
    </w:p>
    <w:p>
      <w:pPr>
        <w:numPr>
          <w:ilvl w:val="0"/>
          <w:numId w:val="1010"/>
        </w:numPr>
        <w:pStyle w:val="Compact"/>
      </w:pPr>
      <w:r>
        <w:t xml:space="preserve">☐ Análisis de equivalencia con dispositivos predicados</w:t>
      </w:r>
    </w:p>
    <w:p>
      <w:pPr>
        <w:numPr>
          <w:ilvl w:val="0"/>
          <w:numId w:val="1010"/>
        </w:numPr>
        <w:pStyle w:val="Compact"/>
      </w:pPr>
      <w:r>
        <w:t xml:space="preserve">☐ Datos de verificación y validación (precisión de ECG, detección de arritmias)</w:t>
      </w:r>
    </w:p>
    <w:p>
      <w:pPr>
        <w:numPr>
          <w:ilvl w:val="0"/>
          <w:numId w:val="1010"/>
        </w:numPr>
        <w:pStyle w:val="Compact"/>
      </w:pPr>
      <w:r>
        <w:t xml:space="preserve">☐ Métricas de rendimiento del módulo de IA (sensibilidad, especificidad)</w:t>
      </w:r>
    </w:p>
    <w:p>
      <w:pPr>
        <w:numPr>
          <w:ilvl w:val="0"/>
          <w:numId w:val="1010"/>
        </w:numPr>
        <w:pStyle w:val="Compact"/>
      </w:pPr>
      <w:r>
        <w:t xml:space="preserve">☐ Referencia a aprobación FDA (si disponible)</w:t>
      </w:r>
    </w:p>
    <w:bookmarkEnd w:id="46"/>
    <w:bookmarkStart w:id="47" w:name="sistema-de-calidad"/>
    <w:p>
      <w:pPr>
        <w:pStyle w:val="Heading3"/>
      </w:pPr>
      <w:r>
        <w:t xml:space="preserve">8.5 Sistema de Calidad</w:t>
      </w:r>
    </w:p>
    <w:p>
      <w:pPr>
        <w:numPr>
          <w:ilvl w:val="0"/>
          <w:numId w:val="1011"/>
        </w:numPr>
        <w:pStyle w:val="Compact"/>
      </w:pPr>
      <w:r>
        <w:t xml:space="preserve">☐ Manual de calidad (resumen)</w:t>
      </w:r>
    </w:p>
    <w:p>
      <w:pPr>
        <w:numPr>
          <w:ilvl w:val="0"/>
          <w:numId w:val="1011"/>
        </w:numPr>
        <w:pStyle w:val="Compact"/>
      </w:pPr>
      <w:r>
        <w:t xml:space="preserve">☐ Procedimientos de manufactura relevantes</w:t>
      </w:r>
    </w:p>
    <w:p>
      <w:pPr>
        <w:numPr>
          <w:ilvl w:val="0"/>
          <w:numId w:val="1011"/>
        </w:numPr>
        <w:pStyle w:val="Compact"/>
      </w:pPr>
      <w:r>
        <w:t xml:space="preserve">☐ Procedimientos de inspección y ensayo</w:t>
      </w:r>
    </w:p>
    <w:p>
      <w:pPr>
        <w:numPr>
          <w:ilvl w:val="0"/>
          <w:numId w:val="1011"/>
        </w:numPr>
        <w:pStyle w:val="Compact"/>
      </w:pPr>
      <w:r>
        <w:t xml:space="preserve">☐ Sistema de trazabilidad documentado</w:t>
      </w:r>
    </w:p>
    <w:p>
      <w:pPr>
        <w:numPr>
          <w:ilvl w:val="0"/>
          <w:numId w:val="1011"/>
        </w:numPr>
        <w:pStyle w:val="Compact"/>
      </w:pPr>
      <w:r>
        <w:t xml:space="preserve">☐ Programa de tecnovigilancia</w:t>
      </w:r>
    </w:p>
    <w:bookmarkEnd w:id="47"/>
    <w:bookmarkStart w:id="48" w:name="post-registro"/>
    <w:p>
      <w:pPr>
        <w:pStyle w:val="Heading3"/>
      </w:pPr>
      <w:r>
        <w:t xml:space="preserve">8.6 Post-Registro</w:t>
      </w:r>
    </w:p>
    <w:p>
      <w:pPr>
        <w:numPr>
          <w:ilvl w:val="0"/>
          <w:numId w:val="1012"/>
        </w:numPr>
        <w:pStyle w:val="Compact"/>
      </w:pPr>
      <w:r>
        <w:t xml:space="preserve">☐ Plan de tecnovigilancia conforme a Resolución 4816 de 2008</w:t>
      </w:r>
    </w:p>
    <w:p>
      <w:pPr>
        <w:numPr>
          <w:ilvl w:val="0"/>
          <w:numId w:val="1012"/>
        </w:numPr>
        <w:pStyle w:val="Compact"/>
      </w:pPr>
      <w:r>
        <w:t xml:space="preserve">☐ Designación de responsable de tecnovigilancia</w:t>
      </w:r>
    </w:p>
    <w:p>
      <w:pPr>
        <w:numPr>
          <w:ilvl w:val="0"/>
          <w:numId w:val="1012"/>
        </w:numPr>
        <w:pStyle w:val="Compact"/>
      </w:pPr>
      <w:r>
        <w:t xml:space="preserve">☐ Registro en el Programa Nacional de Tecnovigilancia</w:t>
      </w:r>
    </w:p>
    <w:p>
      <w:pPr>
        <w:numPr>
          <w:ilvl w:val="0"/>
          <w:numId w:val="1012"/>
        </w:numPr>
        <w:pStyle w:val="Compact"/>
      </w:pPr>
      <w:r>
        <w:t xml:space="preserve">☐ Procedimiento de reporte de eventos e incidentes adversos</w:t>
      </w:r>
    </w:p>
    <w:p>
      <w:pPr>
        <w:numPr>
          <w:ilvl w:val="0"/>
          <w:numId w:val="1012"/>
        </w:numPr>
        <w:pStyle w:val="Compact"/>
      </w:pPr>
      <w:r>
        <w:t xml:space="preserve">☐ Plan de renovación del registro (antes de vencimiento de 10 años)</w:t>
      </w:r>
    </w:p>
    <w:bookmarkEnd w:id="48"/>
    <w:bookmarkStart w:id="49" w:name="documentación-adicional-si-aplica"/>
    <w:p>
      <w:pPr>
        <w:pStyle w:val="Heading3"/>
      </w:pPr>
      <w:r>
        <w:t xml:space="preserve">8.7 Documentación Adicional (si aplica)</w:t>
      </w:r>
    </w:p>
    <w:p>
      <w:pPr>
        <w:numPr>
          <w:ilvl w:val="0"/>
          <w:numId w:val="1013"/>
        </w:numPr>
        <w:pStyle w:val="Compact"/>
      </w:pPr>
      <w:r>
        <w:t xml:space="preserve">☐ Certificado de calibración de equipos de medición utilizados en testing</w:t>
      </w:r>
    </w:p>
    <w:p>
      <w:pPr>
        <w:numPr>
          <w:ilvl w:val="0"/>
          <w:numId w:val="1013"/>
        </w:numPr>
        <w:pStyle w:val="Compact"/>
      </w:pPr>
      <w:r>
        <w:t xml:space="preserve">☐ Certificados de acreditación de los laboratorios de ensayo</w:t>
      </w:r>
    </w:p>
    <w:p>
      <w:pPr>
        <w:numPr>
          <w:ilvl w:val="0"/>
          <w:numId w:val="1013"/>
        </w:numPr>
        <w:pStyle w:val="Compact"/>
      </w:pPr>
      <w:r>
        <w:t xml:space="preserve">☐ Traducciones oficiales de documentos en idioma extranjero</w:t>
      </w:r>
    </w:p>
    <w:p>
      <w:pPr>
        <w:numPr>
          <w:ilvl w:val="0"/>
          <w:numId w:val="1013"/>
        </w:numPr>
        <w:pStyle w:val="Compact"/>
      </w:pPr>
      <w:r>
        <w:t xml:space="preserve">☐ Estudios de estabilidad y vida útil (si aplica)</w:t>
      </w:r>
    </w:p>
    <w:p>
      <w:pPr>
        <w:numPr>
          <w:ilvl w:val="0"/>
          <w:numId w:val="1013"/>
        </w:numPr>
        <w:pStyle w:val="Compact"/>
      </w:pPr>
      <w:r>
        <w:t xml:space="preserve">☐ Información sobre accesorios (electrodos, cables, cargador)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2026-05-16T17:16:25Z</dcterms:created>
  <dcterms:modified xsi:type="dcterms:W3CDTF">2026-05-16T17:16:25Z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