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f3aee9978d7c46ff1920a312c3f0c6a12cf4cf3"/>
    <w:p>
      <w:pPr>
        <w:pStyle w:val="Heading1"/>
      </w:pPr>
      <w:r>
        <w:t xml:space="preserve">HORIZON MEDICAL — Requisitos EMA/MDR (Unión Europea)</w:t>
      </w:r>
    </w:p>
    <w:p>
      <w:pPr>
        <w:pStyle w:val="FirstParagraph"/>
      </w:pPr>
      <w:r>
        <w:rPr>
          <w:bCs/>
          <w:b/>
        </w:rPr>
        <w:t xml:space="preserve">Documento:</w:t>
      </w:r>
      <w:r>
        <w:t xml:space="preserve"> </w:t>
      </w:r>
      <w:r>
        <w:t xml:space="preserve">HM-REG-005</w:t>
      </w:r>
      <w:r>
        <w:br/>
      </w:r>
      <w:r>
        <w:rPr>
          <w:bCs/>
          <w:b/>
        </w:rPr>
        <w:t xml:space="preserve">Versión:</w:t>
      </w:r>
      <w:r>
        <w:t xml:space="preserve"> </w:t>
      </w:r>
      <w:r>
        <w:t xml:space="preserve">1.0</w:t>
      </w:r>
      <w:r>
        <w:br/>
      </w:r>
      <w:r>
        <w:rPr>
          <w:bCs/>
          <w:b/>
        </w:rPr>
        <w:t xml:space="preserve">Fecha:</w:t>
      </w:r>
      <w:r>
        <w:t xml:space="preserve"> </w:t>
      </w:r>
      <w:r>
        <w:t xml:space="preserve">2026-05-16</w:t>
      </w:r>
      <w:r>
        <w:br/>
      </w:r>
      <w:r>
        <w:rPr>
          <w:bCs/>
          <w:b/>
        </w:rPr>
        <w:t xml:space="preserve">Marco regulatorio:</w:t>
      </w:r>
      <w:r>
        <w:t xml:space="preserve"> </w:t>
      </w:r>
      <w:r>
        <w:t xml:space="preserve">Reglamento (UE) 2017/745 (MDR)</w:t>
      </w:r>
    </w:p>
    <w:p>
      <w:r>
        <w:pict>
          <v:rect style="width:0;height:1.5pt" o:hralign="center" o:hrstd="t" o:hr="t"/>
        </w:pict>
      </w:r>
    </w:p>
    <w:bookmarkStart w:id="20" w:name="tabla-de-contenidos"/>
    <w:p>
      <w:pPr>
        <w:pStyle w:val="Heading2"/>
      </w:pPr>
      <w:r>
        <w:t xml:space="preserve">Tabla de Contenidos</w:t>
      </w:r>
    </w:p>
    <w:p>
      <w:pPr>
        <w:numPr>
          <w:ilvl w:val="0"/>
          <w:numId w:val="1001"/>
        </w:numPr>
        <w:pStyle w:val="Compact"/>
      </w:pPr>
      <w:hyperlink w:anchor="X798cbf5b81b8bf754fc7ec799465780ffc01da5">
        <w:r>
          <w:rPr>
            <w:rStyle w:val="Hyperlink"/>
          </w:rPr>
          <w:t xml:space="preserve">Regulación MDR 2017/745</w:t>
        </w:r>
      </w:hyperlink>
    </w:p>
    <w:p>
      <w:pPr>
        <w:numPr>
          <w:ilvl w:val="0"/>
          <w:numId w:val="1001"/>
        </w:numPr>
        <w:pStyle w:val="Compact"/>
      </w:pPr>
      <w:hyperlink w:anchor="X5c2930031ba5dba29579f6dc76be981d5e7afed">
        <w:r>
          <w:rPr>
            <w:rStyle w:val="Hyperlink"/>
          </w:rPr>
          <w:t xml:space="preserve">Requisitos para Clase IIa/IIb</w:t>
        </w:r>
      </w:hyperlink>
    </w:p>
    <w:p>
      <w:pPr>
        <w:numPr>
          <w:ilvl w:val="0"/>
          <w:numId w:val="1001"/>
        </w:numPr>
        <w:pStyle w:val="Compact"/>
      </w:pPr>
      <w:hyperlink w:anchor="Xc69ed382c03db23a576c04cee2e3049b2deb20c">
        <w:r>
          <w:rPr>
            <w:rStyle w:val="Hyperlink"/>
          </w:rPr>
          <w:t xml:space="preserve">Organismo Notificado</w:t>
        </w:r>
      </w:hyperlink>
    </w:p>
    <w:p>
      <w:pPr>
        <w:numPr>
          <w:ilvl w:val="0"/>
          <w:numId w:val="1001"/>
        </w:numPr>
        <w:pStyle w:val="Compact"/>
      </w:pPr>
      <w:hyperlink w:anchor="X0857c96e9b5a424082f1ede6118520a94918a42">
        <w:r>
          <w:rPr>
            <w:rStyle w:val="Hyperlink"/>
          </w:rPr>
          <w:t xml:space="preserve">Evaluación Clínica</w:t>
        </w:r>
      </w:hyperlink>
    </w:p>
    <w:p>
      <w:pPr>
        <w:numPr>
          <w:ilvl w:val="0"/>
          <w:numId w:val="1001"/>
        </w:numPr>
        <w:pStyle w:val="Compact"/>
      </w:pPr>
      <w:hyperlink w:anchor="Xf8acac5f1d5ff946528536563eb4985a16bf2d1">
        <w:r>
          <w:rPr>
            <w:rStyle w:val="Hyperlink"/>
          </w:rPr>
          <w:t xml:space="preserve">Clinical Evaluation Report (CER)</w:t>
        </w:r>
      </w:hyperlink>
    </w:p>
    <w:p>
      <w:pPr>
        <w:numPr>
          <w:ilvl w:val="0"/>
          <w:numId w:val="1001"/>
        </w:numPr>
        <w:pStyle w:val="Compact"/>
      </w:pPr>
      <w:hyperlink w:anchor="X63441bb8600879b2ccdc9c532c3c4108e178894">
        <w:r>
          <w:rPr>
            <w:rStyle w:val="Hyperlink"/>
          </w:rPr>
          <w:t xml:space="preserve">Post-Market Clinical Follow-up (PMCF)</w:t>
        </w:r>
      </w:hyperlink>
    </w:p>
    <w:p>
      <w:pPr>
        <w:numPr>
          <w:ilvl w:val="0"/>
          <w:numId w:val="1001"/>
        </w:numPr>
        <w:pStyle w:val="Compact"/>
      </w:pPr>
      <w:hyperlink w:anchor="Xaf78695d001f0b254992663333cb7b6d867a15d">
        <w:r>
          <w:rPr>
            <w:rStyle w:val="Hyperlink"/>
          </w:rPr>
          <w:t xml:space="preserve">Technical Documentation</w:t>
        </w:r>
      </w:hyperlink>
    </w:p>
    <w:p>
      <w:pPr>
        <w:numPr>
          <w:ilvl w:val="0"/>
          <w:numId w:val="1001"/>
        </w:numPr>
        <w:pStyle w:val="Compact"/>
      </w:pPr>
      <w:hyperlink w:anchor="X832c915f90763e8088bedb66686c06b4fb458e2">
        <w:r>
          <w:rPr>
            <w:rStyle w:val="Hyperlink"/>
          </w:rPr>
          <w:t xml:space="preserve">UDI-DI Registration</w:t>
        </w:r>
      </w:hyperlink>
    </w:p>
    <w:p>
      <w:pPr>
        <w:numPr>
          <w:ilvl w:val="0"/>
          <w:numId w:val="1001"/>
        </w:numPr>
        <w:pStyle w:val="Compact"/>
      </w:pPr>
      <w:hyperlink w:anchor="X704d1a04c22af56159b0e1fbda412253a7d0012">
        <w:r>
          <w:rPr>
            <w:rStyle w:val="Hyperlink"/>
          </w:rPr>
          <w:t xml:space="preserve">EUDAMED Registration</w:t>
        </w:r>
      </w:hyperlink>
    </w:p>
    <w:p>
      <w:pPr>
        <w:numPr>
          <w:ilvl w:val="0"/>
          <w:numId w:val="1001"/>
        </w:numPr>
        <w:pStyle w:val="Compact"/>
      </w:pPr>
      <w:hyperlink w:anchor="X16d098cf5d7919680c57a01e46029aacaa36afc">
        <w:r>
          <w:rPr>
            <w:rStyle w:val="Hyperlink"/>
          </w:rPr>
          <w:t xml:space="preserve">Vigilancia Post-Comercialización</w:t>
        </w:r>
      </w:hyperlink>
    </w:p>
    <w:p>
      <w:pPr>
        <w:numPr>
          <w:ilvl w:val="0"/>
          <w:numId w:val="1001"/>
        </w:numPr>
        <w:pStyle w:val="Compact"/>
      </w:pPr>
      <w:hyperlink w:anchor="X6a426082e9272dafbdd8ec86112900ff52e2ad5">
        <w:r>
          <w:rPr>
            <w:rStyle w:val="Hyperlink"/>
          </w:rPr>
          <w:t xml:space="preserve">Checklist Completo</w:t>
        </w:r>
      </w:hyperlink>
    </w:p>
    <w:p>
      <w:r>
        <w:pict>
          <v:rect style="width:0;height:1.5pt" o:hralign="center" o:hrstd="t" o:hr="t"/>
        </w:pict>
      </w:r>
    </w:p>
    <w:bookmarkEnd w:id="20"/>
    <w:bookmarkStart w:id="24" w:name="regulación-mdr-2017745"/>
    <w:p>
      <w:pPr>
        <w:pStyle w:val="Heading2"/>
      </w:pPr>
      <w:r>
        <w:t xml:space="preserve">1. Regulación MDR 2017/745</w:t>
      </w:r>
    </w:p>
    <w:bookmarkStart w:id="21" w:name="alcance"/>
    <w:p>
      <w:pPr>
        <w:pStyle w:val="Heading3"/>
      </w:pPr>
      <w:r>
        <w:t xml:space="preserve">1.1 Alcance</w:t>
      </w:r>
    </w:p>
    <w:p>
      <w:pPr>
        <w:pStyle w:val="FirstParagraph"/>
      </w:pPr>
      <w:r>
        <w:t xml:space="preserve">El Reglamento (UE) 2017/745 sobre productos sanitarios (Medical Device Regulation — MDR) reemplaza a las Directivas 93/42/CEE (MDD) y 90/385/CEE (AIMDD). El MDR es de aplicación obligatoria desde el 26 de mayo de 2021 (con extensiones para ciertos dispositivos).</w:t>
      </w:r>
    </w:p>
    <w:bookmarkEnd w:id="21"/>
    <w:bookmarkStart w:id="22" w:name="Xe31d7228ca022094421f3438ade4ad9bbd3334b"/>
    <w:p>
      <w:pPr>
        <w:pStyle w:val="Heading3"/>
      </w:pPr>
      <w:r>
        <w:t xml:space="preserve">1.2 Clasificación del Horizon Medical bajo MDR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Criterio</w:t>
            </w:r>
          </w:p>
        </w:tc>
        <w:tc>
          <w:tcPr/>
          <w:p>
            <w:pPr>
              <w:pStyle w:val="Compact"/>
              <w:jc w:val="left"/>
            </w:pPr>
            <w:r>
              <w:t xml:space="preserve">Análisis</w:t>
            </w:r>
          </w:p>
        </w:tc>
      </w:tr>
      <w:tr>
        <w:tc>
          <w:tcPr/>
          <w:p>
            <w:pPr>
              <w:pStyle w:val="Compact"/>
              <w:jc w:val="left"/>
            </w:pPr>
            <w:r>
              <w:rPr>
                <w:bCs/>
                <w:b/>
              </w:rPr>
              <w:t xml:space="preserve">Regla de clasificación</w:t>
            </w:r>
          </w:p>
        </w:tc>
        <w:tc>
          <w:tcPr/>
          <w:p>
            <w:pPr>
              <w:pStyle w:val="Compact"/>
              <w:jc w:val="left"/>
            </w:pPr>
            <w:r>
              <w:rPr>
                <w:bCs/>
                <w:b/>
              </w:rPr>
              <w:t xml:space="preserve">Regla 11</w:t>
            </w:r>
            <w:r>
              <w:t xml:space="preserve"> </w:t>
            </w:r>
            <w:r>
              <w:t xml:space="preserve">(Annex VIII, Capítulo III, Sección 6.3)</w:t>
            </w:r>
          </w:p>
        </w:tc>
      </w:tr>
      <w:tr>
        <w:tc>
          <w:tcPr/>
          <w:p>
            <w:pPr>
              <w:pStyle w:val="Compact"/>
              <w:jc w:val="left"/>
            </w:pPr>
            <w:r>
              <w:rPr>
                <w:bCs/>
                <w:b/>
              </w:rPr>
              <w:t xml:space="preserve">Texto de la regla</w:t>
            </w:r>
          </w:p>
        </w:tc>
        <w:tc>
          <w:tcPr/>
          <w:p>
            <w:pPr>
              <w:pStyle w:val="Compact"/>
              <w:jc w:val="left"/>
            </w:pPr>
            <w:r>
              <w:rPr>
                <w:iCs/>
                <w:i/>
              </w:rPr>
              <w:t xml:space="preserve">“</w:t>
            </w:r>
            <w:r>
              <w:rPr>
                <w:iCs/>
                <w:i/>
              </w:rPr>
              <w:t xml:space="preserve">Software intended to provide information which is used to take decisions with diagnosis or therapeutic purposes is classified as class IIa, except if such decisions have an impact that may cause: death or an irreversible deterioration → class III; a serious deterioration → class IIb; all other situations → class IIa</w:t>
            </w:r>
            <w:r>
              <w:rPr>
                <w:iCs/>
                <w:i/>
              </w:rPr>
              <w:t xml:space="preserve">”</w:t>
            </w:r>
          </w:p>
        </w:tc>
      </w:tr>
      <w:tr>
        <w:tc>
          <w:tcPr/>
          <w:p>
            <w:pPr>
              <w:pStyle w:val="Compact"/>
              <w:jc w:val="left"/>
            </w:pPr>
            <w:r>
              <w:rPr>
                <w:bCs/>
                <w:b/>
              </w:rPr>
              <w:t xml:space="preserve">Clasificación resultante</w:t>
            </w:r>
          </w:p>
        </w:tc>
        <w:tc>
          <w:tcPr/>
          <w:p>
            <w:pPr>
              <w:pStyle w:val="Compact"/>
              <w:jc w:val="left"/>
            </w:pPr>
            <w:r>
              <w:rPr>
                <w:bCs/>
                <w:b/>
              </w:rPr>
              <w:t xml:space="preserve">Clase IIb</w:t>
            </w:r>
            <w:r>
              <w:t xml:space="preserve"> </w:t>
            </w:r>
            <w:r>
              <w:t xml:space="preserve">— El software detecta arritmias ventriculares (TV/FV) cuya no detección oportuna podría causar un deterioro grave del estado de salud</w:t>
            </w:r>
          </w:p>
        </w:tc>
      </w:tr>
      <w:tr>
        <w:tc>
          <w:tcPr/>
          <w:p>
            <w:pPr>
              <w:pStyle w:val="Compact"/>
              <w:jc w:val="left"/>
            </w:pPr>
            <w:r>
              <w:rPr>
                <w:bCs/>
                <w:b/>
              </w:rPr>
              <w:t xml:space="preserve">Clasificación alternativa</w:t>
            </w:r>
          </w:p>
        </w:tc>
        <w:tc>
          <w:tcPr/>
          <w:p>
            <w:pPr>
              <w:pStyle w:val="Compact"/>
              <w:jc w:val="left"/>
            </w:pPr>
            <w:r>
              <w:t xml:space="preserve">Clase IIa si el NB acepta que la IA es puramente de soporte y la decisión final es siempre del médico</w:t>
            </w:r>
          </w:p>
        </w:tc>
      </w:tr>
      <w:tr>
        <w:tc>
          <w:tcPr/>
          <w:p>
            <w:pPr>
              <w:pStyle w:val="Compact"/>
              <w:jc w:val="left"/>
            </w:pPr>
            <w:r>
              <w:rPr>
                <w:bCs/>
                <w:b/>
              </w:rPr>
              <w:t xml:space="preserve">Recomendación</w:t>
            </w:r>
          </w:p>
        </w:tc>
        <w:tc>
          <w:tcPr/>
          <w:p>
            <w:pPr>
              <w:pStyle w:val="Compact"/>
              <w:jc w:val="left"/>
            </w:pPr>
            <w:r>
              <w:t xml:space="preserve">Preparar documentación para</w:t>
            </w:r>
            <w:r>
              <w:t xml:space="preserve"> </w:t>
            </w:r>
            <w:r>
              <w:rPr>
                <w:bCs/>
                <w:b/>
              </w:rPr>
              <w:t xml:space="preserve">Clase IIb</w:t>
            </w:r>
            <w:r>
              <w:t xml:space="preserve"> </w:t>
            </w:r>
            <w:r>
              <w:t xml:space="preserve">(enfoque conservador)</w:t>
            </w:r>
          </w:p>
        </w:tc>
      </w:tr>
    </w:tbl>
    <w:bookmarkEnd w:id="22"/>
    <w:bookmarkStart w:id="23" w:name="Xb4ded0a552aeffccef81d80cf2a7afa62a71e6b"/>
    <w:p>
      <w:pPr>
        <w:pStyle w:val="Heading3"/>
      </w:pPr>
      <w:r>
        <w:t xml:space="preserve">1.3 Procedimiento de Evaluación de Conformidad</w:t>
      </w:r>
    </w:p>
    <w:p>
      <w:pPr>
        <w:pStyle w:val="FirstParagraph"/>
      </w:pPr>
      <w:r>
        <w:t xml:space="preserve">Para</w:t>
      </w:r>
      <w:r>
        <w:t xml:space="preserve"> </w:t>
      </w:r>
      <w:r>
        <w:rPr>
          <w:bCs/>
          <w:b/>
        </w:rPr>
        <w:t xml:space="preserve">Clase IIb</w:t>
      </w:r>
      <w:r>
        <w:t xml:space="preserve"> </w:t>
      </w:r>
      <w:r>
        <w:t xml:space="preserve">bajo MDR: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Annex</w:t>
            </w:r>
          </w:p>
        </w:tc>
        <w:tc>
          <w:tcPr/>
          <w:p>
            <w:pPr>
              <w:pStyle w:val="Compact"/>
              <w:jc w:val="left"/>
            </w:pPr>
            <w:r>
              <w:t xml:space="preserve">Procedimiento</w:t>
            </w:r>
          </w:p>
        </w:tc>
        <w:tc>
          <w:tcPr/>
          <w:p>
            <w:pPr>
              <w:pStyle w:val="Compact"/>
              <w:jc w:val="left"/>
            </w:pPr>
            <w:r>
              <w:t xml:space="preserve">Descripción</w:t>
            </w:r>
          </w:p>
        </w:tc>
      </w:tr>
      <w:tr>
        <w:tc>
          <w:tcPr/>
          <w:p>
            <w:pPr>
              <w:pStyle w:val="Compact"/>
              <w:jc w:val="left"/>
            </w:pPr>
            <w:r>
              <w:rPr>
                <w:bCs/>
                <w:b/>
              </w:rPr>
              <w:t xml:space="preserve">Annex IX</w:t>
            </w:r>
          </w:p>
        </w:tc>
        <w:tc>
          <w:tcPr/>
          <w:p>
            <w:pPr>
              <w:pStyle w:val="Compact"/>
              <w:jc w:val="left"/>
            </w:pPr>
            <w:r>
              <w:t xml:space="preserve">EU quality management system assessment + Technical documentation assessment</w:t>
            </w:r>
          </w:p>
        </w:tc>
        <w:tc>
          <w:tcPr/>
          <w:p>
            <w:pPr>
              <w:pStyle w:val="Compact"/>
              <w:jc w:val="left"/>
            </w:pPr>
            <w:r>
              <w:t xml:space="preserve">Evaluación del QMS + evaluación de la TD por el NB</w:t>
            </w:r>
          </w:p>
        </w:tc>
      </w:tr>
      <w:tr>
        <w:tc>
          <w:tcPr/>
          <w:p>
            <w:pPr>
              <w:pStyle w:val="Compact"/>
              <w:jc w:val="left"/>
            </w:pPr>
            <w:r>
              <w:rPr>
                <w:bCs/>
                <w:b/>
              </w:rPr>
              <w:t xml:space="preserve">Annex XI Part A</w:t>
            </w:r>
          </w:p>
        </w:tc>
        <w:tc>
          <w:tcPr/>
          <w:p>
            <w:pPr>
              <w:pStyle w:val="Compact"/>
              <w:jc w:val="left"/>
            </w:pPr>
            <w:r>
              <w:t xml:space="preserve">Production quality assurance</w:t>
            </w:r>
          </w:p>
        </w:tc>
        <w:tc>
          <w:tcPr/>
          <w:p>
            <w:pPr>
              <w:pStyle w:val="Compact"/>
              <w:jc w:val="left"/>
            </w:pPr>
            <w:r>
              <w:t xml:space="preserve">Alternativa: aseguramiento de calidad de producción</w:t>
            </w:r>
          </w:p>
        </w:tc>
      </w:tr>
    </w:tbl>
    <w:p>
      <w:pPr>
        <w:pStyle w:val="BodyText"/>
      </w:pPr>
      <w:r>
        <w:rPr>
          <w:bCs/>
          <w:b/>
        </w:rPr>
        <w:t xml:space="preserve">Ruta recomendada:</w:t>
      </w:r>
      <w:r>
        <w:t xml:space="preserve"> </w:t>
      </w:r>
      <w:r>
        <w:t xml:space="preserve">Annex IX (completo) — Evaluación del sistema de gestión de calidad + evaluación de la documentación técnica por el Organismo Notificado.</w:t>
      </w:r>
    </w:p>
    <w:p>
      <w:r>
        <w:pict>
          <v:rect style="width:0;height:1.5pt" o:hralign="center" o:hrstd="t" o:hr="t"/>
        </w:pict>
      </w:r>
    </w:p>
    <w:bookmarkEnd w:id="23"/>
    <w:bookmarkEnd w:id="24"/>
    <w:bookmarkStart w:id="27" w:name="requisitos-para-clase-iiaiib"/>
    <w:p>
      <w:pPr>
        <w:pStyle w:val="Heading2"/>
      </w:pPr>
      <w:r>
        <w:t xml:space="preserve">2. Requisitos para Clase IIa/IIb</w:t>
      </w:r>
    </w:p>
    <w:bookmarkStart w:id="25" w:name="Xd32c8425c48ad13f909ab5375aff929f183648a"/>
    <w:p>
      <w:pPr>
        <w:pStyle w:val="Heading3"/>
      </w:pPr>
      <w:r>
        <w:t xml:space="preserve">2.1 Requisitos Esenciales de Seguridad y Rendimiento (Annex I)</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Capítulo</w:t>
            </w:r>
          </w:p>
        </w:tc>
        <w:tc>
          <w:tcPr/>
          <w:p>
            <w:pPr>
              <w:pStyle w:val="Compact"/>
              <w:jc w:val="left"/>
            </w:pPr>
            <w:r>
              <w:t xml:space="preserve">Requisito</w:t>
            </w:r>
          </w:p>
        </w:tc>
        <w:tc>
          <w:tcPr/>
          <w:p>
            <w:pPr>
              <w:pStyle w:val="Compact"/>
              <w:jc w:val="left"/>
            </w:pPr>
            <w:r>
              <w:t xml:space="preserve">Aplicabilidad</w:t>
            </w:r>
          </w:p>
        </w:tc>
      </w:tr>
      <w:tr>
        <w:tc>
          <w:tcPr/>
          <w:p>
            <w:pPr>
              <w:pStyle w:val="Compact"/>
              <w:jc w:val="left"/>
            </w:pPr>
            <w:r>
              <w:rPr>
                <w:bCs/>
                <w:b/>
              </w:rPr>
              <w:t xml:space="preserve">Cap. I — General Requirements</w:t>
            </w:r>
          </w:p>
        </w:tc>
        <w:tc>
          <w:tcPr/>
          <w:p>
            <w:pPr>
              <w:pStyle w:val="Compact"/>
              <w:jc w:val="left"/>
            </w:pPr>
            <w:r>
              <w:t xml:space="preserve">Seguridad y rendimiento durante vida útil, riesgo aceptable, estado del arte</w:t>
            </w:r>
          </w:p>
        </w:tc>
        <w:tc>
          <w:tcPr/>
          <w:p>
            <w:pPr>
              <w:pStyle w:val="Compact"/>
              <w:jc w:val="left"/>
            </w:pPr>
            <w:r>
              <w:t xml:space="preserve">✅ Aplica</w:t>
            </w:r>
          </w:p>
        </w:tc>
      </w:tr>
      <w:tr>
        <w:tc>
          <w:tcPr/>
          <w:p>
            <w:pPr>
              <w:pStyle w:val="Compact"/>
              <w:jc w:val="left"/>
            </w:pPr>
            <w:r>
              <w:rPr>
                <w:bCs/>
                <w:b/>
              </w:rPr>
              <w:t xml:space="preserve">Cap. II — Design and Manufacture</w:t>
            </w:r>
          </w:p>
        </w:tc>
        <w:tc>
          <w:tcPr/>
          <w:p>
            <w:pPr>
              <w:pStyle w:val="Compact"/>
              <w:jc w:val="left"/>
            </w:pPr>
            <w:r>
              <w:t xml:space="preserve">Propiedades químicas/físicas, infección, componentes biológicos, energía</w:t>
            </w:r>
          </w:p>
        </w:tc>
        <w:tc>
          <w:tcPr/>
          <w:p>
            <w:pPr>
              <w:pStyle w:val="Compact"/>
              <w:jc w:val="left"/>
            </w:pPr>
            <w:r>
              <w:t xml:space="preserve">✅ Aplica (seguridad eléctrica, batería)</w:t>
            </w:r>
          </w:p>
        </w:tc>
      </w:tr>
      <w:tr>
        <w:tc>
          <w:tcPr/>
          <w:p>
            <w:pPr>
              <w:pStyle w:val="Compact"/>
              <w:jc w:val="left"/>
            </w:pPr>
            <w:r>
              <w:rPr>
                <w:bCs/>
                <w:b/>
              </w:rPr>
              <w:t xml:space="preserve">Cap. III — Information</w:t>
            </w:r>
          </w:p>
        </w:tc>
        <w:tc>
          <w:tcPr/>
          <w:p>
            <w:pPr>
              <w:pStyle w:val="Compact"/>
              <w:jc w:val="left"/>
            </w:pPr>
            <w:r>
              <w:t xml:space="preserve">Etiquetado, instrucciones de uso, idiomas</w:t>
            </w:r>
          </w:p>
        </w:tc>
        <w:tc>
          <w:tcPr/>
          <w:p>
            <w:pPr>
              <w:pStyle w:val="Compact"/>
              <w:jc w:val="left"/>
            </w:pPr>
            <w:r>
              <w:t xml:space="preserve">✅ Aplica</w:t>
            </w:r>
          </w:p>
        </w:tc>
      </w:tr>
      <w:tr>
        <w:tc>
          <w:tcPr/>
          <w:p>
            <w:pPr>
              <w:pStyle w:val="Compact"/>
              <w:jc w:val="left"/>
            </w:pPr>
            <w:r>
              <w:rPr>
                <w:bCs/>
                <w:b/>
              </w:rPr>
              <w:t xml:space="preserve">Sección 14.1–14.7</w:t>
            </w:r>
          </w:p>
        </w:tc>
        <w:tc>
          <w:tcPr/>
          <w:p>
            <w:pPr>
              <w:pStyle w:val="Compact"/>
              <w:jc w:val="left"/>
            </w:pPr>
            <w:r>
              <w:t xml:space="preserve">Requisitos para dispositivos con función de medición</w:t>
            </w:r>
          </w:p>
        </w:tc>
        <w:tc>
          <w:tcPr/>
          <w:p>
            <w:pPr>
              <w:pStyle w:val="Compact"/>
              <w:jc w:val="left"/>
            </w:pPr>
            <w:r>
              <w:t xml:space="preserve">✅ Aplica (medición ECG)</w:t>
            </w:r>
          </w:p>
        </w:tc>
      </w:tr>
      <w:tr>
        <w:tc>
          <w:tcPr/>
          <w:p>
            <w:pPr>
              <w:pStyle w:val="Compact"/>
              <w:jc w:val="left"/>
            </w:pPr>
            <w:r>
              <w:rPr>
                <w:bCs/>
                <w:b/>
              </w:rPr>
              <w:t xml:space="preserve">Sección 17</w:t>
            </w:r>
          </w:p>
        </w:tc>
        <w:tc>
          <w:tcPr/>
          <w:p>
            <w:pPr>
              <w:pStyle w:val="Compact"/>
              <w:jc w:val="left"/>
            </w:pPr>
            <w:r>
              <w:t xml:space="preserve">Requisitos para dispositivos con software</w:t>
            </w:r>
          </w:p>
        </w:tc>
        <w:tc>
          <w:tcPr/>
          <w:p>
            <w:pPr>
              <w:pStyle w:val="Compact"/>
              <w:jc w:val="left"/>
            </w:pPr>
            <w:r>
              <w:t xml:space="preserve">✅ Aplica</w:t>
            </w:r>
          </w:p>
        </w:tc>
      </w:tr>
      <w:tr>
        <w:tc>
          <w:tcPr/>
          <w:p>
            <w:pPr>
              <w:pStyle w:val="Compact"/>
              <w:jc w:val="left"/>
            </w:pPr>
            <w:r>
              <w:rPr>
                <w:bCs/>
                <w:b/>
              </w:rPr>
              <w:t xml:space="preserve">Sección 17.1</w:t>
            </w:r>
          </w:p>
        </w:tc>
        <w:tc>
          <w:tcPr/>
          <w:p>
            <w:pPr>
              <w:pStyle w:val="Compact"/>
              <w:jc w:val="left"/>
            </w:pPr>
            <w:r>
              <w:t xml:space="preserve">Software según estado del arte (IEC 62304)</w:t>
            </w:r>
          </w:p>
        </w:tc>
        <w:tc>
          <w:tcPr/>
          <w:p>
            <w:pPr>
              <w:pStyle w:val="Compact"/>
              <w:jc w:val="left"/>
            </w:pPr>
            <w:r>
              <w:t xml:space="preserve">✅ Aplica</w:t>
            </w:r>
          </w:p>
        </w:tc>
      </w:tr>
      <w:tr>
        <w:tc>
          <w:tcPr/>
          <w:p>
            <w:pPr>
              <w:pStyle w:val="Compact"/>
              <w:jc w:val="left"/>
            </w:pPr>
            <w:r>
              <w:rPr>
                <w:bCs/>
                <w:b/>
              </w:rPr>
              <w:t xml:space="preserve">Sección 17.2</w:t>
            </w:r>
          </w:p>
        </w:tc>
        <w:tc>
          <w:tcPr/>
          <w:p>
            <w:pPr>
              <w:pStyle w:val="Compact"/>
              <w:jc w:val="left"/>
            </w:pPr>
            <w:r>
              <w:t xml:space="preserve">Software como dispositivo médico (SaMD): repetibilidad, fiabilidad, rendimiento</w:t>
            </w:r>
          </w:p>
        </w:tc>
        <w:tc>
          <w:tcPr/>
          <w:p>
            <w:pPr>
              <w:pStyle w:val="Compact"/>
              <w:jc w:val="left"/>
            </w:pPr>
            <w:r>
              <w:t xml:space="preserve">✅ Aplica (módulo IA)</w:t>
            </w:r>
          </w:p>
        </w:tc>
      </w:tr>
      <w:tr>
        <w:tc>
          <w:tcPr/>
          <w:p>
            <w:pPr>
              <w:pStyle w:val="Compact"/>
              <w:jc w:val="left"/>
            </w:pPr>
            <w:r>
              <w:rPr>
                <w:bCs/>
                <w:b/>
              </w:rPr>
              <w:t xml:space="preserve">Sección 18</w:t>
            </w:r>
          </w:p>
        </w:tc>
        <w:tc>
          <w:tcPr/>
          <w:p>
            <w:pPr>
              <w:pStyle w:val="Compact"/>
              <w:jc w:val="left"/>
            </w:pPr>
            <w:r>
              <w:t xml:space="preserve">Dispositivos con acceso a fuentes de energía</w:t>
            </w:r>
          </w:p>
        </w:tc>
        <w:tc>
          <w:tcPr/>
          <w:p>
            <w:pPr>
              <w:pStyle w:val="Compact"/>
              <w:jc w:val="left"/>
            </w:pPr>
            <w:r>
              <w:t xml:space="preserve">✅ Aplica (batería LiPo)</w:t>
            </w:r>
          </w:p>
        </w:tc>
      </w:tr>
      <w:tr>
        <w:tc>
          <w:tcPr/>
          <w:p>
            <w:pPr>
              <w:pStyle w:val="Compact"/>
              <w:jc w:val="left"/>
            </w:pPr>
            <w:r>
              <w:rPr>
                <w:bCs/>
                <w:b/>
              </w:rPr>
              <w:t xml:space="preserve">Sección 23</w:t>
            </w:r>
          </w:p>
        </w:tc>
        <w:tc>
          <w:tcPr/>
          <w:p>
            <w:pPr>
              <w:pStyle w:val="Compact"/>
              <w:jc w:val="left"/>
            </w:pPr>
            <w:r>
              <w:t xml:space="preserve">Protección contra riesgos de software y entornos de TI</w:t>
            </w:r>
          </w:p>
        </w:tc>
        <w:tc>
          <w:tcPr/>
          <w:p>
            <w:pPr>
              <w:pStyle w:val="Compact"/>
              <w:jc w:val="left"/>
            </w:pPr>
            <w:r>
              <w:t xml:space="preserve">✅ Aplica (cybersecurity)</w:t>
            </w:r>
          </w:p>
        </w:tc>
      </w:tr>
    </w:tbl>
    <w:bookmarkEnd w:id="25"/>
    <w:bookmarkStart w:id="26" w:name="X29a82883e102329c761198531f5299c92cb7363"/>
    <w:p>
      <w:pPr>
        <w:pStyle w:val="Heading3"/>
      </w:pPr>
      <w:r>
        <w:t xml:space="preserve">2.2 Requisitos Específicos de Software bajo MDR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Requisito (MDR Annex I)</w:t>
            </w:r>
          </w:p>
        </w:tc>
        <w:tc>
          <w:tcPr/>
          <w:p>
            <w:pPr>
              <w:pStyle w:val="Compact"/>
              <w:jc w:val="left"/>
            </w:pPr>
            <w:r>
              <w:t xml:space="preserve">Descripción</w:t>
            </w:r>
          </w:p>
        </w:tc>
        <w:tc>
          <w:tcPr/>
          <w:p>
            <w:pPr>
              <w:pStyle w:val="Compact"/>
              <w:jc w:val="left"/>
            </w:pPr>
            <w:r>
              <w:t xml:space="preserve">Cumplimiento</w:t>
            </w:r>
          </w:p>
        </w:tc>
      </w:tr>
      <w:tr>
        <w:tc>
          <w:tcPr/>
          <w:p>
            <w:pPr>
              <w:pStyle w:val="Compact"/>
              <w:jc w:val="left"/>
            </w:pPr>
            <w:r>
              <w:rPr>
                <w:bCs/>
                <w:b/>
              </w:rPr>
              <w:t xml:space="preserve">17.1</w:t>
            </w:r>
          </w:p>
        </w:tc>
        <w:tc>
          <w:tcPr/>
          <w:p>
            <w:pPr>
              <w:pStyle w:val="Compact"/>
              <w:jc w:val="left"/>
            </w:pPr>
            <w:r>
              <w:t xml:space="preserve">Diseñado y fabricado conforme al estado del arte, ciclo de vida de desarrollo, gestión de riesgos, V&amp;V</w:t>
            </w:r>
          </w:p>
        </w:tc>
        <w:tc>
          <w:tcPr/>
          <w:p>
            <w:pPr>
              <w:pStyle w:val="Compact"/>
              <w:jc w:val="left"/>
            </w:pPr>
            <w:r>
              <w:t xml:space="preserve">IEC 62304 + IEC 62366</w:t>
            </w:r>
          </w:p>
        </w:tc>
      </w:tr>
      <w:tr>
        <w:tc>
          <w:tcPr/>
          <w:p>
            <w:pPr>
              <w:pStyle w:val="Compact"/>
              <w:jc w:val="left"/>
            </w:pPr>
            <w:r>
              <w:rPr>
                <w:bCs/>
                <w:b/>
              </w:rPr>
              <w:t xml:space="preserve">17.2</w:t>
            </w:r>
          </w:p>
        </w:tc>
        <w:tc>
          <w:tcPr/>
          <w:p>
            <w:pPr>
              <w:pStyle w:val="Compact"/>
              <w:jc w:val="left"/>
            </w:pPr>
            <w:r>
              <w:t xml:space="preserve">Repetibilidad, fiabilidad y rendimiento para uso previsto. Medidas contra acceso no autorizado</w:t>
            </w:r>
          </w:p>
        </w:tc>
        <w:tc>
          <w:tcPr/>
          <w:p>
            <w:pPr>
              <w:pStyle w:val="Compact"/>
              <w:jc w:val="left"/>
            </w:pPr>
            <w:r>
              <w:t xml:space="preserve">IEC 62304 + Cybersecurity</w:t>
            </w:r>
          </w:p>
        </w:tc>
      </w:tr>
      <w:tr>
        <w:tc>
          <w:tcPr/>
          <w:p>
            <w:pPr>
              <w:pStyle w:val="Compact"/>
              <w:jc w:val="left"/>
            </w:pPr>
            <w:r>
              <w:rPr>
                <w:bCs/>
                <w:b/>
              </w:rPr>
              <w:t xml:space="preserve">17.2 (párr. 2)</w:t>
            </w:r>
          </w:p>
        </w:tc>
        <w:tc>
          <w:tcPr/>
          <w:p>
            <w:pPr>
              <w:pStyle w:val="Compact"/>
              <w:jc w:val="left"/>
            </w:pPr>
            <w:r>
              <w:t xml:space="preserve">Software que se ejecuta en plataformas comerciales (móviles): validar la interacción con la plataforma</w:t>
            </w:r>
          </w:p>
        </w:tc>
        <w:tc>
          <w:tcPr/>
          <w:p>
            <w:pPr>
              <w:pStyle w:val="Compact"/>
              <w:jc w:val="left"/>
            </w:pPr>
            <w:r>
              <w:t xml:space="preserve">Validación en iOS/Android</w:t>
            </w:r>
          </w:p>
        </w:tc>
      </w:tr>
      <w:tr>
        <w:tc>
          <w:tcPr/>
          <w:p>
            <w:pPr>
              <w:pStyle w:val="Compact"/>
              <w:jc w:val="left"/>
            </w:pPr>
            <w:r>
              <w:rPr>
                <w:bCs/>
                <w:b/>
              </w:rPr>
              <w:t xml:space="preserve">17.4</w:t>
            </w:r>
          </w:p>
        </w:tc>
        <w:tc>
          <w:tcPr/>
          <w:p>
            <w:pPr>
              <w:pStyle w:val="Compact"/>
              <w:jc w:val="left"/>
            </w:pPr>
            <w:r>
              <w:t xml:space="preserve">Requisitos de interoperabilidad y seguridad</w:t>
            </w:r>
          </w:p>
        </w:tc>
        <w:tc>
          <w:tcPr/>
          <w:p>
            <w:pPr>
              <w:pStyle w:val="Compact"/>
              <w:jc w:val="left"/>
            </w:pPr>
            <w:r>
              <w:t xml:space="preserve">Protocolo BLE + API</w:t>
            </w:r>
          </w:p>
        </w:tc>
      </w:tr>
      <w:tr>
        <w:tc>
          <w:tcPr/>
          <w:p>
            <w:pPr>
              <w:pStyle w:val="Compact"/>
              <w:jc w:val="left"/>
            </w:pPr>
            <w:r>
              <w:rPr>
                <w:bCs/>
                <w:b/>
              </w:rPr>
              <w:t xml:space="preserve">23.4</w:t>
            </w:r>
          </w:p>
        </w:tc>
        <w:tc>
          <w:tcPr/>
          <w:p>
            <w:pPr>
              <w:pStyle w:val="Compact"/>
              <w:jc w:val="left"/>
            </w:pPr>
            <w:r>
              <w:t xml:space="preserve">Medidas de seguridad IT: protección contra acceso no autorizado, requisitos mínimos de plataformas</w:t>
            </w:r>
          </w:p>
        </w:tc>
        <w:tc>
          <w:tcPr/>
          <w:p>
            <w:pPr>
              <w:pStyle w:val="Compact"/>
              <w:jc w:val="left"/>
            </w:pPr>
            <w:r>
              <w:t xml:space="preserve">Cybersecurity documentation</w:t>
            </w:r>
          </w:p>
        </w:tc>
      </w:tr>
    </w:tbl>
    <w:p>
      <w:r>
        <w:pict>
          <v:rect style="width:0;height:1.5pt" o:hralign="center" o:hrstd="t" o:hr="t"/>
        </w:pict>
      </w:r>
    </w:p>
    <w:bookmarkEnd w:id="26"/>
    <w:bookmarkEnd w:id="27"/>
    <w:bookmarkStart w:id="31" w:name="organismo-notificado"/>
    <w:p>
      <w:pPr>
        <w:pStyle w:val="Heading2"/>
      </w:pPr>
      <w:r>
        <w:t xml:space="preserve">3. Organismo Notificado</w:t>
      </w:r>
    </w:p>
    <w:bookmarkStart w:id="28" w:name="selección-del-organismo-notificado"/>
    <w:p>
      <w:pPr>
        <w:pStyle w:val="Heading3"/>
      </w:pPr>
      <w:r>
        <w:t xml:space="preserve">3.1 Selección del Organismo Notificado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Criterio de Selección</w:t>
            </w:r>
          </w:p>
        </w:tc>
        <w:tc>
          <w:tcPr/>
          <w:p>
            <w:pPr>
              <w:pStyle w:val="Compact"/>
              <w:jc w:val="left"/>
            </w:pPr>
            <w:r>
              <w:t xml:space="preserve">Consideración</w:t>
            </w:r>
          </w:p>
        </w:tc>
      </w:tr>
      <w:tr>
        <w:tc>
          <w:tcPr/>
          <w:p>
            <w:pPr>
              <w:pStyle w:val="Compact"/>
              <w:jc w:val="left"/>
            </w:pPr>
            <w:r>
              <w:rPr>
                <w:bCs/>
                <w:b/>
              </w:rPr>
              <w:t xml:space="preserve">Designación MDR</w:t>
            </w:r>
          </w:p>
        </w:tc>
        <w:tc>
          <w:tcPr/>
          <w:p>
            <w:pPr>
              <w:pStyle w:val="Compact"/>
              <w:jc w:val="left"/>
            </w:pPr>
            <w:r>
              <w:t xml:space="preserve">Debe estar designado bajo MDR 2017/745 (no MDD)</w:t>
            </w:r>
          </w:p>
        </w:tc>
      </w:tr>
      <w:tr>
        <w:tc>
          <w:tcPr/>
          <w:p>
            <w:pPr>
              <w:pStyle w:val="Compact"/>
              <w:jc w:val="left"/>
            </w:pPr>
            <w:r>
              <w:rPr>
                <w:bCs/>
                <w:b/>
              </w:rPr>
              <w:t xml:space="preserve">Alcance de designación</w:t>
            </w:r>
          </w:p>
        </w:tc>
        <w:tc>
          <w:tcPr/>
          <w:p>
            <w:pPr>
              <w:pStyle w:val="Compact"/>
              <w:jc w:val="left"/>
            </w:pPr>
            <w:r>
              <w:t xml:space="preserve">Debe cubrir el código de dispositivo relevante (dispositivos activos de diagnóstico, software)</w:t>
            </w:r>
          </w:p>
        </w:tc>
      </w:tr>
      <w:tr>
        <w:tc>
          <w:tcPr/>
          <w:p>
            <w:pPr>
              <w:pStyle w:val="Compact"/>
              <w:jc w:val="left"/>
            </w:pPr>
            <w:r>
              <w:rPr>
                <w:bCs/>
                <w:b/>
              </w:rPr>
              <w:t xml:space="preserve">Experiencia en el sector</w:t>
            </w:r>
          </w:p>
        </w:tc>
        <w:tc>
          <w:tcPr/>
          <w:p>
            <w:pPr>
              <w:pStyle w:val="Compact"/>
              <w:jc w:val="left"/>
            </w:pPr>
            <w:r>
              <w:t xml:space="preserve">Preferencia por NBs con experiencia en dispositivos cardiovasculares y software/IA</w:t>
            </w:r>
          </w:p>
        </w:tc>
      </w:tr>
      <w:tr>
        <w:tc>
          <w:tcPr/>
          <w:p>
            <w:pPr>
              <w:pStyle w:val="Compact"/>
              <w:jc w:val="left"/>
            </w:pPr>
            <w:r>
              <w:rPr>
                <w:bCs/>
                <w:b/>
              </w:rPr>
              <w:t xml:space="preserve">Capacidad y backlog</w:t>
            </w:r>
          </w:p>
        </w:tc>
        <w:tc>
          <w:tcPr/>
          <w:p>
            <w:pPr>
              <w:pStyle w:val="Compact"/>
              <w:jc w:val="left"/>
            </w:pPr>
            <w:r>
              <w:t xml:space="preserve">Tiempos de espera actuales varían de 6 a 18+ meses</w:t>
            </w:r>
          </w:p>
        </w:tc>
      </w:tr>
      <w:tr>
        <w:tc>
          <w:tcPr/>
          <w:p>
            <w:pPr>
              <w:pStyle w:val="Compact"/>
              <w:jc w:val="left"/>
            </w:pPr>
            <w:r>
              <w:rPr>
                <w:bCs/>
                <w:b/>
              </w:rPr>
              <w:t xml:space="preserve">Localización</w:t>
            </w:r>
          </w:p>
        </w:tc>
        <w:tc>
          <w:tcPr/>
          <w:p>
            <w:pPr>
              <w:pStyle w:val="Compact"/>
              <w:jc w:val="left"/>
            </w:pPr>
            <w:r>
              <w:t xml:space="preserve">NBs en la UE; considerar idioma y facilidad de comunicación</w:t>
            </w:r>
          </w:p>
        </w:tc>
      </w:tr>
      <w:tr>
        <w:tc>
          <w:tcPr/>
          <w:p>
            <w:pPr>
              <w:pStyle w:val="Compact"/>
              <w:jc w:val="left"/>
            </w:pPr>
            <w:r>
              <w:rPr>
                <w:bCs/>
                <w:b/>
              </w:rPr>
              <w:t xml:space="preserve">Costo</w:t>
            </w:r>
          </w:p>
        </w:tc>
        <w:tc>
          <w:tcPr/>
          <w:p>
            <w:pPr>
              <w:pStyle w:val="Compact"/>
              <w:jc w:val="left"/>
            </w:pPr>
            <w:r>
              <w:t xml:space="preserve">Tarifas varían significativamente entre NBs</w:t>
            </w:r>
          </w:p>
        </w:tc>
      </w:tr>
    </w:tbl>
    <w:bookmarkEnd w:id="28"/>
    <w:bookmarkStart w:id="29" w:name="organismos-notificados-recomendados"/>
    <w:p>
      <w:pPr>
        <w:pStyle w:val="Heading3"/>
      </w:pPr>
      <w:r>
        <w:t xml:space="preserve">3.2 Organismos Notificados Recomendados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Organismo Notificado</w:t>
            </w:r>
          </w:p>
        </w:tc>
        <w:tc>
          <w:tcPr/>
          <w:p>
            <w:pPr>
              <w:pStyle w:val="Compact"/>
              <w:jc w:val="left"/>
            </w:pPr>
            <w:r>
              <w:t xml:space="preserve">NB Number</w:t>
            </w:r>
          </w:p>
        </w:tc>
        <w:tc>
          <w:tcPr/>
          <w:p>
            <w:pPr>
              <w:pStyle w:val="Compact"/>
              <w:jc w:val="left"/>
            </w:pPr>
            <w:r>
              <w:t xml:space="preserve">País</w:t>
            </w:r>
          </w:p>
        </w:tc>
        <w:tc>
          <w:tcPr/>
          <w:p>
            <w:pPr>
              <w:pStyle w:val="Compact"/>
              <w:jc w:val="left"/>
            </w:pPr>
            <w:r>
              <w:t xml:space="preserve">Fortaleza</w:t>
            </w:r>
          </w:p>
        </w:tc>
      </w:tr>
      <w:tr>
        <w:tc>
          <w:tcPr/>
          <w:p>
            <w:pPr>
              <w:pStyle w:val="Compact"/>
              <w:jc w:val="left"/>
            </w:pPr>
            <w:r>
              <w:rPr>
                <w:bCs/>
                <w:b/>
              </w:rPr>
              <w:t xml:space="preserve">BSI</w:t>
            </w:r>
          </w:p>
        </w:tc>
        <w:tc>
          <w:tcPr/>
          <w:p>
            <w:pPr>
              <w:pStyle w:val="Compact"/>
              <w:jc w:val="left"/>
            </w:pPr>
            <w:r>
              <w:t xml:space="preserve">2797</w:t>
            </w:r>
          </w:p>
        </w:tc>
        <w:tc>
          <w:tcPr/>
          <w:p>
            <w:pPr>
              <w:pStyle w:val="Compact"/>
              <w:jc w:val="left"/>
            </w:pPr>
            <w:r>
              <w:t xml:space="preserve">UK/NL</w:t>
            </w:r>
          </w:p>
        </w:tc>
        <w:tc>
          <w:tcPr/>
          <w:p>
            <w:pPr>
              <w:pStyle w:val="Compact"/>
              <w:jc w:val="left"/>
            </w:pPr>
            <w:r>
              <w:t xml:space="preserve">Amplia experiencia en software médico</w:t>
            </w:r>
          </w:p>
        </w:tc>
      </w:tr>
      <w:tr>
        <w:tc>
          <w:tcPr/>
          <w:p>
            <w:pPr>
              <w:pStyle w:val="Compact"/>
              <w:jc w:val="left"/>
            </w:pPr>
            <w:r>
              <w:rPr>
                <w:bCs/>
                <w:b/>
              </w:rPr>
              <w:t xml:space="preserve">TÜV SÜD</w:t>
            </w:r>
          </w:p>
        </w:tc>
        <w:tc>
          <w:tcPr/>
          <w:p>
            <w:pPr>
              <w:pStyle w:val="Compact"/>
              <w:jc w:val="left"/>
            </w:pPr>
            <w:r>
              <w:t xml:space="preserve">0123</w:t>
            </w:r>
          </w:p>
        </w:tc>
        <w:tc>
          <w:tcPr/>
          <w:p>
            <w:pPr>
              <w:pStyle w:val="Compact"/>
              <w:jc w:val="left"/>
            </w:pPr>
            <w:r>
              <w:t xml:space="preserve">Alemania</w:t>
            </w:r>
          </w:p>
        </w:tc>
        <w:tc>
          <w:tcPr/>
          <w:p>
            <w:pPr>
              <w:pStyle w:val="Compact"/>
              <w:jc w:val="left"/>
            </w:pPr>
            <w:r>
              <w:t xml:space="preserve">Fuerte en dispositivos activos, IA</w:t>
            </w:r>
          </w:p>
        </w:tc>
      </w:tr>
      <w:tr>
        <w:tc>
          <w:tcPr/>
          <w:p>
            <w:pPr>
              <w:pStyle w:val="Compact"/>
              <w:jc w:val="left"/>
            </w:pPr>
            <w:r>
              <w:rPr>
                <w:bCs/>
                <w:b/>
              </w:rPr>
              <w:t xml:space="preserve">TÜV Rheinland</w:t>
            </w:r>
          </w:p>
        </w:tc>
        <w:tc>
          <w:tcPr/>
          <w:p>
            <w:pPr>
              <w:pStyle w:val="Compact"/>
              <w:jc w:val="left"/>
            </w:pPr>
            <w:r>
              <w:t xml:space="preserve">0197</w:t>
            </w:r>
          </w:p>
        </w:tc>
        <w:tc>
          <w:tcPr/>
          <w:p>
            <w:pPr>
              <w:pStyle w:val="Compact"/>
              <w:jc w:val="left"/>
            </w:pPr>
            <w:r>
              <w:t xml:space="preserve">Alemania</w:t>
            </w:r>
          </w:p>
        </w:tc>
        <w:tc>
          <w:tcPr/>
          <w:p>
            <w:pPr>
              <w:pStyle w:val="Compact"/>
              <w:jc w:val="left"/>
            </w:pPr>
            <w:r>
              <w:t xml:space="preserve">Experiencia cardiovascular</w:t>
            </w:r>
          </w:p>
        </w:tc>
      </w:tr>
      <w:tr>
        <w:tc>
          <w:tcPr/>
          <w:p>
            <w:pPr>
              <w:pStyle w:val="Compact"/>
              <w:jc w:val="left"/>
            </w:pPr>
            <w:r>
              <w:rPr>
                <w:bCs/>
                <w:b/>
              </w:rPr>
              <w:t xml:space="preserve">DEKRA</w:t>
            </w:r>
          </w:p>
        </w:tc>
        <w:tc>
          <w:tcPr/>
          <w:p>
            <w:pPr>
              <w:pStyle w:val="Compact"/>
              <w:jc w:val="left"/>
            </w:pPr>
            <w:r>
              <w:t xml:space="preserve">0124</w:t>
            </w:r>
          </w:p>
        </w:tc>
        <w:tc>
          <w:tcPr/>
          <w:p>
            <w:pPr>
              <w:pStyle w:val="Compact"/>
              <w:jc w:val="left"/>
            </w:pPr>
            <w:r>
              <w:t xml:space="preserve">Alemania/NL</w:t>
            </w:r>
          </w:p>
        </w:tc>
        <w:tc>
          <w:tcPr/>
          <w:p>
            <w:pPr>
              <w:pStyle w:val="Compact"/>
              <w:jc w:val="left"/>
            </w:pPr>
            <w:r>
              <w:t xml:space="preserve">Capacidad creciente bajo MDR</w:t>
            </w:r>
          </w:p>
        </w:tc>
      </w:tr>
      <w:tr>
        <w:tc>
          <w:tcPr/>
          <w:p>
            <w:pPr>
              <w:pStyle w:val="Compact"/>
              <w:jc w:val="left"/>
            </w:pPr>
            <w:r>
              <w:rPr>
                <w:bCs/>
                <w:b/>
              </w:rPr>
              <w:t xml:space="preserve">SGS</w:t>
            </w:r>
          </w:p>
        </w:tc>
        <w:tc>
          <w:tcPr/>
          <w:p>
            <w:pPr>
              <w:pStyle w:val="Compact"/>
              <w:jc w:val="left"/>
            </w:pPr>
            <w:r>
              <w:t xml:space="preserve">0120</w:t>
            </w:r>
          </w:p>
        </w:tc>
        <w:tc>
          <w:tcPr/>
          <w:p>
            <w:pPr>
              <w:pStyle w:val="Compact"/>
              <w:jc w:val="left"/>
            </w:pPr>
            <w:r>
              <w:t xml:space="preserve">Bélgica</w:t>
            </w:r>
          </w:p>
        </w:tc>
        <w:tc>
          <w:tcPr/>
          <w:p>
            <w:pPr>
              <w:pStyle w:val="Compact"/>
              <w:jc w:val="left"/>
            </w:pPr>
            <w:r>
              <w:t xml:space="preserve">Presencia internacional</w:t>
            </w:r>
          </w:p>
        </w:tc>
      </w:tr>
      <w:tr>
        <w:tc>
          <w:tcPr/>
          <w:p>
            <w:pPr>
              <w:pStyle w:val="Compact"/>
              <w:jc w:val="left"/>
            </w:pPr>
            <w:r>
              <w:rPr>
                <w:bCs/>
                <w:b/>
              </w:rPr>
              <w:t xml:space="preserve">IMQ</w:t>
            </w:r>
          </w:p>
        </w:tc>
        <w:tc>
          <w:tcPr/>
          <w:p>
            <w:pPr>
              <w:pStyle w:val="Compact"/>
              <w:jc w:val="left"/>
            </w:pPr>
            <w:r>
              <w:t xml:space="preserve">0051</w:t>
            </w:r>
          </w:p>
        </w:tc>
        <w:tc>
          <w:tcPr/>
          <w:p>
            <w:pPr>
              <w:pStyle w:val="Compact"/>
              <w:jc w:val="left"/>
            </w:pPr>
            <w:r>
              <w:t xml:space="preserve">Italia</w:t>
            </w:r>
          </w:p>
        </w:tc>
        <w:tc>
          <w:tcPr/>
          <w:p>
            <w:pPr>
              <w:pStyle w:val="Compact"/>
              <w:jc w:val="left"/>
            </w:pPr>
            <w:r>
              <w:t xml:space="preserve">Competitivo en costos</w:t>
            </w:r>
          </w:p>
        </w:tc>
      </w:tr>
    </w:tbl>
    <w:bookmarkEnd w:id="29"/>
    <w:bookmarkStart w:id="30" w:name="proceso-con-el-organismo-notificado"/>
    <w:p>
      <w:pPr>
        <w:pStyle w:val="Heading3"/>
      </w:pPr>
      <w:r>
        <w:t xml:space="preserve">3.3 Proceso con el Organismo Notificado</w:t>
      </w:r>
    </w:p>
    <w:p>
      <w:pPr>
        <w:numPr>
          <w:ilvl w:val="0"/>
          <w:numId w:val="1002"/>
        </w:numPr>
        <w:pStyle w:val="Compact"/>
      </w:pPr>
      <w:r>
        <w:rPr>
          <w:bCs/>
          <w:b/>
        </w:rPr>
        <w:t xml:space="preserve">Application:</w:t>
      </w:r>
      <w:r>
        <w:t xml:space="preserve"> </w:t>
      </w:r>
      <w:r>
        <w:t xml:space="preserve">Envío de solicitud formal con descripción del dispositivo y clasificación</w:t>
      </w:r>
    </w:p>
    <w:p>
      <w:pPr>
        <w:numPr>
          <w:ilvl w:val="0"/>
          <w:numId w:val="1002"/>
        </w:numPr>
        <w:pStyle w:val="Compact"/>
      </w:pPr>
      <w:r>
        <w:rPr>
          <w:bCs/>
          <w:b/>
        </w:rPr>
        <w:t xml:space="preserve">Quote &amp; Contract:</w:t>
      </w:r>
      <w:r>
        <w:t xml:space="preserve"> </w:t>
      </w:r>
      <w:r>
        <w:t xml:space="preserve">El NB evalúa el alcance y emite cotización</w:t>
      </w:r>
    </w:p>
    <w:p>
      <w:pPr>
        <w:numPr>
          <w:ilvl w:val="0"/>
          <w:numId w:val="1002"/>
        </w:numPr>
        <w:pStyle w:val="Compact"/>
      </w:pPr>
      <w:r>
        <w:rPr>
          <w:bCs/>
          <w:b/>
        </w:rPr>
        <w:t xml:space="preserve">Document Review (Stage 1):</w:t>
      </w:r>
      <w:r>
        <w:t xml:space="preserve"> </w:t>
      </w:r>
      <w:r>
        <w:t xml:space="preserve">Revisión de la documentación técnica</w:t>
      </w:r>
    </w:p>
    <w:p>
      <w:pPr>
        <w:numPr>
          <w:ilvl w:val="0"/>
          <w:numId w:val="1002"/>
        </w:numPr>
        <w:pStyle w:val="Compact"/>
      </w:pPr>
      <w:r>
        <w:rPr>
          <w:bCs/>
          <w:b/>
        </w:rPr>
        <w:t xml:space="preserve">QMS Audit (Stage 2):</w:t>
      </w:r>
      <w:r>
        <w:t xml:space="preserve"> </w:t>
      </w:r>
      <w:r>
        <w:t xml:space="preserve">Auditoría presencial del sistema de gestión de calidad</w:t>
      </w:r>
    </w:p>
    <w:p>
      <w:pPr>
        <w:numPr>
          <w:ilvl w:val="0"/>
          <w:numId w:val="1002"/>
        </w:numPr>
        <w:pStyle w:val="Compact"/>
      </w:pPr>
      <w:r>
        <w:rPr>
          <w:bCs/>
          <w:b/>
        </w:rPr>
        <w:t xml:space="preserve">Technical Documentation Assessment:</w:t>
      </w:r>
      <w:r>
        <w:t xml:space="preserve"> </w:t>
      </w:r>
      <w:r>
        <w:t xml:space="preserve">Revisión detallada de la TD</w:t>
      </w:r>
    </w:p>
    <w:p>
      <w:pPr>
        <w:numPr>
          <w:ilvl w:val="0"/>
          <w:numId w:val="1002"/>
        </w:numPr>
        <w:pStyle w:val="Compact"/>
      </w:pPr>
      <w:r>
        <w:rPr>
          <w:bCs/>
          <w:b/>
        </w:rPr>
        <w:t xml:space="preserve">Observations &amp; Responses:</w:t>
      </w:r>
      <w:r>
        <w:t xml:space="preserve"> </w:t>
      </w:r>
      <w:r>
        <w:t xml:space="preserve">El fabricante responde a no conformidades</w:t>
      </w:r>
    </w:p>
    <w:p>
      <w:pPr>
        <w:numPr>
          <w:ilvl w:val="0"/>
          <w:numId w:val="1002"/>
        </w:numPr>
        <w:pStyle w:val="Compact"/>
      </w:pPr>
      <w:r>
        <w:rPr>
          <w:bCs/>
          <w:b/>
        </w:rPr>
        <w:t xml:space="preserve">Certification Decision:</w:t>
      </w:r>
      <w:r>
        <w:t xml:space="preserve"> </w:t>
      </w:r>
      <w:r>
        <w:t xml:space="preserve">El NB decide si emite el certificado</w:t>
      </w:r>
    </w:p>
    <w:p>
      <w:pPr>
        <w:numPr>
          <w:ilvl w:val="0"/>
          <w:numId w:val="1002"/>
        </w:numPr>
        <w:pStyle w:val="Compact"/>
      </w:pPr>
      <w:r>
        <w:rPr>
          <w:bCs/>
          <w:b/>
        </w:rPr>
        <w:t xml:space="preserve">Surveillance Audits:</w:t>
      </w:r>
      <w:r>
        <w:t xml:space="preserve"> </w:t>
      </w:r>
      <w:r>
        <w:t xml:space="preserve">Auditorías anuales de vigilancia</w:t>
      </w:r>
    </w:p>
    <w:p>
      <w:r>
        <w:pict>
          <v:rect style="width:0;height:1.5pt" o:hralign="center" o:hrstd="t" o:hr="t"/>
        </w:pict>
      </w:r>
    </w:p>
    <w:bookmarkEnd w:id="30"/>
    <w:bookmarkEnd w:id="31"/>
    <w:bookmarkStart w:id="35" w:name="evaluación-clínica"/>
    <w:p>
      <w:pPr>
        <w:pStyle w:val="Heading2"/>
      </w:pPr>
      <w:r>
        <w:t xml:space="preserve">4. Evaluación Clínica</w:t>
      </w:r>
    </w:p>
    <w:bookmarkStart w:id="32" w:name="X5ed864a5ff23a3c78ec66b97f5fd9de01c1f6d2"/>
    <w:p>
      <w:pPr>
        <w:pStyle w:val="Heading3"/>
      </w:pPr>
      <w:r>
        <w:t xml:space="preserve">4.1 Requisitos de Evaluación Clínica (MDR Annex XIV)</w:t>
      </w:r>
    </w:p>
    <w:p>
      <w:pPr>
        <w:pStyle w:val="FirstParagraph"/>
      </w:pPr>
      <w:r>
        <w:t xml:space="preserve">La evaluación clínica bajo MDR es</w:t>
      </w:r>
      <w:r>
        <w:t xml:space="preserve"> </w:t>
      </w:r>
      <w:r>
        <w:rPr>
          <w:bCs/>
          <w:b/>
        </w:rPr>
        <w:t xml:space="preserve">significativamente más rigurosa</w:t>
      </w:r>
      <w:r>
        <w:t xml:space="preserve"> </w:t>
      </w:r>
      <w:r>
        <w:t xml:space="preserve">que bajo MDD. Los requisitos incluyen: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Requisito</w:t>
            </w:r>
          </w:p>
        </w:tc>
        <w:tc>
          <w:tcPr/>
          <w:p>
            <w:pPr>
              <w:pStyle w:val="Compact"/>
              <w:jc w:val="left"/>
            </w:pPr>
            <w:r>
              <w:t xml:space="preserve">Descripción</w:t>
            </w:r>
          </w:p>
        </w:tc>
        <w:tc>
          <w:tcPr/>
          <w:p>
            <w:pPr>
              <w:pStyle w:val="Compact"/>
              <w:jc w:val="left"/>
            </w:pPr>
            <w:r>
              <w:t xml:space="preserve">Referencia</w:t>
            </w:r>
          </w:p>
        </w:tc>
      </w:tr>
      <w:tr>
        <w:tc>
          <w:tcPr/>
          <w:p>
            <w:pPr>
              <w:pStyle w:val="Compact"/>
              <w:jc w:val="left"/>
            </w:pPr>
            <w:r>
              <w:rPr>
                <w:bCs/>
                <w:b/>
              </w:rPr>
              <w:t xml:space="preserve">Clinical Evaluation Plan (CEP)</w:t>
            </w:r>
          </w:p>
        </w:tc>
        <w:tc>
          <w:tcPr/>
          <w:p>
            <w:pPr>
              <w:pStyle w:val="Compact"/>
              <w:jc w:val="left"/>
            </w:pPr>
            <w:r>
              <w:t xml:space="preserve">Plan que define la estrategia, metodología y criterios de la evaluación clínica</w:t>
            </w:r>
          </w:p>
        </w:tc>
        <w:tc>
          <w:tcPr/>
          <w:p>
            <w:pPr>
              <w:pStyle w:val="Compact"/>
              <w:jc w:val="left"/>
            </w:pPr>
            <w:r>
              <w:t xml:space="preserve">MDR Art. 61, Annex XIV Part A</w:t>
            </w:r>
          </w:p>
        </w:tc>
      </w:tr>
      <w:tr>
        <w:tc>
          <w:tcPr/>
          <w:p>
            <w:pPr>
              <w:pStyle w:val="Compact"/>
              <w:jc w:val="left"/>
            </w:pPr>
            <w:r>
              <w:rPr>
                <w:bCs/>
                <w:b/>
              </w:rPr>
              <w:t xml:space="preserve">Identification of clinical data</w:t>
            </w:r>
          </w:p>
        </w:tc>
        <w:tc>
          <w:tcPr/>
          <w:p>
            <w:pPr>
              <w:pStyle w:val="Compact"/>
              <w:jc w:val="left"/>
            </w:pPr>
            <w:r>
              <w:t xml:space="preserve">Búsqueda sistemática de literatura + datos propios</w:t>
            </w:r>
          </w:p>
        </w:tc>
        <w:tc>
          <w:tcPr/>
          <w:p>
            <w:pPr>
              <w:pStyle w:val="Compact"/>
              <w:jc w:val="left"/>
            </w:pPr>
            <w:r>
              <w:t xml:space="preserve">MEDDEV 2.7/1 Rev 4</w:t>
            </w:r>
          </w:p>
        </w:tc>
      </w:tr>
      <w:tr>
        <w:tc>
          <w:tcPr/>
          <w:p>
            <w:pPr>
              <w:pStyle w:val="Compact"/>
              <w:jc w:val="left"/>
            </w:pPr>
            <w:r>
              <w:rPr>
                <w:bCs/>
                <w:b/>
              </w:rPr>
              <w:t xml:space="preserve">Appraisal of clinical data</w:t>
            </w:r>
          </w:p>
        </w:tc>
        <w:tc>
          <w:tcPr/>
          <w:p>
            <w:pPr>
              <w:pStyle w:val="Compact"/>
              <w:jc w:val="left"/>
            </w:pPr>
            <w:r>
              <w:t xml:space="preserve">Evaluación crítica de la calidad y relevancia de cada dato</w:t>
            </w:r>
          </w:p>
        </w:tc>
        <w:tc>
          <w:tcPr/>
          <w:p>
            <w:pPr>
              <w:pStyle w:val="Compact"/>
              <w:jc w:val="left"/>
            </w:pPr>
            <w:r>
              <w:t xml:space="preserve">MEDDEV 2.7/1 Rev 4</w:t>
            </w:r>
          </w:p>
        </w:tc>
      </w:tr>
      <w:tr>
        <w:tc>
          <w:tcPr/>
          <w:p>
            <w:pPr>
              <w:pStyle w:val="Compact"/>
              <w:jc w:val="left"/>
            </w:pPr>
            <w:r>
              <w:rPr>
                <w:bCs/>
                <w:b/>
              </w:rPr>
              <w:t xml:space="preserve">Analysis of clinical data</w:t>
            </w:r>
          </w:p>
        </w:tc>
        <w:tc>
          <w:tcPr/>
          <w:p>
            <w:pPr>
              <w:pStyle w:val="Compact"/>
              <w:jc w:val="left"/>
            </w:pPr>
            <w:r>
              <w:t xml:space="preserve">Análisis de los datos en relación con seguridad, rendimiento, beneficio-riesgo</w:t>
            </w:r>
          </w:p>
        </w:tc>
        <w:tc>
          <w:tcPr/>
          <w:p>
            <w:pPr>
              <w:pStyle w:val="Compact"/>
              <w:jc w:val="left"/>
            </w:pPr>
            <w:r>
              <w:t xml:space="preserve">MEDDEV 2.7/1 Rev 4</w:t>
            </w:r>
          </w:p>
        </w:tc>
      </w:tr>
      <w:tr>
        <w:tc>
          <w:tcPr/>
          <w:p>
            <w:pPr>
              <w:pStyle w:val="Compact"/>
              <w:jc w:val="left"/>
            </w:pPr>
            <w:r>
              <w:rPr>
                <w:bCs/>
                <w:b/>
              </w:rPr>
              <w:t xml:space="preserve">Clinical Evaluation Report (CER)</w:t>
            </w:r>
          </w:p>
        </w:tc>
        <w:tc>
          <w:tcPr/>
          <w:p>
            <w:pPr>
              <w:pStyle w:val="Compact"/>
              <w:jc w:val="left"/>
            </w:pPr>
            <w:r>
              <w:t xml:space="preserve">Documento que consolida toda la evaluación clínica</w:t>
            </w:r>
          </w:p>
        </w:tc>
        <w:tc>
          <w:tcPr/>
          <w:p>
            <w:pPr>
              <w:pStyle w:val="Compact"/>
              <w:jc w:val="left"/>
            </w:pPr>
            <w:r>
              <w:t xml:space="preserve">MDR Annex XIV</w:t>
            </w:r>
          </w:p>
        </w:tc>
      </w:tr>
    </w:tbl>
    <w:bookmarkEnd w:id="32"/>
    <w:bookmarkStart w:id="33" w:name="Xfd8d5c67df3a53dec6e483aee83847de913a54e"/>
    <w:p>
      <w:pPr>
        <w:pStyle w:val="Heading3"/>
      </w:pPr>
      <w:r>
        <w:t xml:space="preserve">4.2 Equivalencia Clínica (MDR Annex XIV, Part A, Section 3)</w:t>
      </w:r>
    </w:p>
    <w:p>
      <w:pPr>
        <w:pStyle w:val="FirstParagraph"/>
      </w:pPr>
      <w:r>
        <w:t xml:space="preserve">Bajo MDR, la demostración de equivalencia con un dispositivo ya en el mercado es</w:t>
      </w:r>
      <w:r>
        <w:t xml:space="preserve"> </w:t>
      </w:r>
      <w:r>
        <w:rPr>
          <w:bCs/>
          <w:b/>
        </w:rPr>
        <w:t xml:space="preserve">más restrictiva</w:t>
      </w:r>
      <w:r>
        <w:t xml:space="preserve"> </w:t>
      </w:r>
      <w:r>
        <w:t xml:space="preserve">que bajo MDD: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 de Equivalencia</w:t>
            </w:r>
          </w:p>
        </w:tc>
        <w:tc>
          <w:tcPr/>
          <w:p>
            <w:pPr>
              <w:pStyle w:val="Compact"/>
              <w:jc w:val="left"/>
            </w:pPr>
            <w:r>
              <w:t xml:space="preserve">Requisito MDR</w:t>
            </w:r>
          </w:p>
        </w:tc>
        <w:tc>
          <w:tcPr/>
          <w:p>
            <w:pPr>
              <w:pStyle w:val="Compact"/>
              <w:jc w:val="left"/>
            </w:pPr>
            <w:r>
              <w:t xml:space="preserve">Análisis Horizon</w:t>
            </w:r>
          </w:p>
        </w:tc>
      </w:tr>
      <w:tr>
        <w:tc>
          <w:tcPr/>
          <w:p>
            <w:pPr>
              <w:pStyle w:val="Compact"/>
              <w:jc w:val="left"/>
            </w:pPr>
            <w:r>
              <w:rPr>
                <w:bCs/>
                <w:b/>
              </w:rPr>
              <w:t xml:space="preserve">Técnica</w:t>
            </w:r>
          </w:p>
        </w:tc>
        <w:tc>
          <w:tcPr/>
          <w:p>
            <w:pPr>
              <w:pStyle w:val="Compact"/>
              <w:jc w:val="left"/>
            </w:pPr>
            <w:r>
              <w:t xml:space="preserve">Mismo diseño, condiciones de uso, especificaciones, propiedades</w:t>
            </w:r>
          </w:p>
        </w:tc>
        <w:tc>
          <w:tcPr/>
          <w:p>
            <w:pPr>
              <w:pStyle w:val="Compact"/>
              <w:jc w:val="left"/>
            </w:pPr>
            <w:r>
              <w:t xml:space="preserve">Similar (ECG ambulatorio, electrodos de superficie)</w:t>
            </w:r>
          </w:p>
        </w:tc>
      </w:tr>
      <w:tr>
        <w:tc>
          <w:tcPr/>
          <w:p>
            <w:pPr>
              <w:pStyle w:val="Compact"/>
              <w:jc w:val="left"/>
            </w:pPr>
            <w:r>
              <w:rPr>
                <w:bCs/>
                <w:b/>
              </w:rPr>
              <w:t xml:space="preserve">Biológica</w:t>
            </w:r>
          </w:p>
        </w:tc>
        <w:tc>
          <w:tcPr/>
          <w:p>
            <w:pPr>
              <w:pStyle w:val="Compact"/>
              <w:jc w:val="left"/>
            </w:pPr>
            <w:r>
              <w:t xml:space="preserve">Mismos materiales en contacto con el cuerpo</w:t>
            </w:r>
          </w:p>
        </w:tc>
        <w:tc>
          <w:tcPr/>
          <w:p>
            <w:pPr>
              <w:pStyle w:val="Compact"/>
              <w:jc w:val="left"/>
            </w:pPr>
            <w:r>
              <w:t xml:space="preserve">Equivalente (Ag/AgCl, adhesivos estándar)</w:t>
            </w:r>
          </w:p>
        </w:tc>
      </w:tr>
      <w:tr>
        <w:tc>
          <w:tcPr/>
          <w:p>
            <w:pPr>
              <w:pStyle w:val="Compact"/>
              <w:jc w:val="left"/>
            </w:pPr>
            <w:r>
              <w:rPr>
                <w:bCs/>
                <w:b/>
              </w:rPr>
              <w:t xml:space="preserve">Clínica</w:t>
            </w:r>
          </w:p>
        </w:tc>
        <w:tc>
          <w:tcPr/>
          <w:p>
            <w:pPr>
              <w:pStyle w:val="Compact"/>
              <w:jc w:val="left"/>
            </w:pPr>
            <w:r>
              <w:t xml:space="preserve">Misma condición clínica, mismo sitio del cuerpo, misma población, mismo uso previsto</w:t>
            </w:r>
          </w:p>
        </w:tc>
        <w:tc>
          <w:tcPr/>
          <w:p>
            <w:pPr>
              <w:pStyle w:val="Compact"/>
              <w:jc w:val="left"/>
            </w:pPr>
            <w:r>
              <w:t xml:space="preserve">Equivalente (monitoreo ECG ambulatorio adultos)</w:t>
            </w:r>
          </w:p>
        </w:tc>
      </w:tr>
      <w:tr>
        <w:tc>
          <w:tcPr/>
          <w:p>
            <w:pPr>
              <w:pStyle w:val="Compact"/>
              <w:jc w:val="left"/>
            </w:pPr>
            <w:r>
              <w:rPr>
                <w:bCs/>
                <w:b/>
              </w:rPr>
              <w:t xml:space="preserve">Acceso a datos del equivalente</w:t>
            </w:r>
          </w:p>
        </w:tc>
        <w:tc>
          <w:tcPr/>
          <w:p>
            <w:pPr>
              <w:pStyle w:val="Compact"/>
              <w:jc w:val="left"/>
            </w:pPr>
            <w:r>
              <w:t xml:space="preserve">El fabricante debe tener acceso a los datos clínicos del dispositivo equivalente, o existir un contrato</w:t>
            </w:r>
          </w:p>
        </w:tc>
        <w:tc>
          <w:tcPr/>
          <w:p>
            <w:pPr>
              <w:pStyle w:val="Compact"/>
              <w:jc w:val="left"/>
            </w:pPr>
            <w:r>
              <w:t xml:space="preserve">⚠️ Difícil (fabricantes diferentes)</w:t>
            </w:r>
          </w:p>
        </w:tc>
      </w:tr>
    </w:tbl>
    <w:p>
      <w:pPr>
        <w:pStyle w:val="BlockText"/>
      </w:pPr>
      <w:r>
        <w:rPr>
          <w:bCs/>
          <w:b/>
        </w:rPr>
        <w:t xml:space="preserve">Nota crítica:</w:t>
      </w:r>
      <w:r>
        <w:t xml:space="preserve"> </w:t>
      </w:r>
      <w:r>
        <w:t xml:space="preserve">Bajo MDR, si el fabricante no tiene acceso contractual a los datos del dispositivo equivalente, la evaluación clínica debe incluir datos clínicos propios o una justificación muy robusta basada en literatura publicada.</w:t>
      </w:r>
    </w:p>
    <w:bookmarkEnd w:id="33"/>
    <w:bookmarkStart w:id="34" w:name="Xd75172c098a6d8a06969338fcc6cf503a3654da"/>
    <w:p>
      <w:pPr>
        <w:pStyle w:val="Heading3"/>
      </w:pPr>
      <w:r>
        <w:t xml:space="preserve">4.3 Estrategia de Evaluación Clínica para Horizon</w:t>
      </w:r>
    </w:p>
    <w:p>
      <w:pPr>
        <w:numPr>
          <w:ilvl w:val="0"/>
          <w:numId w:val="1003"/>
        </w:numPr>
        <w:pStyle w:val="Compact"/>
      </w:pPr>
      <w:r>
        <w:rPr>
          <w:bCs/>
          <w:b/>
        </w:rPr>
        <w:t xml:space="preserve">Ruta 1 (Principal):</w:t>
      </w:r>
      <w:r>
        <w:t xml:space="preserve"> </w:t>
      </w:r>
      <w:r>
        <w:t xml:space="preserve">Equivalencia basada en literatura publicada extensiva sobre Holter ECG + datos de V&amp;V propios + datos de validación de IA</w:t>
      </w:r>
    </w:p>
    <w:p>
      <w:pPr>
        <w:numPr>
          <w:ilvl w:val="0"/>
          <w:numId w:val="1003"/>
        </w:numPr>
        <w:pStyle w:val="Compact"/>
      </w:pPr>
      <w:r>
        <w:rPr>
          <w:bCs/>
          <w:b/>
        </w:rPr>
        <w:t xml:space="preserve">Ruta 2 (Complementaria):</w:t>
      </w:r>
      <w:r>
        <w:t xml:space="preserve"> </w:t>
      </w:r>
      <w:r>
        <w:t xml:space="preserve">Estudio clínico propio (prospectivo comparativo) para fortalecer el CER</w:t>
      </w:r>
    </w:p>
    <w:p>
      <w:pPr>
        <w:numPr>
          <w:ilvl w:val="0"/>
          <w:numId w:val="1003"/>
        </w:numPr>
        <w:pStyle w:val="Compact"/>
      </w:pPr>
      <w:r>
        <w:rPr>
          <w:bCs/>
          <w:b/>
        </w:rPr>
        <w:t xml:space="preserve">Ruta 3 (IA específica):</w:t>
      </w:r>
      <w:r>
        <w:t xml:space="preserve"> </w:t>
      </w:r>
      <w:r>
        <w:t xml:space="preserve">Validación del algoritmo con datasets públicos anotados (PhysioNet MIT-BIH, INCART) + dataset clínico propio</w:t>
      </w:r>
    </w:p>
    <w:p>
      <w:r>
        <w:pict>
          <v:rect style="width:0;height:1.5pt" o:hralign="center" o:hrstd="t" o:hr="t"/>
        </w:pict>
      </w:r>
    </w:p>
    <w:bookmarkEnd w:id="34"/>
    <w:bookmarkEnd w:id="35"/>
    <w:bookmarkStart w:id="37" w:name="clinical-evaluation-report-cer"/>
    <w:p>
      <w:pPr>
        <w:pStyle w:val="Heading2"/>
      </w:pPr>
      <w:r>
        <w:t xml:space="preserve">5. Clinical Evaluation Report (CER)</w:t>
      </w:r>
    </w:p>
    <w:bookmarkStart w:id="36" w:name="estructura-del-cer-meddev-2.71-rev-4"/>
    <w:p>
      <w:pPr>
        <w:pStyle w:val="Heading3"/>
      </w:pPr>
      <w:r>
        <w:t xml:space="preserve">5.1 Estructura del CER (MEDDEV 2.7/1 Rev 4)</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Sección</w:t>
            </w:r>
          </w:p>
        </w:tc>
        <w:tc>
          <w:tcPr/>
          <w:p>
            <w:pPr>
              <w:pStyle w:val="Compact"/>
              <w:jc w:val="left"/>
            </w:pPr>
            <w:r>
              <w:t xml:space="preserve">Contenido</w:t>
            </w:r>
          </w:p>
        </w:tc>
      </w:tr>
      <w:tr>
        <w:tc>
          <w:tcPr/>
          <w:p>
            <w:pPr>
              <w:pStyle w:val="Compact"/>
              <w:jc w:val="left"/>
            </w:pPr>
            <w:r>
              <w:rPr>
                <w:bCs/>
                <w:b/>
              </w:rPr>
              <w:t xml:space="preserve">Scope</w:t>
            </w:r>
          </w:p>
        </w:tc>
        <w:tc>
          <w:tcPr/>
          <w:p>
            <w:pPr>
              <w:pStyle w:val="Compact"/>
              <w:jc w:val="left"/>
            </w:pPr>
            <w:r>
              <w:t xml:space="preserve">Dispositivo, uso previsto, clasificación, evaluador</w:t>
            </w:r>
          </w:p>
        </w:tc>
      </w:tr>
      <w:tr>
        <w:tc>
          <w:tcPr/>
          <w:p>
            <w:pPr>
              <w:pStyle w:val="Compact"/>
              <w:jc w:val="left"/>
            </w:pPr>
            <w:r>
              <w:rPr>
                <w:bCs/>
                <w:b/>
              </w:rPr>
              <w:t xml:space="preserve">Clinical Background</w:t>
            </w:r>
          </w:p>
        </w:tc>
        <w:tc>
          <w:tcPr/>
          <w:p>
            <w:pPr>
              <w:pStyle w:val="Compact"/>
              <w:jc w:val="left"/>
            </w:pPr>
            <w:r>
              <w:t xml:space="preserve">Contexto clínico, epidemiología, alternativas, estado del arte</w:t>
            </w:r>
          </w:p>
        </w:tc>
      </w:tr>
      <w:tr>
        <w:tc>
          <w:tcPr/>
          <w:p>
            <w:pPr>
              <w:pStyle w:val="Compact"/>
              <w:jc w:val="left"/>
            </w:pPr>
            <w:r>
              <w:rPr>
                <w:bCs/>
                <w:b/>
              </w:rPr>
              <w:t xml:space="preserve">Device Description</w:t>
            </w:r>
          </w:p>
        </w:tc>
        <w:tc>
          <w:tcPr/>
          <w:p>
            <w:pPr>
              <w:pStyle w:val="Compact"/>
              <w:jc w:val="left"/>
            </w:pPr>
            <w:r>
              <w:t xml:space="preserve">Descripción técnica, generaciones, accesorios</w:t>
            </w:r>
          </w:p>
        </w:tc>
      </w:tr>
      <w:tr>
        <w:tc>
          <w:tcPr/>
          <w:p>
            <w:pPr>
              <w:pStyle w:val="Compact"/>
              <w:jc w:val="left"/>
            </w:pPr>
            <w:r>
              <w:rPr>
                <w:bCs/>
                <w:b/>
              </w:rPr>
              <w:t xml:space="preserve">Clinical Evaluation Plan</w:t>
            </w:r>
          </w:p>
        </w:tc>
        <w:tc>
          <w:tcPr/>
          <w:p>
            <w:pPr>
              <w:pStyle w:val="Compact"/>
              <w:jc w:val="left"/>
            </w:pPr>
            <w:r>
              <w:t xml:space="preserve">Metodología, criterios de búsqueda, bases de datos consultadas</w:t>
            </w:r>
          </w:p>
        </w:tc>
      </w:tr>
      <w:tr>
        <w:tc>
          <w:tcPr/>
          <w:p>
            <w:pPr>
              <w:pStyle w:val="Compact"/>
              <w:jc w:val="left"/>
            </w:pPr>
            <w:r>
              <w:rPr>
                <w:bCs/>
                <w:b/>
              </w:rPr>
              <w:t xml:space="preserve">Clinical Data — Literature</w:t>
            </w:r>
          </w:p>
        </w:tc>
        <w:tc>
          <w:tcPr/>
          <w:p>
            <w:pPr>
              <w:pStyle w:val="Compact"/>
              <w:jc w:val="left"/>
            </w:pPr>
            <w:r>
              <w:t xml:space="preserve">Búsqueda sistemática, selección, appraisal, datos extraídos</w:t>
            </w:r>
          </w:p>
        </w:tc>
      </w:tr>
      <w:tr>
        <w:tc>
          <w:tcPr/>
          <w:p>
            <w:pPr>
              <w:pStyle w:val="Compact"/>
              <w:jc w:val="left"/>
            </w:pPr>
            <w:r>
              <w:rPr>
                <w:bCs/>
                <w:b/>
              </w:rPr>
              <w:t xml:space="preserve">Clinical Data — Device</w:t>
            </w:r>
          </w:p>
        </w:tc>
        <w:tc>
          <w:tcPr/>
          <w:p>
            <w:pPr>
              <w:pStyle w:val="Compact"/>
              <w:jc w:val="left"/>
            </w:pPr>
            <w:r>
              <w:t xml:space="preserve">Datos de V&amp;V, datos clínicos propios, experiencia post-market</w:t>
            </w:r>
          </w:p>
        </w:tc>
      </w:tr>
      <w:tr>
        <w:tc>
          <w:tcPr/>
          <w:p>
            <w:pPr>
              <w:pStyle w:val="Compact"/>
              <w:jc w:val="left"/>
            </w:pPr>
            <w:r>
              <w:rPr>
                <w:bCs/>
                <w:b/>
              </w:rPr>
              <w:t xml:space="preserve">Equivalence Assessment</w:t>
            </w:r>
          </w:p>
        </w:tc>
        <w:tc>
          <w:tcPr/>
          <w:p>
            <w:pPr>
              <w:pStyle w:val="Compact"/>
              <w:jc w:val="left"/>
            </w:pPr>
            <w:r>
              <w:t xml:space="preserve">Análisis de equivalencia técnica, biológica y clínica</w:t>
            </w:r>
          </w:p>
        </w:tc>
      </w:tr>
      <w:tr>
        <w:tc>
          <w:tcPr/>
          <w:p>
            <w:pPr>
              <w:pStyle w:val="Compact"/>
              <w:jc w:val="left"/>
            </w:pPr>
            <w:r>
              <w:rPr>
                <w:bCs/>
                <w:b/>
              </w:rPr>
              <w:t xml:space="preserve">Analysis of Safety</w:t>
            </w:r>
          </w:p>
        </w:tc>
        <w:tc>
          <w:tcPr/>
          <w:p>
            <w:pPr>
              <w:pStyle w:val="Compact"/>
              <w:jc w:val="left"/>
            </w:pPr>
            <w:r>
              <w:t xml:space="preserve">Análisis de todos los datos de seguridad, eventos adversos</w:t>
            </w:r>
          </w:p>
        </w:tc>
      </w:tr>
      <w:tr>
        <w:tc>
          <w:tcPr/>
          <w:p>
            <w:pPr>
              <w:pStyle w:val="Compact"/>
              <w:jc w:val="left"/>
            </w:pPr>
            <w:r>
              <w:rPr>
                <w:bCs/>
                <w:b/>
              </w:rPr>
              <w:t xml:space="preserve">Analysis of Performance</w:t>
            </w:r>
          </w:p>
        </w:tc>
        <w:tc>
          <w:tcPr/>
          <w:p>
            <w:pPr>
              <w:pStyle w:val="Compact"/>
              <w:jc w:val="left"/>
            </w:pPr>
            <w:r>
              <w:t xml:space="preserve">Análisis del rendimiento clínico (sensibilidad, especificidad de arritmias)</w:t>
            </w:r>
          </w:p>
        </w:tc>
      </w:tr>
      <w:tr>
        <w:tc>
          <w:tcPr/>
          <w:p>
            <w:pPr>
              <w:pStyle w:val="Compact"/>
              <w:jc w:val="left"/>
            </w:pPr>
            <w:r>
              <w:rPr>
                <w:bCs/>
                <w:b/>
              </w:rPr>
              <w:t xml:space="preserve">Benefit-Risk Analysis</w:t>
            </w:r>
          </w:p>
        </w:tc>
        <w:tc>
          <w:tcPr/>
          <w:p>
            <w:pPr>
              <w:pStyle w:val="Compact"/>
              <w:jc w:val="left"/>
            </w:pPr>
            <w:r>
              <w:t xml:space="preserve">Evaluación beneficio-riesgo según MDR</w:t>
            </w:r>
          </w:p>
        </w:tc>
      </w:tr>
      <w:tr>
        <w:tc>
          <w:tcPr/>
          <w:p>
            <w:pPr>
              <w:pStyle w:val="Compact"/>
              <w:jc w:val="left"/>
            </w:pPr>
            <w:r>
              <w:rPr>
                <w:bCs/>
                <w:b/>
              </w:rPr>
              <w:t xml:space="preserve">Conclusions</w:t>
            </w:r>
          </w:p>
        </w:tc>
        <w:tc>
          <w:tcPr/>
          <w:p>
            <w:pPr>
              <w:pStyle w:val="Compact"/>
              <w:jc w:val="left"/>
            </w:pPr>
            <w:r>
              <w:t xml:space="preserve">Conclusiones clínicas, conformidad con GSPRs</w:t>
            </w:r>
          </w:p>
        </w:tc>
      </w:tr>
      <w:tr>
        <w:tc>
          <w:tcPr/>
          <w:p>
            <w:pPr>
              <w:pStyle w:val="Compact"/>
              <w:jc w:val="left"/>
            </w:pPr>
            <w:r>
              <w:rPr>
                <w:bCs/>
                <w:b/>
              </w:rPr>
              <w:t xml:space="preserve">Date, Author, Qualifications</w:t>
            </w:r>
          </w:p>
        </w:tc>
        <w:tc>
          <w:tcPr/>
          <w:p>
            <w:pPr>
              <w:pStyle w:val="Compact"/>
              <w:jc w:val="left"/>
            </w:pPr>
            <w:r>
              <w:t xml:space="preserve">Evaluador clínico calificado (médico con experiencia)</w:t>
            </w:r>
          </w:p>
        </w:tc>
      </w:tr>
    </w:tbl>
    <w:p>
      <w:pPr>
        <w:pStyle w:val="BlockText"/>
      </w:pPr>
      <w:r>
        <w:rPr>
          <w:bCs/>
          <w:b/>
        </w:rPr>
        <w:t xml:space="preserve">Referencia:</w:t>
      </w:r>
      <w:r>
        <w:t xml:space="preserve"> </w:t>
      </w:r>
      <w:r>
        <w:t xml:space="preserve">Ver template detallado en</w:t>
      </w:r>
      <w:r>
        <w:t xml:space="preserve"> </w:t>
      </w:r>
      <w:r>
        <w:rPr>
          <w:rStyle w:val="VerbatimChar"/>
        </w:rPr>
        <w:t xml:space="preserve">templates/Clinical-Evaluation-Report.md</w:t>
      </w:r>
    </w:p>
    <w:p>
      <w:r>
        <w:pict>
          <v:rect style="width:0;height:1.5pt" o:hralign="center" o:hrstd="t" o:hr="t"/>
        </w:pict>
      </w:r>
    </w:p>
    <w:bookmarkEnd w:id="36"/>
    <w:bookmarkEnd w:id="37"/>
    <w:bookmarkStart w:id="40" w:name="post-market-clinical-follow-up-pmcf"/>
    <w:p>
      <w:pPr>
        <w:pStyle w:val="Heading2"/>
      </w:pPr>
      <w:r>
        <w:t xml:space="preserve">6. Post-Market Clinical Follow-up (PMCF)</w:t>
      </w:r>
    </w:p>
    <w:bookmarkStart w:id="38" w:name="requisitos-de-pmcf-mdr-annex-xiv-part-b"/>
    <w:p>
      <w:pPr>
        <w:pStyle w:val="Heading3"/>
      </w:pPr>
      <w:r>
        <w:t xml:space="preserve">6.1 Requisitos de PMCF (MDR Annex XIV, Part B)</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rPr>
                <w:bCs/>
                <w:b/>
              </w:rPr>
              <w:t xml:space="preserve">PMCF Plan</w:t>
            </w:r>
          </w:p>
        </w:tc>
        <w:tc>
          <w:tcPr/>
          <w:p>
            <w:pPr>
              <w:pStyle w:val="Compact"/>
              <w:jc w:val="left"/>
            </w:pPr>
            <w:r>
              <w:t xml:space="preserve">Plan detallado de seguimiento clínico post-comercialización</w:t>
            </w:r>
          </w:p>
        </w:tc>
      </w:tr>
      <w:tr>
        <w:tc>
          <w:tcPr/>
          <w:p>
            <w:pPr>
              <w:pStyle w:val="Compact"/>
              <w:jc w:val="left"/>
            </w:pPr>
            <w:r>
              <w:rPr>
                <w:bCs/>
                <w:b/>
              </w:rPr>
              <w:t xml:space="preserve">Objetivo</w:t>
            </w:r>
          </w:p>
        </w:tc>
        <w:tc>
          <w:tcPr/>
          <w:p>
            <w:pPr>
              <w:pStyle w:val="Compact"/>
              <w:jc w:val="left"/>
            </w:pPr>
            <w:r>
              <w:t xml:space="preserve">Confirmar seguridad y rendimiento durante toda la vida útil del dispositivo</w:t>
            </w:r>
          </w:p>
        </w:tc>
      </w:tr>
      <w:tr>
        <w:tc>
          <w:tcPr/>
          <w:p>
            <w:pPr>
              <w:pStyle w:val="Compact"/>
              <w:jc w:val="left"/>
            </w:pPr>
            <w:r>
              <w:rPr>
                <w:bCs/>
                <w:b/>
              </w:rPr>
              <w:t xml:space="preserve">Métodos</w:t>
            </w:r>
          </w:p>
        </w:tc>
        <w:tc>
          <w:tcPr/>
          <w:p>
            <w:pPr>
              <w:pStyle w:val="Compact"/>
              <w:jc w:val="left"/>
            </w:pPr>
            <w:r>
              <w:t xml:space="preserve">Estudios PMCF, registros, surveys, complaint analysis</w:t>
            </w:r>
          </w:p>
        </w:tc>
      </w:tr>
      <w:tr>
        <w:tc>
          <w:tcPr/>
          <w:p>
            <w:pPr>
              <w:pStyle w:val="Compact"/>
              <w:jc w:val="left"/>
            </w:pPr>
            <w:r>
              <w:rPr>
                <w:bCs/>
                <w:b/>
              </w:rPr>
              <w:t xml:space="preserve">PMCF Evaluation Report</w:t>
            </w:r>
          </w:p>
        </w:tc>
        <w:tc>
          <w:tcPr/>
          <w:p>
            <w:pPr>
              <w:pStyle w:val="Compact"/>
              <w:jc w:val="left"/>
            </w:pPr>
            <w:r>
              <w:t xml:space="preserve">Informe periódico de resultados (parte del PSUR para Clase IIb+)</w:t>
            </w:r>
          </w:p>
        </w:tc>
      </w:tr>
    </w:tbl>
    <w:bookmarkEnd w:id="38"/>
    <w:bookmarkStart w:id="39" w:name="pmcf-plan-para-horizon-medical"/>
    <w:p>
      <w:pPr>
        <w:pStyle w:val="Heading3"/>
      </w:pPr>
      <w:r>
        <w:t xml:space="preserve">6.2 PMCF Plan para Horizon Medical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Actividad PMCF</w:t>
            </w:r>
          </w:p>
        </w:tc>
        <w:tc>
          <w:tcPr/>
          <w:p>
            <w:pPr>
              <w:pStyle w:val="Compact"/>
              <w:jc w:val="left"/>
            </w:pPr>
            <w:r>
              <w:t xml:space="preserve">Descripción</w:t>
            </w:r>
          </w:p>
        </w:tc>
        <w:tc>
          <w:tcPr/>
          <w:p>
            <w:pPr>
              <w:pStyle w:val="Compact"/>
              <w:jc w:val="left"/>
            </w:pPr>
            <w:r>
              <w:t xml:space="preserve">Frecuencia</w:t>
            </w:r>
          </w:p>
        </w:tc>
      </w:tr>
      <w:tr>
        <w:tc>
          <w:tcPr/>
          <w:p>
            <w:pPr>
              <w:pStyle w:val="Compact"/>
              <w:jc w:val="left"/>
            </w:pPr>
            <w:r>
              <w:rPr>
                <w:bCs/>
                <w:b/>
              </w:rPr>
              <w:t xml:space="preserve">Revisión de literatura</w:t>
            </w:r>
          </w:p>
        </w:tc>
        <w:tc>
          <w:tcPr/>
          <w:p>
            <w:pPr>
              <w:pStyle w:val="Compact"/>
              <w:jc w:val="left"/>
            </w:pPr>
            <w:r>
              <w:t xml:space="preserve">Búsqueda continua de publicaciones sobre Holter ECG y IA cardíaca</w:t>
            </w:r>
          </w:p>
        </w:tc>
        <w:tc>
          <w:tcPr/>
          <w:p>
            <w:pPr>
              <w:pStyle w:val="Compact"/>
              <w:jc w:val="left"/>
            </w:pPr>
            <w:r>
              <w:t xml:space="preserve">Anual</w:t>
            </w:r>
          </w:p>
        </w:tc>
      </w:tr>
      <w:tr>
        <w:tc>
          <w:tcPr/>
          <w:p>
            <w:pPr>
              <w:pStyle w:val="Compact"/>
              <w:jc w:val="left"/>
            </w:pPr>
            <w:r>
              <w:rPr>
                <w:bCs/>
                <w:b/>
              </w:rPr>
              <w:t xml:space="preserve">Análisis de complaints</w:t>
            </w:r>
          </w:p>
        </w:tc>
        <w:tc>
          <w:tcPr/>
          <w:p>
            <w:pPr>
              <w:pStyle w:val="Compact"/>
              <w:jc w:val="left"/>
            </w:pPr>
            <w:r>
              <w:t xml:space="preserve">Revisión sistemática de quejas y reportes de campo</w:t>
            </w:r>
          </w:p>
        </w:tc>
        <w:tc>
          <w:tcPr/>
          <w:p>
            <w:pPr>
              <w:pStyle w:val="Compact"/>
              <w:jc w:val="left"/>
            </w:pPr>
            <w:r>
              <w:t xml:space="preserve">Continua</w:t>
            </w:r>
          </w:p>
        </w:tc>
      </w:tr>
      <w:tr>
        <w:tc>
          <w:tcPr/>
          <w:p>
            <w:pPr>
              <w:pStyle w:val="Compact"/>
              <w:jc w:val="left"/>
            </w:pPr>
            <w:r>
              <w:rPr>
                <w:bCs/>
                <w:b/>
              </w:rPr>
              <w:t xml:space="preserve">Registry study</w:t>
            </w:r>
          </w:p>
        </w:tc>
        <w:tc>
          <w:tcPr/>
          <w:p>
            <w:pPr>
              <w:pStyle w:val="Compact"/>
              <w:jc w:val="left"/>
            </w:pPr>
            <w:r>
              <w:t xml:space="preserve">Registro prospectivo de pacientes monitoreados (endpoints: accuracy, AE)</w:t>
            </w:r>
          </w:p>
        </w:tc>
        <w:tc>
          <w:tcPr/>
          <w:p>
            <w:pPr>
              <w:pStyle w:val="Compact"/>
              <w:jc w:val="left"/>
            </w:pPr>
            <w:r>
              <w:t xml:space="preserve">Continua</w:t>
            </w:r>
          </w:p>
        </w:tc>
      </w:tr>
      <w:tr>
        <w:tc>
          <w:tcPr/>
          <w:p>
            <w:pPr>
              <w:pStyle w:val="Compact"/>
              <w:jc w:val="left"/>
            </w:pPr>
            <w:r>
              <w:rPr>
                <w:bCs/>
                <w:b/>
              </w:rPr>
              <w:t xml:space="preserve">User survey</w:t>
            </w:r>
          </w:p>
        </w:tc>
        <w:tc>
          <w:tcPr/>
          <w:p>
            <w:pPr>
              <w:pStyle w:val="Compact"/>
              <w:jc w:val="left"/>
            </w:pPr>
            <w:r>
              <w:t xml:space="preserve">Encuestas de satisfacción a clínicos y pacientes</w:t>
            </w:r>
          </w:p>
        </w:tc>
        <w:tc>
          <w:tcPr/>
          <w:p>
            <w:pPr>
              <w:pStyle w:val="Compact"/>
              <w:jc w:val="left"/>
            </w:pPr>
            <w:r>
              <w:t xml:space="preserve">Semestral</w:t>
            </w:r>
          </w:p>
        </w:tc>
      </w:tr>
      <w:tr>
        <w:tc>
          <w:tcPr/>
          <w:p>
            <w:pPr>
              <w:pStyle w:val="Compact"/>
              <w:jc w:val="left"/>
            </w:pPr>
            <w:r>
              <w:rPr>
                <w:bCs/>
                <w:b/>
              </w:rPr>
              <w:t xml:space="preserve">AI performance monitoring</w:t>
            </w:r>
          </w:p>
        </w:tc>
        <w:tc>
          <w:tcPr/>
          <w:p>
            <w:pPr>
              <w:pStyle w:val="Compact"/>
              <w:jc w:val="left"/>
            </w:pPr>
            <w:r>
              <w:t xml:space="preserve">Monitoreo continuo de métricas del modelo de IA en producción</w:t>
            </w:r>
          </w:p>
        </w:tc>
        <w:tc>
          <w:tcPr/>
          <w:p>
            <w:pPr>
              <w:pStyle w:val="Compact"/>
              <w:jc w:val="left"/>
            </w:pPr>
            <w:r>
              <w:t xml:space="preserve">Continua</w:t>
            </w:r>
          </w:p>
        </w:tc>
      </w:tr>
      <w:tr>
        <w:tc>
          <w:tcPr/>
          <w:p>
            <w:pPr>
              <w:pStyle w:val="Compact"/>
              <w:jc w:val="left"/>
            </w:pPr>
            <w:r>
              <w:rPr>
                <w:bCs/>
                <w:b/>
              </w:rPr>
              <w:t xml:space="preserve">Vigilance data analysis</w:t>
            </w:r>
          </w:p>
        </w:tc>
        <w:tc>
          <w:tcPr/>
          <w:p>
            <w:pPr>
              <w:pStyle w:val="Compact"/>
              <w:jc w:val="left"/>
            </w:pPr>
            <w:r>
              <w:t xml:space="preserve">Análisis de datos de vigilancia propios y de la industria</w:t>
            </w:r>
          </w:p>
        </w:tc>
        <w:tc>
          <w:tcPr/>
          <w:p>
            <w:pPr>
              <w:pStyle w:val="Compact"/>
              <w:jc w:val="left"/>
            </w:pPr>
            <w:r>
              <w:t xml:space="preserve">Anual</w:t>
            </w:r>
          </w:p>
        </w:tc>
      </w:tr>
    </w:tbl>
    <w:p>
      <w:r>
        <w:pict>
          <v:rect style="width:0;height:1.5pt" o:hralign="center" o:hrstd="t" o:hr="t"/>
        </w:pict>
      </w:r>
    </w:p>
    <w:bookmarkEnd w:id="39"/>
    <w:bookmarkEnd w:id="40"/>
    <w:bookmarkStart w:id="45" w:name="technical-documentation"/>
    <w:p>
      <w:pPr>
        <w:pStyle w:val="Heading2"/>
      </w:pPr>
      <w:r>
        <w:t xml:space="preserve">7. Technical Documentation</w:t>
      </w:r>
    </w:p>
    <w:bookmarkStart w:id="43" w:name="X6faea53e03105840a202fcef844f46ec1ff90b6"/>
    <w:p>
      <w:pPr>
        <w:pStyle w:val="Heading3"/>
      </w:pPr>
      <w:r>
        <w:t xml:space="preserve">7.1 Estructura de la Technical Documentation (MDR Annex II + III)</w:t>
      </w:r>
    </w:p>
    <w:bookmarkStart w:id="41" w:name="annex-ii-technical-documentation"/>
    <w:p>
      <w:pPr>
        <w:pStyle w:val="Heading4"/>
      </w:pPr>
      <w:r>
        <w:t xml:space="preserve">Annex II — Technical Documentation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Sección</w:t>
            </w:r>
          </w:p>
        </w:tc>
        <w:tc>
          <w:tcPr/>
          <w:p>
            <w:pPr>
              <w:pStyle w:val="Compact"/>
              <w:jc w:val="left"/>
            </w:pPr>
            <w:r>
              <w:t xml:space="preserve">Contenido</w:t>
            </w:r>
          </w:p>
        </w:tc>
      </w:tr>
      <w:tr>
        <w:tc>
          <w:tcPr/>
          <w:p>
            <w:pPr>
              <w:pStyle w:val="Compact"/>
              <w:jc w:val="left"/>
            </w:pPr>
            <w:r>
              <w:rPr>
                <w:bCs/>
                <w:b/>
              </w:rPr>
              <w:t xml:space="preserve">1. Device Description and Specification</w:t>
            </w:r>
          </w:p>
        </w:tc>
        <w:tc>
          <w:tcPr/>
          <w:p>
            <w:pPr>
              <w:pStyle w:val="Compact"/>
              <w:jc w:val="left"/>
            </w:pPr>
            <w:r>
              <w:t xml:space="preserve">Nombre, clasificación, uso previsto, generaciones, componentes, materiales, accesorios, configuraciones</w:t>
            </w:r>
          </w:p>
        </w:tc>
      </w:tr>
      <w:tr>
        <w:tc>
          <w:tcPr/>
          <w:p>
            <w:pPr>
              <w:pStyle w:val="Compact"/>
              <w:jc w:val="left"/>
            </w:pPr>
            <w:r>
              <w:rPr>
                <w:bCs/>
                <w:b/>
              </w:rPr>
              <w:t xml:space="preserve">2. Information to be Supplied by the Manufacturer</w:t>
            </w:r>
          </w:p>
        </w:tc>
        <w:tc>
          <w:tcPr/>
          <w:p>
            <w:pPr>
              <w:pStyle w:val="Compact"/>
              <w:jc w:val="left"/>
            </w:pPr>
            <w:r>
              <w:t xml:space="preserve">Etiquetado, IFU en todos los idiomas de los países de comercialización</w:t>
            </w:r>
          </w:p>
        </w:tc>
      </w:tr>
      <w:tr>
        <w:tc>
          <w:tcPr/>
          <w:p>
            <w:pPr>
              <w:pStyle w:val="Compact"/>
              <w:jc w:val="left"/>
            </w:pPr>
            <w:r>
              <w:rPr>
                <w:bCs/>
                <w:b/>
              </w:rPr>
              <w:t xml:space="preserve">3. Design and Manufacturing Information</w:t>
            </w:r>
          </w:p>
        </w:tc>
        <w:tc>
          <w:tcPr/>
          <w:p>
            <w:pPr>
              <w:pStyle w:val="Compact"/>
              <w:jc w:val="left"/>
            </w:pPr>
            <w:r>
              <w:t xml:space="preserve">Proceso de manufactura, proveedores, validación de procesos, diagrama de flujo</w:t>
            </w:r>
          </w:p>
        </w:tc>
      </w:tr>
      <w:tr>
        <w:tc>
          <w:tcPr/>
          <w:p>
            <w:pPr>
              <w:pStyle w:val="Compact"/>
              <w:jc w:val="left"/>
            </w:pPr>
            <w:r>
              <w:rPr>
                <w:bCs/>
                <w:b/>
              </w:rPr>
              <w:t xml:space="preserve">4. General Safety and Performance Requirements (GSPRs)</w:t>
            </w:r>
          </w:p>
        </w:tc>
        <w:tc>
          <w:tcPr/>
          <w:p>
            <w:pPr>
              <w:pStyle w:val="Compact"/>
              <w:jc w:val="left"/>
            </w:pPr>
            <w:r>
              <w:t xml:space="preserve">Checklist de requisitos esenciales (Annex I) con referencia a normas armonizadas</w:t>
            </w:r>
          </w:p>
        </w:tc>
      </w:tr>
      <w:tr>
        <w:tc>
          <w:tcPr/>
          <w:p>
            <w:pPr>
              <w:pStyle w:val="Compact"/>
              <w:jc w:val="left"/>
            </w:pPr>
            <w:r>
              <w:rPr>
                <w:bCs/>
                <w:b/>
              </w:rPr>
              <w:t xml:space="preserve">5. Benefit-Risk Analysis and Risk Management</w:t>
            </w:r>
          </w:p>
        </w:tc>
        <w:tc>
          <w:tcPr/>
          <w:p>
            <w:pPr>
              <w:pStyle w:val="Compact"/>
              <w:jc w:val="left"/>
            </w:pPr>
            <w:r>
              <w:t xml:space="preserve">Risk Management File según ISO 14971, análisis beneficio-riesgo</w:t>
            </w:r>
          </w:p>
        </w:tc>
      </w:tr>
      <w:tr>
        <w:tc>
          <w:tcPr/>
          <w:p>
            <w:pPr>
              <w:pStyle w:val="Compact"/>
              <w:jc w:val="left"/>
            </w:pPr>
            <w:r>
              <w:rPr>
                <w:bCs/>
                <w:b/>
              </w:rPr>
              <w:t xml:space="preserve">6. Product Verification and Validation</w:t>
            </w:r>
          </w:p>
        </w:tc>
        <w:tc>
          <w:tcPr/>
          <w:p>
            <w:pPr>
              <w:pStyle w:val="Compact"/>
              <w:jc w:val="left"/>
            </w:pPr>
            <w:r>
              <w:t xml:space="preserve">V&amp;V completa: bench testing, software V&amp;V, biocompatibilidad, EMC, seguridad eléctrica</w:t>
            </w:r>
          </w:p>
        </w:tc>
      </w:tr>
      <w:tr>
        <w:tc>
          <w:tcPr/>
          <w:p>
            <w:pPr>
              <w:pStyle w:val="Compact"/>
              <w:jc w:val="left"/>
            </w:pPr>
            <w:r>
              <w:rPr>
                <w:bCs/>
                <w:b/>
              </w:rPr>
              <w:t xml:space="preserve">6 (cont.) Clinical Evaluation</w:t>
            </w:r>
          </w:p>
        </w:tc>
        <w:tc>
          <w:tcPr/>
          <w:p>
            <w:pPr>
              <w:pStyle w:val="Compact"/>
              <w:jc w:val="left"/>
            </w:pPr>
            <w:r>
              <w:t xml:space="preserve">CER según MEDDEV 2.7/1 Rev 4, PMCF plan</w:t>
            </w:r>
          </w:p>
        </w:tc>
      </w:tr>
    </w:tbl>
    <w:bookmarkEnd w:id="41"/>
    <w:bookmarkStart w:id="42" w:name="X8ca683984f013543fb8fec53b56eb1b1956c96e"/>
    <w:p>
      <w:pPr>
        <w:pStyle w:val="Heading4"/>
      </w:pPr>
      <w:r>
        <w:t xml:space="preserve">Annex III — Post-Market Surveillance Documentation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Sección</w:t>
            </w:r>
          </w:p>
        </w:tc>
        <w:tc>
          <w:tcPr/>
          <w:p>
            <w:pPr>
              <w:pStyle w:val="Compact"/>
              <w:jc w:val="left"/>
            </w:pPr>
            <w:r>
              <w:t xml:space="preserve">Contenido</w:t>
            </w:r>
          </w:p>
        </w:tc>
      </w:tr>
      <w:tr>
        <w:tc>
          <w:tcPr/>
          <w:p>
            <w:pPr>
              <w:pStyle w:val="Compact"/>
              <w:jc w:val="left"/>
            </w:pPr>
            <w:r>
              <w:rPr>
                <w:bCs/>
                <w:b/>
              </w:rPr>
              <w:t xml:space="preserve">1. PMS Plan</w:t>
            </w:r>
          </w:p>
        </w:tc>
        <w:tc>
          <w:tcPr/>
          <w:p>
            <w:pPr>
              <w:pStyle w:val="Compact"/>
              <w:jc w:val="left"/>
            </w:pPr>
            <w:r>
              <w:t xml:space="preserve">Plan de vigilancia post-comercialización</w:t>
            </w:r>
          </w:p>
        </w:tc>
      </w:tr>
      <w:tr>
        <w:tc>
          <w:tcPr/>
          <w:p>
            <w:pPr>
              <w:pStyle w:val="Compact"/>
              <w:jc w:val="left"/>
            </w:pPr>
            <w:r>
              <w:rPr>
                <w:bCs/>
                <w:b/>
              </w:rPr>
              <w:t xml:space="preserve">2. PSUR</w:t>
            </w:r>
          </w:p>
        </w:tc>
        <w:tc>
          <w:tcPr/>
          <w:p>
            <w:pPr>
              <w:pStyle w:val="Compact"/>
              <w:jc w:val="left"/>
            </w:pPr>
            <w:r>
              <w:t xml:space="preserve">Periodic Safety Update Report (obligatorio para Clase IIb y III)</w:t>
            </w:r>
          </w:p>
        </w:tc>
      </w:tr>
      <w:tr>
        <w:tc>
          <w:tcPr/>
          <w:p>
            <w:pPr>
              <w:pStyle w:val="Compact"/>
              <w:jc w:val="left"/>
            </w:pPr>
            <w:r>
              <w:rPr>
                <w:bCs/>
                <w:b/>
              </w:rPr>
              <w:t xml:space="preserve">3. PMCF Plan</w:t>
            </w:r>
          </w:p>
        </w:tc>
        <w:tc>
          <w:tcPr/>
          <w:p>
            <w:pPr>
              <w:pStyle w:val="Compact"/>
              <w:jc w:val="left"/>
            </w:pPr>
            <w:r>
              <w:t xml:space="preserve">Plan de seguimiento clínico post-comercialización</w:t>
            </w:r>
          </w:p>
        </w:tc>
      </w:tr>
      <w:tr>
        <w:tc>
          <w:tcPr/>
          <w:p>
            <w:pPr>
              <w:pStyle w:val="Compact"/>
              <w:jc w:val="left"/>
            </w:pPr>
            <w:r>
              <w:rPr>
                <w:bCs/>
                <w:b/>
              </w:rPr>
              <w:t xml:space="preserve">4. PMCF Evaluation Report</w:t>
            </w:r>
          </w:p>
        </w:tc>
        <w:tc>
          <w:tcPr/>
          <w:p>
            <w:pPr>
              <w:pStyle w:val="Compact"/>
              <w:jc w:val="left"/>
            </w:pPr>
            <w:r>
              <w:t xml:space="preserve">Resultados del PMCF</w:t>
            </w:r>
          </w:p>
        </w:tc>
      </w:tr>
    </w:tbl>
    <w:bookmarkEnd w:id="42"/>
    <w:bookmarkEnd w:id="43"/>
    <w:bookmarkStart w:id="44" w:name="X7c1322ada8e6cfef4bef242c54dba792c318056"/>
    <w:p>
      <w:pPr>
        <w:pStyle w:val="Heading3"/>
      </w:pPr>
      <w:r>
        <w:t xml:space="preserve">7.2 General Safety and Performance Requirements (GSPRs) Checklist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GSPR #</w:t>
            </w:r>
          </w:p>
        </w:tc>
        <w:tc>
          <w:tcPr/>
          <w:p>
            <w:pPr>
              <w:pStyle w:val="Compact"/>
              <w:jc w:val="left"/>
            </w:pPr>
            <w:r>
              <w:t xml:space="preserve">Requisito</w:t>
            </w:r>
          </w:p>
        </w:tc>
        <w:tc>
          <w:tcPr/>
          <w:p>
            <w:pPr>
              <w:pStyle w:val="Compact"/>
              <w:jc w:val="left"/>
            </w:pPr>
            <w:r>
              <w:t xml:space="preserve">Aplica</w:t>
            </w:r>
          </w:p>
        </w:tc>
        <w:tc>
          <w:tcPr/>
          <w:p>
            <w:pPr>
              <w:pStyle w:val="Compact"/>
              <w:jc w:val="left"/>
            </w:pPr>
            <w:r>
              <w:t xml:space="preserve">Norma Armonizada</w:t>
            </w:r>
          </w:p>
        </w:tc>
        <w:tc>
          <w:tcPr/>
          <w:p>
            <w:pPr>
              <w:pStyle w:val="Compact"/>
              <w:jc w:val="left"/>
            </w:pPr>
            <w:r>
              <w:t xml:space="preserve">Método de Conformidad</w:t>
            </w:r>
          </w:p>
        </w:tc>
      </w:tr>
      <w:tr>
        <w:tc>
          <w:tcPr/>
          <w:p>
            <w:pPr>
              <w:pStyle w:val="Compact"/>
              <w:jc w:val="left"/>
            </w:pPr>
            <w:r>
              <w:t xml:space="preserve">1</w:t>
            </w:r>
          </w:p>
        </w:tc>
        <w:tc>
          <w:tcPr/>
          <w:p>
            <w:pPr>
              <w:pStyle w:val="Compact"/>
              <w:jc w:val="left"/>
            </w:pPr>
            <w:r>
              <w:t xml:space="preserve">Seguridad y rendimiento como uso previsto</w:t>
            </w:r>
          </w:p>
        </w:tc>
        <w:tc>
          <w:tcPr/>
          <w:p>
            <w:pPr>
              <w:pStyle w:val="Compact"/>
              <w:jc w:val="left"/>
            </w:pPr>
            <w:r>
              <w:t xml:space="preserve">✅</w:t>
            </w:r>
          </w:p>
        </w:tc>
        <w:tc>
          <w:tcPr/>
          <w:p>
            <w:pPr>
              <w:pStyle w:val="Compact"/>
              <w:jc w:val="left"/>
            </w:pPr>
            <w:r>
              <w:t xml:space="preserve">ISO 14971</w:t>
            </w:r>
          </w:p>
        </w:tc>
        <w:tc>
          <w:tcPr/>
          <w:p>
            <w:pPr>
              <w:pStyle w:val="Compact"/>
              <w:jc w:val="left"/>
            </w:pPr>
            <w:r>
              <w:t xml:space="preserve">Risk Management File</w:t>
            </w:r>
          </w:p>
        </w:tc>
      </w:tr>
      <w:tr>
        <w:tc>
          <w:tcPr/>
          <w:p>
            <w:pPr>
              <w:pStyle w:val="Compact"/>
              <w:jc w:val="left"/>
            </w:pPr>
            <w:r>
              <w:t xml:space="preserve">2</w:t>
            </w:r>
          </w:p>
        </w:tc>
        <w:tc>
          <w:tcPr/>
          <w:p>
            <w:pPr>
              <w:pStyle w:val="Compact"/>
              <w:jc w:val="left"/>
            </w:pPr>
            <w:r>
              <w:t xml:space="preserve">Gestión de riesgos</w:t>
            </w:r>
          </w:p>
        </w:tc>
        <w:tc>
          <w:tcPr/>
          <w:p>
            <w:pPr>
              <w:pStyle w:val="Compact"/>
              <w:jc w:val="left"/>
            </w:pPr>
            <w:r>
              <w:t xml:space="preserve">✅</w:t>
            </w:r>
          </w:p>
        </w:tc>
        <w:tc>
          <w:tcPr/>
          <w:p>
            <w:pPr>
              <w:pStyle w:val="Compact"/>
              <w:jc w:val="left"/>
            </w:pPr>
            <w:r>
              <w:t xml:space="preserve">ISO 14971</w:t>
            </w:r>
          </w:p>
        </w:tc>
        <w:tc>
          <w:tcPr/>
          <w:p>
            <w:pPr>
              <w:pStyle w:val="Compact"/>
              <w:jc w:val="left"/>
            </w:pPr>
            <w:r>
              <w:t xml:space="preserve">Risk Management File</w:t>
            </w:r>
          </w:p>
        </w:tc>
      </w:tr>
      <w:tr>
        <w:tc>
          <w:tcPr/>
          <w:p>
            <w:pPr>
              <w:pStyle w:val="Compact"/>
              <w:jc w:val="left"/>
            </w:pPr>
            <w:r>
              <w:t xml:space="preserve">3</w:t>
            </w:r>
          </w:p>
        </w:tc>
        <w:tc>
          <w:tcPr/>
          <w:p>
            <w:pPr>
              <w:pStyle w:val="Compact"/>
              <w:jc w:val="left"/>
            </w:pPr>
            <w:r>
              <w:t xml:space="preserve">Características de diseño para seguridad</w:t>
            </w:r>
          </w:p>
        </w:tc>
        <w:tc>
          <w:tcPr/>
          <w:p>
            <w:pPr>
              <w:pStyle w:val="Compact"/>
              <w:jc w:val="left"/>
            </w:pPr>
            <w:r>
              <w:t xml:space="preserve">✅</w:t>
            </w:r>
          </w:p>
        </w:tc>
        <w:tc>
          <w:tcPr/>
          <w:p>
            <w:pPr>
              <w:pStyle w:val="Compact"/>
              <w:jc w:val="left"/>
            </w:pPr>
            <w:r>
              <w:t xml:space="preserve">IEC 60601-1</w:t>
            </w:r>
          </w:p>
        </w:tc>
        <w:tc>
          <w:tcPr/>
          <w:p>
            <w:pPr>
              <w:pStyle w:val="Compact"/>
              <w:jc w:val="left"/>
            </w:pPr>
            <w:r>
              <w:t xml:space="preserve">Design &amp; V&amp;V</w:t>
            </w:r>
          </w:p>
        </w:tc>
      </w:tr>
      <w:tr>
        <w:tc>
          <w:tcPr/>
          <w:p>
            <w:pPr>
              <w:pStyle w:val="Compact"/>
              <w:jc w:val="left"/>
            </w:pPr>
            <w:r>
              <w:t xml:space="preserve">5</w:t>
            </w:r>
          </w:p>
        </w:tc>
        <w:tc>
          <w:tcPr/>
          <w:p>
            <w:pPr>
              <w:pStyle w:val="Compact"/>
              <w:jc w:val="left"/>
            </w:pPr>
            <w:r>
              <w:t xml:space="preserve">Eliminación o reducción de riesgos</w:t>
            </w:r>
          </w:p>
        </w:tc>
        <w:tc>
          <w:tcPr/>
          <w:p>
            <w:pPr>
              <w:pStyle w:val="Compact"/>
              <w:jc w:val="left"/>
            </w:pPr>
            <w:r>
              <w:t xml:space="preserve">✅</w:t>
            </w:r>
          </w:p>
        </w:tc>
        <w:tc>
          <w:tcPr/>
          <w:p>
            <w:pPr>
              <w:pStyle w:val="Compact"/>
              <w:jc w:val="left"/>
            </w:pPr>
            <w:r>
              <w:t xml:space="preserve">ISO 14971</w:t>
            </w:r>
          </w:p>
        </w:tc>
        <w:tc>
          <w:tcPr/>
          <w:p>
            <w:pPr>
              <w:pStyle w:val="Compact"/>
              <w:jc w:val="left"/>
            </w:pPr>
            <w:r>
              <w:t xml:space="preserve">Risk Management File</w:t>
            </w:r>
          </w:p>
        </w:tc>
      </w:tr>
      <w:tr>
        <w:tc>
          <w:tcPr/>
          <w:p>
            <w:pPr>
              <w:pStyle w:val="Compact"/>
              <w:jc w:val="left"/>
            </w:pPr>
            <w:r>
              <w:t xml:space="preserve">10</w:t>
            </w:r>
          </w:p>
        </w:tc>
        <w:tc>
          <w:tcPr/>
          <w:p>
            <w:pPr>
              <w:pStyle w:val="Compact"/>
              <w:jc w:val="left"/>
            </w:pPr>
            <w:r>
              <w:t xml:space="preserve">Propiedades químicas, físicas y biológicas</w:t>
            </w:r>
          </w:p>
        </w:tc>
        <w:tc>
          <w:tcPr/>
          <w:p>
            <w:pPr>
              <w:pStyle w:val="Compact"/>
              <w:jc w:val="left"/>
            </w:pPr>
            <w:r>
              <w:t xml:space="preserve">✅</w:t>
            </w:r>
          </w:p>
        </w:tc>
        <w:tc>
          <w:tcPr/>
          <w:p>
            <w:pPr>
              <w:pStyle w:val="Compact"/>
              <w:jc w:val="left"/>
            </w:pPr>
            <w:r>
              <w:t xml:space="preserve">ISO 10993</w:t>
            </w:r>
          </w:p>
        </w:tc>
        <w:tc>
          <w:tcPr/>
          <w:p>
            <w:pPr>
              <w:pStyle w:val="Compact"/>
              <w:jc w:val="left"/>
            </w:pPr>
            <w:r>
              <w:t xml:space="preserve">Biocompatibility Report</w:t>
            </w:r>
          </w:p>
        </w:tc>
      </w:tr>
      <w:tr>
        <w:tc>
          <w:tcPr/>
          <w:p>
            <w:pPr>
              <w:pStyle w:val="Compact"/>
              <w:jc w:val="left"/>
            </w:pPr>
            <w:r>
              <w:t xml:space="preserve">14</w:t>
            </w:r>
          </w:p>
        </w:tc>
        <w:tc>
          <w:tcPr/>
          <w:p>
            <w:pPr>
              <w:pStyle w:val="Compact"/>
              <w:jc w:val="left"/>
            </w:pPr>
            <w:r>
              <w:t xml:space="preserve">Función de medición</w:t>
            </w:r>
          </w:p>
        </w:tc>
        <w:tc>
          <w:tcPr/>
          <w:p>
            <w:pPr>
              <w:pStyle w:val="Compact"/>
              <w:jc w:val="left"/>
            </w:pPr>
            <w:r>
              <w:t xml:space="preserve">✅</w:t>
            </w:r>
          </w:p>
        </w:tc>
        <w:tc>
          <w:tcPr/>
          <w:p>
            <w:pPr>
              <w:pStyle w:val="Compact"/>
              <w:jc w:val="left"/>
            </w:pPr>
            <w:r>
              <w:t xml:space="preserve">IEC 60601-2-47</w:t>
            </w:r>
          </w:p>
        </w:tc>
        <w:tc>
          <w:tcPr/>
          <w:p>
            <w:pPr>
              <w:pStyle w:val="Compact"/>
              <w:jc w:val="left"/>
            </w:pPr>
            <w:r>
              <w:t xml:space="preserve">ECG Performance Testing</w:t>
            </w:r>
          </w:p>
        </w:tc>
      </w:tr>
      <w:tr>
        <w:tc>
          <w:tcPr/>
          <w:p>
            <w:pPr>
              <w:pStyle w:val="Compact"/>
              <w:jc w:val="left"/>
            </w:pPr>
            <w:r>
              <w:t xml:space="preserve">17</w:t>
            </w:r>
          </w:p>
        </w:tc>
        <w:tc>
          <w:tcPr/>
          <w:p>
            <w:pPr>
              <w:pStyle w:val="Compact"/>
              <w:jc w:val="left"/>
            </w:pPr>
            <w:r>
              <w:t xml:space="preserve">Software</w:t>
            </w:r>
          </w:p>
        </w:tc>
        <w:tc>
          <w:tcPr/>
          <w:p>
            <w:pPr>
              <w:pStyle w:val="Compact"/>
              <w:jc w:val="left"/>
            </w:pPr>
            <w:r>
              <w:t xml:space="preserve">✅</w:t>
            </w:r>
          </w:p>
        </w:tc>
        <w:tc>
          <w:tcPr/>
          <w:p>
            <w:pPr>
              <w:pStyle w:val="Compact"/>
              <w:jc w:val="left"/>
            </w:pPr>
            <w:r>
              <w:t xml:space="preserve">IEC 62304</w:t>
            </w:r>
          </w:p>
        </w:tc>
        <w:tc>
          <w:tcPr/>
          <w:p>
            <w:pPr>
              <w:pStyle w:val="Compact"/>
              <w:jc w:val="left"/>
            </w:pPr>
            <w:r>
              <w:t xml:space="preserve">Software Documentation</w:t>
            </w:r>
          </w:p>
        </w:tc>
      </w:tr>
      <w:tr>
        <w:tc>
          <w:tcPr/>
          <w:p>
            <w:pPr>
              <w:pStyle w:val="Compact"/>
              <w:jc w:val="left"/>
            </w:pPr>
            <w:r>
              <w:t xml:space="preserve">18</w:t>
            </w:r>
          </w:p>
        </w:tc>
        <w:tc>
          <w:tcPr/>
          <w:p>
            <w:pPr>
              <w:pStyle w:val="Compact"/>
              <w:jc w:val="left"/>
            </w:pPr>
            <w:r>
              <w:t xml:space="preserve">Dispositivos activos y accesorios</w:t>
            </w:r>
          </w:p>
        </w:tc>
        <w:tc>
          <w:tcPr/>
          <w:p>
            <w:pPr>
              <w:pStyle w:val="Compact"/>
              <w:jc w:val="left"/>
            </w:pPr>
            <w:r>
              <w:t xml:space="preserve">✅</w:t>
            </w:r>
          </w:p>
        </w:tc>
        <w:tc>
          <w:tcPr/>
          <w:p>
            <w:pPr>
              <w:pStyle w:val="Compact"/>
              <w:jc w:val="left"/>
            </w:pPr>
            <w:r>
              <w:t xml:space="preserve">IEC 60601-1, -1-11</w:t>
            </w:r>
          </w:p>
        </w:tc>
        <w:tc>
          <w:tcPr/>
          <w:p>
            <w:pPr>
              <w:pStyle w:val="Compact"/>
              <w:jc w:val="left"/>
            </w:pPr>
            <w:r>
              <w:t xml:space="preserve">Safety Testing</w:t>
            </w:r>
          </w:p>
        </w:tc>
      </w:tr>
      <w:tr>
        <w:tc>
          <w:tcPr/>
          <w:p>
            <w:pPr>
              <w:pStyle w:val="Compact"/>
              <w:jc w:val="left"/>
            </w:pPr>
            <w:r>
              <w:t xml:space="preserve">20</w:t>
            </w:r>
          </w:p>
        </w:tc>
        <w:tc>
          <w:tcPr/>
          <w:p>
            <w:pPr>
              <w:pStyle w:val="Compact"/>
              <w:jc w:val="left"/>
            </w:pPr>
            <w:r>
              <w:t xml:space="preserve">Protección contra riesgos mecánicos</w:t>
            </w:r>
          </w:p>
        </w:tc>
        <w:tc>
          <w:tcPr/>
          <w:p>
            <w:pPr>
              <w:pStyle w:val="Compact"/>
              <w:jc w:val="left"/>
            </w:pPr>
            <w:r>
              <w:t xml:space="preserve">✅</w:t>
            </w:r>
          </w:p>
        </w:tc>
        <w:tc>
          <w:tcPr/>
          <w:p>
            <w:pPr>
              <w:pStyle w:val="Compact"/>
              <w:jc w:val="left"/>
            </w:pPr>
            <w:r>
              <w:t xml:space="preserve">IEC 60601-1</w:t>
            </w:r>
          </w:p>
        </w:tc>
        <w:tc>
          <w:tcPr/>
          <w:p>
            <w:pPr>
              <w:pStyle w:val="Compact"/>
              <w:jc w:val="left"/>
            </w:pPr>
            <w:r>
              <w:t xml:space="preserve">Design</w:t>
            </w:r>
          </w:p>
        </w:tc>
      </w:tr>
      <w:tr>
        <w:tc>
          <w:tcPr/>
          <w:p>
            <w:pPr>
              <w:pStyle w:val="Compact"/>
              <w:jc w:val="left"/>
            </w:pPr>
            <w:r>
              <w:t xml:space="preserve">21</w:t>
            </w:r>
          </w:p>
        </w:tc>
        <w:tc>
          <w:tcPr/>
          <w:p>
            <w:pPr>
              <w:pStyle w:val="Compact"/>
              <w:jc w:val="left"/>
            </w:pPr>
            <w:r>
              <w:t xml:space="preserve">Protección contra riesgos de radiación</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23</w:t>
            </w:r>
          </w:p>
        </w:tc>
        <w:tc>
          <w:tcPr/>
          <w:p>
            <w:pPr>
              <w:pStyle w:val="Compact"/>
              <w:jc w:val="left"/>
            </w:pPr>
            <w:r>
              <w:t xml:space="preserve">Protección contra riesgos de software/IT</w:t>
            </w:r>
          </w:p>
        </w:tc>
        <w:tc>
          <w:tcPr/>
          <w:p>
            <w:pPr>
              <w:pStyle w:val="Compact"/>
              <w:jc w:val="left"/>
            </w:pPr>
            <w:r>
              <w:t xml:space="preserve">✅</w:t>
            </w:r>
          </w:p>
        </w:tc>
        <w:tc>
          <w:tcPr/>
          <w:p>
            <w:pPr>
              <w:pStyle w:val="Compact"/>
              <w:jc w:val="left"/>
            </w:pPr>
            <w:r>
              <w:t xml:space="preserve">IEC 81001-5-1</w:t>
            </w:r>
          </w:p>
        </w:tc>
        <w:tc>
          <w:tcPr/>
          <w:p>
            <w:pPr>
              <w:pStyle w:val="Compact"/>
              <w:jc w:val="left"/>
            </w:pPr>
            <w:r>
              <w:t xml:space="preserve">Cybersecurity Documentation</w:t>
            </w:r>
          </w:p>
        </w:tc>
      </w:tr>
      <w:tr>
        <w:tc>
          <w:tcPr/>
          <w:p>
            <w:pPr>
              <w:pStyle w:val="Compact"/>
              <w:jc w:val="left"/>
            </w:pPr>
            <w:r>
              <w:t xml:space="preserve">23.4</w:t>
            </w:r>
          </w:p>
        </w:tc>
        <w:tc>
          <w:tcPr/>
          <w:p>
            <w:pPr>
              <w:pStyle w:val="Compact"/>
              <w:jc w:val="left"/>
            </w:pPr>
            <w:r>
              <w:t xml:space="preserve">Requisitos mínimos de seguridad IT</w:t>
            </w:r>
          </w:p>
        </w:tc>
        <w:tc>
          <w:tcPr/>
          <w:p>
            <w:pPr>
              <w:pStyle w:val="Compact"/>
              <w:jc w:val="left"/>
            </w:pPr>
            <w:r>
              <w:t xml:space="preserve">✅</w:t>
            </w:r>
          </w:p>
        </w:tc>
        <w:tc>
          <w:tcPr/>
          <w:p>
            <w:pPr>
              <w:pStyle w:val="Compact"/>
              <w:jc w:val="left"/>
            </w:pPr>
            <w:r>
              <w:t xml:space="preserve">IEC 81001-5-1</w:t>
            </w:r>
          </w:p>
        </w:tc>
        <w:tc>
          <w:tcPr/>
          <w:p>
            <w:pPr>
              <w:pStyle w:val="Compact"/>
              <w:jc w:val="left"/>
            </w:pPr>
            <w:r>
              <w:t xml:space="preserve">Cybersecurity Documentation</w:t>
            </w:r>
          </w:p>
        </w:tc>
      </w:tr>
    </w:tbl>
    <w:p>
      <w:r>
        <w:pict>
          <v:rect style="width:0;height:1.5pt" o:hralign="center" o:hrstd="t" o:hr="t"/>
        </w:pict>
      </w:r>
    </w:p>
    <w:bookmarkEnd w:id="44"/>
    <w:bookmarkEnd w:id="45"/>
    <w:bookmarkStart w:id="49" w:name="udi-di-registration"/>
    <w:p>
      <w:pPr>
        <w:pStyle w:val="Heading2"/>
      </w:pPr>
      <w:r>
        <w:t xml:space="preserve">8. UDI-DI Registration</w:t>
      </w:r>
    </w:p>
    <w:bookmarkStart w:id="46" w:name="requisitos-udi-bajo-mdr"/>
    <w:p>
      <w:pPr>
        <w:pStyle w:val="Heading3"/>
      </w:pPr>
      <w:r>
        <w:t xml:space="preserve">8.1 Requisitos UDI bajo MDR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rPr>
                <w:bCs/>
                <w:b/>
              </w:rPr>
              <w:t xml:space="preserve">UDI-DI</w:t>
            </w:r>
          </w:p>
        </w:tc>
        <w:tc>
          <w:tcPr/>
          <w:p>
            <w:pPr>
              <w:pStyle w:val="Compact"/>
              <w:jc w:val="left"/>
            </w:pPr>
            <w:r>
              <w:t xml:space="preserve">Device Identifier — identifica el modelo/versión del dispositivo</w:t>
            </w:r>
          </w:p>
        </w:tc>
      </w:tr>
      <w:tr>
        <w:tc>
          <w:tcPr/>
          <w:p>
            <w:pPr>
              <w:pStyle w:val="Compact"/>
              <w:jc w:val="left"/>
            </w:pPr>
            <w:r>
              <w:rPr>
                <w:bCs/>
                <w:b/>
              </w:rPr>
              <w:t xml:space="preserve">UDI-PI</w:t>
            </w:r>
          </w:p>
        </w:tc>
        <w:tc>
          <w:tcPr/>
          <w:p>
            <w:pPr>
              <w:pStyle w:val="Compact"/>
              <w:jc w:val="left"/>
            </w:pPr>
            <w:r>
              <w:t xml:space="preserve">Production Identifier — identifica la unidad de producción (lote, SN, fecha)</w:t>
            </w:r>
          </w:p>
        </w:tc>
      </w:tr>
      <w:tr>
        <w:tc>
          <w:tcPr/>
          <w:p>
            <w:pPr>
              <w:pStyle w:val="Compact"/>
              <w:jc w:val="left"/>
            </w:pPr>
            <w:r>
              <w:rPr>
                <w:bCs/>
                <w:b/>
              </w:rPr>
              <w:t xml:space="preserve">Issuing Entity</w:t>
            </w:r>
          </w:p>
        </w:tc>
        <w:tc>
          <w:tcPr/>
          <w:p>
            <w:pPr>
              <w:pStyle w:val="Compact"/>
              <w:jc w:val="left"/>
            </w:pPr>
            <w:r>
              <w:t xml:space="preserve">GS1, HIBCC, ICCBBA, o IFA</w:t>
            </w:r>
          </w:p>
        </w:tc>
      </w:tr>
      <w:tr>
        <w:tc>
          <w:tcPr/>
          <w:p>
            <w:pPr>
              <w:pStyle w:val="Compact"/>
              <w:jc w:val="left"/>
            </w:pPr>
            <w:r>
              <w:rPr>
                <w:bCs/>
                <w:b/>
              </w:rPr>
              <w:t xml:space="preserve">EUDAMED UDI/Device</w:t>
            </w:r>
          </w:p>
        </w:tc>
        <w:tc>
          <w:tcPr/>
          <w:p>
            <w:pPr>
              <w:pStyle w:val="Compact"/>
              <w:jc w:val="left"/>
            </w:pPr>
            <w:r>
              <w:t xml:space="preserve">Registro obligatorio del UDI-DI en la base de datos EUDAMED</w:t>
            </w:r>
          </w:p>
        </w:tc>
      </w:tr>
      <w:tr>
        <w:tc>
          <w:tcPr/>
          <w:p>
            <w:pPr>
              <w:pStyle w:val="Compact"/>
              <w:jc w:val="left"/>
            </w:pPr>
            <w:r>
              <w:rPr>
                <w:bCs/>
                <w:b/>
              </w:rPr>
              <w:t xml:space="preserve">Formato</w:t>
            </w:r>
          </w:p>
        </w:tc>
        <w:tc>
          <w:tcPr/>
          <w:p>
            <w:pPr>
              <w:pStyle w:val="Compact"/>
              <w:jc w:val="left"/>
            </w:pPr>
            <w:r>
              <w:t xml:space="preserve">Código de barras (GS1-128, DataMatrix) + texto legible</w:t>
            </w:r>
          </w:p>
        </w:tc>
      </w:tr>
      <w:tr>
        <w:tc>
          <w:tcPr/>
          <w:p>
            <w:pPr>
              <w:pStyle w:val="Compact"/>
              <w:jc w:val="left"/>
            </w:pPr>
            <w:r>
              <w:rPr>
                <w:bCs/>
                <w:b/>
              </w:rPr>
              <w:t xml:space="preserve">Ubicación</w:t>
            </w:r>
          </w:p>
        </w:tc>
        <w:tc>
          <w:tcPr/>
          <w:p>
            <w:pPr>
              <w:pStyle w:val="Compact"/>
              <w:jc w:val="left"/>
            </w:pPr>
            <w:r>
              <w:t xml:space="preserve">En el dispositivo (si factible), en el empaque, en todos los niveles de empaque</w:t>
            </w:r>
          </w:p>
        </w:tc>
      </w:tr>
    </w:tbl>
    <w:bookmarkEnd w:id="46"/>
    <w:bookmarkStart w:id="47" w:name="udi-para-horizon-medical"/>
    <w:p>
      <w:pPr>
        <w:pStyle w:val="Heading3"/>
      </w:pPr>
      <w:r>
        <w:t xml:space="preserve">8.2 UDI para Horizon Medical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UDI-DI</w:t>
            </w:r>
          </w:p>
        </w:tc>
        <w:tc>
          <w:tcPr/>
          <w:p>
            <w:pPr>
              <w:pStyle w:val="Compact"/>
              <w:jc w:val="left"/>
            </w:pPr>
            <w:r>
              <w:t xml:space="preserve">Descripción</w:t>
            </w:r>
          </w:p>
        </w:tc>
      </w:tr>
      <w:tr>
        <w:tc>
          <w:tcPr/>
          <w:p>
            <w:pPr>
              <w:pStyle w:val="Compact"/>
              <w:jc w:val="left"/>
            </w:pPr>
            <w:r>
              <w:t xml:space="preserve">Dispositivo Holter HM-H100</w:t>
            </w:r>
          </w:p>
        </w:tc>
        <w:tc>
          <w:tcPr/>
          <w:p>
            <w:pPr>
              <w:pStyle w:val="Compact"/>
              <w:jc w:val="left"/>
            </w:pPr>
            <w:r>
              <w:t xml:space="preserve">(GTIN asignado por GS1)</w:t>
            </w:r>
          </w:p>
        </w:tc>
        <w:tc>
          <w:tcPr/>
          <w:p>
            <w:pPr>
              <w:pStyle w:val="Compact"/>
              <w:jc w:val="left"/>
            </w:pPr>
            <w:r>
              <w:t xml:space="preserve">Unidad del dispositivo Holter</w:t>
            </w:r>
          </w:p>
        </w:tc>
      </w:tr>
      <w:tr>
        <w:tc>
          <w:tcPr/>
          <w:p>
            <w:pPr>
              <w:pStyle w:val="Compact"/>
              <w:jc w:val="left"/>
            </w:pPr>
            <w:r>
              <w:t xml:space="preserve">Electrodos (paquete)</w:t>
            </w:r>
          </w:p>
        </w:tc>
        <w:tc>
          <w:tcPr/>
          <w:p>
            <w:pPr>
              <w:pStyle w:val="Compact"/>
              <w:jc w:val="left"/>
            </w:pPr>
            <w:r>
              <w:t xml:space="preserve">(GTIN asignado por GS1)</w:t>
            </w:r>
          </w:p>
        </w:tc>
        <w:tc>
          <w:tcPr/>
          <w:p>
            <w:pPr>
              <w:pStyle w:val="Compact"/>
              <w:jc w:val="left"/>
            </w:pPr>
            <w:r>
              <w:t xml:space="preserve">Paquete de electrodos desechables</w:t>
            </w:r>
          </w:p>
        </w:tc>
      </w:tr>
      <w:tr>
        <w:tc>
          <w:tcPr/>
          <w:p>
            <w:pPr>
              <w:pStyle w:val="Compact"/>
              <w:jc w:val="left"/>
            </w:pPr>
            <w:r>
              <w:t xml:space="preserve">Cable USB-C</w:t>
            </w:r>
          </w:p>
        </w:tc>
        <w:tc>
          <w:tcPr/>
          <w:p>
            <w:pPr>
              <w:pStyle w:val="Compact"/>
              <w:jc w:val="left"/>
            </w:pPr>
            <w:r>
              <w:t xml:space="preserve">(GTIN asignado por GS1)</w:t>
            </w:r>
          </w:p>
        </w:tc>
        <w:tc>
          <w:tcPr/>
          <w:p>
            <w:pPr>
              <w:pStyle w:val="Compact"/>
              <w:jc w:val="left"/>
            </w:pPr>
            <w:r>
              <w:t xml:space="preserve">Cable de carga</w:t>
            </w:r>
          </w:p>
        </w:tc>
      </w:tr>
      <w:tr>
        <w:tc>
          <w:tcPr/>
          <w:p>
            <w:pPr>
              <w:pStyle w:val="Compact"/>
              <w:jc w:val="left"/>
            </w:pPr>
            <w:r>
              <w:t xml:space="preserve">Kit completo (caja)</w:t>
            </w:r>
          </w:p>
        </w:tc>
        <w:tc>
          <w:tcPr/>
          <w:p>
            <w:pPr>
              <w:pStyle w:val="Compact"/>
              <w:jc w:val="left"/>
            </w:pPr>
            <w:r>
              <w:t xml:space="preserve">(GTIN asignado por GS1)</w:t>
            </w:r>
          </w:p>
        </w:tc>
        <w:tc>
          <w:tcPr/>
          <w:p>
            <w:pPr>
              <w:pStyle w:val="Compact"/>
              <w:jc w:val="left"/>
            </w:pPr>
            <w:r>
              <w:t xml:space="preserve">Kit de monitoreo completo</w:t>
            </w:r>
          </w:p>
        </w:tc>
      </w:tr>
    </w:tbl>
    <w:bookmarkEnd w:id="47"/>
    <w:bookmarkStart w:id="48" w:name="pasos-para-implementar-udi"/>
    <w:p>
      <w:pPr>
        <w:pStyle w:val="Heading3"/>
      </w:pPr>
      <w:r>
        <w:t xml:space="preserve">8.3 Pasos para Implementar UDI</w:t>
      </w:r>
    </w:p>
    <w:p>
      <w:pPr>
        <w:numPr>
          <w:ilvl w:val="0"/>
          <w:numId w:val="1004"/>
        </w:numPr>
        <w:pStyle w:val="Compact"/>
      </w:pPr>
      <w:r>
        <w:t xml:space="preserve">Registrarse como fabricante ante una Issuing Entity (recomendado: GS1)</w:t>
      </w:r>
    </w:p>
    <w:p>
      <w:pPr>
        <w:numPr>
          <w:ilvl w:val="0"/>
          <w:numId w:val="1004"/>
        </w:numPr>
        <w:pStyle w:val="Compact"/>
      </w:pPr>
      <w:r>
        <w:t xml:space="preserve">Obtener un Company Prefix de GS1</w:t>
      </w:r>
    </w:p>
    <w:p>
      <w:pPr>
        <w:numPr>
          <w:ilvl w:val="0"/>
          <w:numId w:val="1004"/>
        </w:numPr>
        <w:pStyle w:val="Compact"/>
      </w:pPr>
      <w:r>
        <w:t xml:space="preserve">Asignar GTINs a cada producto/empaque</w:t>
      </w:r>
    </w:p>
    <w:p>
      <w:pPr>
        <w:numPr>
          <w:ilvl w:val="0"/>
          <w:numId w:val="1004"/>
        </w:numPr>
        <w:pStyle w:val="Compact"/>
      </w:pPr>
      <w:r>
        <w:t xml:space="preserve">Generar códigos de barras (DataMatrix recomendado)</w:t>
      </w:r>
    </w:p>
    <w:p>
      <w:pPr>
        <w:numPr>
          <w:ilvl w:val="0"/>
          <w:numId w:val="1004"/>
        </w:numPr>
        <w:pStyle w:val="Compact"/>
      </w:pPr>
      <w:r>
        <w:t xml:space="preserve">Integrar UDI en etiquetado del producto</w:t>
      </w:r>
    </w:p>
    <w:p>
      <w:pPr>
        <w:numPr>
          <w:ilvl w:val="0"/>
          <w:numId w:val="1004"/>
        </w:numPr>
        <w:pStyle w:val="Compact"/>
      </w:pPr>
      <w:r>
        <w:t xml:space="preserve">Registrar UDI-DI en EUDAMED</w:t>
      </w:r>
    </w:p>
    <w:p>
      <w:r>
        <w:pict>
          <v:rect style="width:0;height:1.5pt" o:hralign="center" o:hrstd="t" o:hr="t"/>
        </w:pict>
      </w:r>
    </w:p>
    <w:bookmarkEnd w:id="48"/>
    <w:bookmarkEnd w:id="49"/>
    <w:bookmarkStart w:id="53" w:name="eudamed-registration"/>
    <w:p>
      <w:pPr>
        <w:pStyle w:val="Heading2"/>
      </w:pPr>
      <w:r>
        <w:t xml:space="preserve">9. EUDAMED Registration</w:t>
      </w:r>
    </w:p>
    <w:bookmarkStart w:id="50" w:name="registros-requeridos-en-eudamed"/>
    <w:p>
      <w:pPr>
        <w:pStyle w:val="Heading3"/>
      </w:pPr>
      <w:r>
        <w:t xml:space="preserve">9.1 Registros Requeridos en EUDAMED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Módulo EUDAMED</w:t>
            </w:r>
          </w:p>
        </w:tc>
        <w:tc>
          <w:tcPr/>
          <w:p>
            <w:pPr>
              <w:pStyle w:val="Compact"/>
              <w:jc w:val="left"/>
            </w:pPr>
            <w:r>
              <w:t xml:space="preserve">Descripción</w:t>
            </w:r>
          </w:p>
        </w:tc>
        <w:tc>
          <w:tcPr/>
          <w:p>
            <w:pPr>
              <w:pStyle w:val="Compact"/>
              <w:jc w:val="left"/>
            </w:pPr>
            <w:r>
              <w:t xml:space="preserve">Responsable</w:t>
            </w:r>
          </w:p>
        </w:tc>
      </w:tr>
      <w:tr>
        <w:tc>
          <w:tcPr/>
          <w:p>
            <w:pPr>
              <w:pStyle w:val="Compact"/>
              <w:jc w:val="left"/>
            </w:pPr>
            <w:r>
              <w:rPr>
                <w:bCs/>
                <w:b/>
              </w:rPr>
              <w:t xml:space="preserve">Actor Registration</w:t>
            </w:r>
          </w:p>
        </w:tc>
        <w:tc>
          <w:tcPr/>
          <w:p>
            <w:pPr>
              <w:pStyle w:val="Compact"/>
              <w:jc w:val="left"/>
            </w:pPr>
            <w:r>
              <w:t xml:space="preserve">Registro del fabricante y del EC REP</w:t>
            </w:r>
          </w:p>
        </w:tc>
        <w:tc>
          <w:tcPr/>
          <w:p>
            <w:pPr>
              <w:pStyle w:val="Compact"/>
              <w:jc w:val="left"/>
            </w:pPr>
            <w:r>
              <w:t xml:space="preserve">Fabricante + EC REP</w:t>
            </w:r>
          </w:p>
        </w:tc>
      </w:tr>
      <w:tr>
        <w:tc>
          <w:tcPr/>
          <w:p>
            <w:pPr>
              <w:pStyle w:val="Compact"/>
              <w:jc w:val="left"/>
            </w:pPr>
            <w:r>
              <w:rPr>
                <w:bCs/>
                <w:b/>
              </w:rPr>
              <w:t xml:space="preserve">UDI/Device Registration</w:t>
            </w:r>
          </w:p>
        </w:tc>
        <w:tc>
          <w:tcPr/>
          <w:p>
            <w:pPr>
              <w:pStyle w:val="Compact"/>
              <w:jc w:val="left"/>
            </w:pPr>
            <w:r>
              <w:t xml:space="preserve">Registro del UDI-DI y datos del dispositivo</w:t>
            </w:r>
          </w:p>
        </w:tc>
        <w:tc>
          <w:tcPr/>
          <w:p>
            <w:pPr>
              <w:pStyle w:val="Compact"/>
              <w:jc w:val="left"/>
            </w:pPr>
            <w:r>
              <w:t xml:space="preserve">Fabricante</w:t>
            </w:r>
          </w:p>
        </w:tc>
      </w:tr>
      <w:tr>
        <w:tc>
          <w:tcPr/>
          <w:p>
            <w:pPr>
              <w:pStyle w:val="Compact"/>
              <w:jc w:val="left"/>
            </w:pPr>
            <w:r>
              <w:rPr>
                <w:bCs/>
                <w:b/>
              </w:rPr>
              <w:t xml:space="preserve">Notified Body &amp; Certificates</w:t>
            </w:r>
          </w:p>
        </w:tc>
        <w:tc>
          <w:tcPr/>
          <w:p>
            <w:pPr>
              <w:pStyle w:val="Compact"/>
              <w:jc w:val="left"/>
            </w:pPr>
            <w:r>
              <w:t xml:space="preserve">Certificados del NB</w:t>
            </w:r>
          </w:p>
        </w:tc>
        <w:tc>
          <w:tcPr/>
          <w:p>
            <w:pPr>
              <w:pStyle w:val="Compact"/>
              <w:jc w:val="left"/>
            </w:pPr>
            <w:r>
              <w:t xml:space="preserve">NB</w:t>
            </w:r>
          </w:p>
        </w:tc>
      </w:tr>
      <w:tr>
        <w:tc>
          <w:tcPr/>
          <w:p>
            <w:pPr>
              <w:pStyle w:val="Compact"/>
              <w:jc w:val="left"/>
            </w:pPr>
            <w:r>
              <w:rPr>
                <w:bCs/>
                <w:b/>
              </w:rPr>
              <w:t xml:space="preserve">Clinical Investigations</w:t>
            </w:r>
          </w:p>
        </w:tc>
        <w:tc>
          <w:tcPr/>
          <w:p>
            <w:pPr>
              <w:pStyle w:val="Compact"/>
              <w:jc w:val="left"/>
            </w:pPr>
            <w:r>
              <w:t xml:space="preserve">Registro de investigaciones clínicas (si aplica)</w:t>
            </w:r>
          </w:p>
        </w:tc>
        <w:tc>
          <w:tcPr/>
          <w:p>
            <w:pPr>
              <w:pStyle w:val="Compact"/>
              <w:jc w:val="left"/>
            </w:pPr>
            <w:r>
              <w:t xml:space="preserve">Fabricante</w:t>
            </w:r>
          </w:p>
        </w:tc>
      </w:tr>
      <w:tr>
        <w:tc>
          <w:tcPr/>
          <w:p>
            <w:pPr>
              <w:pStyle w:val="Compact"/>
              <w:jc w:val="left"/>
            </w:pPr>
            <w:r>
              <w:rPr>
                <w:bCs/>
                <w:b/>
              </w:rPr>
              <w:t xml:space="preserve">Vigilance</w:t>
            </w:r>
          </w:p>
        </w:tc>
        <w:tc>
          <w:tcPr/>
          <w:p>
            <w:pPr>
              <w:pStyle w:val="Compact"/>
              <w:jc w:val="left"/>
            </w:pPr>
            <w:r>
              <w:t xml:space="preserve">Reportes de incidentes y FSCAs</w:t>
            </w:r>
          </w:p>
        </w:tc>
        <w:tc>
          <w:tcPr/>
          <w:p>
            <w:pPr>
              <w:pStyle w:val="Compact"/>
              <w:jc w:val="left"/>
            </w:pPr>
            <w:r>
              <w:t xml:space="preserve">Fabricante</w:t>
            </w:r>
          </w:p>
        </w:tc>
      </w:tr>
      <w:tr>
        <w:tc>
          <w:tcPr/>
          <w:p>
            <w:pPr>
              <w:pStyle w:val="Compact"/>
              <w:jc w:val="left"/>
            </w:pPr>
            <w:r>
              <w:rPr>
                <w:bCs/>
                <w:b/>
              </w:rPr>
              <w:t xml:space="preserve">Market Surveillance</w:t>
            </w:r>
          </w:p>
        </w:tc>
        <w:tc>
          <w:tcPr/>
          <w:p>
            <w:pPr>
              <w:pStyle w:val="Compact"/>
              <w:jc w:val="left"/>
            </w:pPr>
            <w:r>
              <w:t xml:space="preserve">Datos de vigilancia del mercado</w:t>
            </w:r>
          </w:p>
        </w:tc>
        <w:tc>
          <w:tcPr/>
          <w:p>
            <w:pPr>
              <w:pStyle w:val="Compact"/>
              <w:jc w:val="left"/>
            </w:pPr>
            <w:r>
              <w:t xml:space="preserve">Autoridades</w:t>
            </w:r>
          </w:p>
        </w:tc>
      </w:tr>
    </w:tbl>
    <w:bookmarkEnd w:id="50"/>
    <w:bookmarkStart w:id="51" w:name="datos-del-dispositivo-en-eudamed"/>
    <w:p>
      <w:pPr>
        <w:pStyle w:val="Heading3"/>
      </w:pPr>
      <w:r>
        <w:t xml:space="preserve">9.2 Datos del Dispositivo en EUDAMED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Valor para Horizon Medical</w:t>
            </w:r>
          </w:p>
        </w:tc>
      </w:tr>
      <w:tr>
        <w:tc>
          <w:tcPr/>
          <w:p>
            <w:pPr>
              <w:pStyle w:val="Compact"/>
              <w:jc w:val="left"/>
            </w:pPr>
            <w:r>
              <w:t xml:space="preserve">Device name</w:t>
            </w:r>
          </w:p>
        </w:tc>
        <w:tc>
          <w:tcPr/>
          <w:p>
            <w:pPr>
              <w:pStyle w:val="Compact"/>
              <w:jc w:val="left"/>
            </w:pPr>
            <w:r>
              <w:t xml:space="preserve">Horizon Medical Holter ECG System</w:t>
            </w:r>
          </w:p>
        </w:tc>
      </w:tr>
      <w:tr>
        <w:tc>
          <w:tcPr/>
          <w:p>
            <w:pPr>
              <w:pStyle w:val="Compact"/>
              <w:jc w:val="left"/>
            </w:pPr>
            <w:r>
              <w:t xml:space="preserve">Trade name</w:t>
            </w:r>
          </w:p>
        </w:tc>
        <w:tc>
          <w:tcPr/>
          <w:p>
            <w:pPr>
              <w:pStyle w:val="Compact"/>
              <w:jc w:val="left"/>
            </w:pPr>
            <w:r>
              <w:t xml:space="preserve">Horizon Medical HM-H100</w:t>
            </w:r>
          </w:p>
        </w:tc>
      </w:tr>
      <w:tr>
        <w:tc>
          <w:tcPr/>
          <w:p>
            <w:pPr>
              <w:pStyle w:val="Compact"/>
              <w:jc w:val="left"/>
            </w:pPr>
            <w:r>
              <w:t xml:space="preserve">Manufacturer</w:t>
            </w:r>
          </w:p>
        </w:tc>
        <w:tc>
          <w:tcPr/>
          <w:p>
            <w:pPr>
              <w:pStyle w:val="Compact"/>
              <w:jc w:val="left"/>
            </w:pPr>
            <w:r>
              <w:t xml:space="preserve">[Nombre del fabricante]</w:t>
            </w:r>
          </w:p>
        </w:tc>
      </w:tr>
      <w:tr>
        <w:tc>
          <w:tcPr/>
          <w:p>
            <w:pPr>
              <w:pStyle w:val="Compact"/>
              <w:jc w:val="left"/>
            </w:pPr>
            <w:r>
              <w:t xml:space="preserve">SRN (Single Registration Number)</w:t>
            </w:r>
          </w:p>
        </w:tc>
        <w:tc>
          <w:tcPr/>
          <w:p>
            <w:pPr>
              <w:pStyle w:val="Compact"/>
              <w:jc w:val="left"/>
            </w:pPr>
            <w:r>
              <w:t xml:space="preserve">Asignado por EUDAMED</w:t>
            </w:r>
          </w:p>
        </w:tc>
      </w:tr>
      <w:tr>
        <w:tc>
          <w:tcPr/>
          <w:p>
            <w:pPr>
              <w:pStyle w:val="Compact"/>
              <w:jc w:val="left"/>
            </w:pPr>
            <w:r>
              <w:t xml:space="preserve">Basic UDI-DI</w:t>
            </w:r>
          </w:p>
        </w:tc>
        <w:tc>
          <w:tcPr/>
          <w:p>
            <w:pPr>
              <w:pStyle w:val="Compact"/>
              <w:jc w:val="left"/>
            </w:pPr>
            <w:r>
              <w:t xml:space="preserve">(Asignado por GS1)</w:t>
            </w:r>
          </w:p>
        </w:tc>
      </w:tr>
      <w:tr>
        <w:tc>
          <w:tcPr/>
          <w:p>
            <w:pPr>
              <w:pStyle w:val="Compact"/>
              <w:jc w:val="left"/>
            </w:pPr>
            <w:r>
              <w:t xml:space="preserve">Risk class</w:t>
            </w:r>
          </w:p>
        </w:tc>
        <w:tc>
          <w:tcPr/>
          <w:p>
            <w:pPr>
              <w:pStyle w:val="Compact"/>
              <w:jc w:val="left"/>
            </w:pPr>
            <w:r>
              <w:t xml:space="preserve">IIb (o IIa si reclasificado)</w:t>
            </w:r>
          </w:p>
        </w:tc>
      </w:tr>
      <w:tr>
        <w:tc>
          <w:tcPr/>
          <w:p>
            <w:pPr>
              <w:pStyle w:val="Compact"/>
              <w:jc w:val="left"/>
            </w:pPr>
            <w:r>
              <w:t xml:space="preserve">Intended purpose</w:t>
            </w:r>
          </w:p>
        </w:tc>
        <w:tc>
          <w:tcPr/>
          <w:p>
            <w:pPr>
              <w:pStyle w:val="Compact"/>
              <w:jc w:val="left"/>
            </w:pPr>
            <w:r>
              <w:t xml:space="preserve">Ambulatory ECG monitoring with AI-assisted arrhythmia detection</w:t>
            </w:r>
          </w:p>
        </w:tc>
      </w:tr>
      <w:tr>
        <w:tc>
          <w:tcPr/>
          <w:p>
            <w:pPr>
              <w:pStyle w:val="Compact"/>
              <w:jc w:val="left"/>
            </w:pPr>
            <w:r>
              <w:t xml:space="preserve">Medical Device Nomenclature</w:t>
            </w:r>
          </w:p>
        </w:tc>
        <w:tc>
          <w:tcPr/>
          <w:p>
            <w:pPr>
              <w:pStyle w:val="Compact"/>
              <w:jc w:val="left"/>
            </w:pPr>
            <w:r>
              <w:t xml:space="preserve">EMDN code (European Medical Device Nomenclature)</w:t>
            </w:r>
          </w:p>
        </w:tc>
      </w:tr>
    </w:tbl>
    <w:bookmarkEnd w:id="51"/>
    <w:bookmarkStart w:id="52" w:name="timeline-de-eudamed"/>
    <w:p>
      <w:pPr>
        <w:pStyle w:val="Heading3"/>
      </w:pPr>
      <w:r>
        <w:t xml:space="preserve">9.3 Timeline de EUDAMED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Fase</w:t>
            </w:r>
          </w:p>
        </w:tc>
        <w:tc>
          <w:tcPr/>
          <w:p>
            <w:pPr>
              <w:pStyle w:val="Compact"/>
              <w:jc w:val="left"/>
            </w:pPr>
            <w:r>
              <w:t xml:space="preserve">Estado (2026)</w:t>
            </w:r>
          </w:p>
        </w:tc>
      </w:tr>
      <w:tr>
        <w:tc>
          <w:tcPr/>
          <w:p>
            <w:pPr>
              <w:pStyle w:val="Compact"/>
              <w:jc w:val="left"/>
            </w:pPr>
            <w:r>
              <w:t xml:space="preserve">Actor Registration</w:t>
            </w:r>
          </w:p>
        </w:tc>
        <w:tc>
          <w:tcPr/>
          <w:p>
            <w:pPr>
              <w:pStyle w:val="Compact"/>
              <w:jc w:val="left"/>
            </w:pPr>
            <w:r>
              <w:t xml:space="preserve">Operativo</w:t>
            </w:r>
          </w:p>
        </w:tc>
      </w:tr>
      <w:tr>
        <w:tc>
          <w:tcPr/>
          <w:p>
            <w:pPr>
              <w:pStyle w:val="Compact"/>
              <w:jc w:val="left"/>
            </w:pPr>
            <w:r>
              <w:t xml:space="preserve">UDI/Device Registration</w:t>
            </w:r>
          </w:p>
        </w:tc>
        <w:tc>
          <w:tcPr/>
          <w:p>
            <w:pPr>
              <w:pStyle w:val="Compact"/>
              <w:jc w:val="left"/>
            </w:pPr>
            <w:r>
              <w:t xml:space="preserve">Operativo</w:t>
            </w:r>
          </w:p>
        </w:tc>
      </w:tr>
      <w:tr>
        <w:tc>
          <w:tcPr/>
          <w:p>
            <w:pPr>
              <w:pStyle w:val="Compact"/>
              <w:jc w:val="left"/>
            </w:pPr>
            <w:r>
              <w:t xml:space="preserve">Notified Body &amp; Certificates</w:t>
            </w:r>
          </w:p>
        </w:tc>
        <w:tc>
          <w:tcPr/>
          <w:p>
            <w:pPr>
              <w:pStyle w:val="Compact"/>
              <w:jc w:val="left"/>
            </w:pPr>
            <w:r>
              <w:t xml:space="preserve">Operativo</w:t>
            </w:r>
          </w:p>
        </w:tc>
      </w:tr>
      <w:tr>
        <w:tc>
          <w:tcPr/>
          <w:p>
            <w:pPr>
              <w:pStyle w:val="Compact"/>
              <w:jc w:val="left"/>
            </w:pPr>
            <w:r>
              <w:t xml:space="preserve">Clinical Investigations</w:t>
            </w:r>
          </w:p>
        </w:tc>
        <w:tc>
          <w:tcPr/>
          <w:p>
            <w:pPr>
              <w:pStyle w:val="Compact"/>
              <w:jc w:val="left"/>
            </w:pPr>
            <w:r>
              <w:t xml:space="preserve">Operativo (fase de implementación)</w:t>
            </w:r>
          </w:p>
        </w:tc>
      </w:tr>
      <w:tr>
        <w:tc>
          <w:tcPr/>
          <w:p>
            <w:pPr>
              <w:pStyle w:val="Compact"/>
              <w:jc w:val="left"/>
            </w:pPr>
            <w:r>
              <w:t xml:space="preserve">Vigilance</w:t>
            </w:r>
          </w:p>
        </w:tc>
        <w:tc>
          <w:tcPr/>
          <w:p>
            <w:pPr>
              <w:pStyle w:val="Compact"/>
              <w:jc w:val="left"/>
            </w:pPr>
            <w:r>
              <w:t xml:space="preserve">En implementación</w:t>
            </w:r>
          </w:p>
        </w:tc>
      </w:tr>
      <w:tr>
        <w:tc>
          <w:tcPr/>
          <w:p>
            <w:pPr>
              <w:pStyle w:val="Compact"/>
              <w:jc w:val="left"/>
            </w:pPr>
            <w:r>
              <w:t xml:space="preserve">Market Surveillance</w:t>
            </w:r>
          </w:p>
        </w:tc>
        <w:tc>
          <w:tcPr/>
          <w:p>
            <w:pPr>
              <w:pStyle w:val="Compact"/>
              <w:jc w:val="left"/>
            </w:pPr>
            <w:r>
              <w:t xml:space="preserve">En implementación</w:t>
            </w:r>
          </w:p>
        </w:tc>
      </w:tr>
    </w:tbl>
    <w:p>
      <w:pPr>
        <w:pStyle w:val="BlockText"/>
      </w:pPr>
      <w:r>
        <w:rPr>
          <w:bCs/>
          <w:b/>
        </w:rPr>
        <w:t xml:space="preserve">Nota:</w:t>
      </w:r>
      <w:r>
        <w:t xml:space="preserve"> </w:t>
      </w:r>
      <w:r>
        <w:t xml:space="preserve">EUDAMED ha tenido múltiples retrasos. Verificar el estado actual de cada módulo al momento de la submission.</w:t>
      </w:r>
    </w:p>
    <w:p>
      <w:r>
        <w:pict>
          <v:rect style="width:0;height:1.5pt" o:hralign="center" o:hrstd="t" o:hr="t"/>
        </w:pict>
      </w:r>
    </w:p>
    <w:bookmarkEnd w:id="52"/>
    <w:bookmarkEnd w:id="53"/>
    <w:bookmarkStart w:id="57" w:name="vigilancia-post-comercialización"/>
    <w:p>
      <w:pPr>
        <w:pStyle w:val="Heading2"/>
      </w:pPr>
      <w:r>
        <w:t xml:space="preserve">10. Vigilancia Post-Comercialización</w:t>
      </w:r>
    </w:p>
    <w:bookmarkStart w:id="54" w:name="X79232e11d49c2a45079b746d2e2f977ca7d2da8"/>
    <w:p>
      <w:pPr>
        <w:pStyle w:val="Heading3"/>
      </w:pPr>
      <w:r>
        <w:t xml:space="preserve">10.1 Post-Market Surveillance (PMS) — MDR Art. 83-86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Descripción</w:t>
            </w:r>
          </w:p>
        </w:tc>
        <w:tc>
          <w:tcPr/>
          <w:p>
            <w:pPr>
              <w:pStyle w:val="Compact"/>
              <w:jc w:val="left"/>
            </w:pPr>
            <w:r>
              <w:t xml:space="preserve">Frecuencia</w:t>
            </w:r>
          </w:p>
        </w:tc>
      </w:tr>
      <w:tr>
        <w:tc>
          <w:tcPr/>
          <w:p>
            <w:pPr>
              <w:pStyle w:val="Compact"/>
              <w:jc w:val="left"/>
            </w:pPr>
            <w:r>
              <w:rPr>
                <w:bCs/>
                <w:b/>
              </w:rPr>
              <w:t xml:space="preserve">PMS Plan</w:t>
            </w:r>
          </w:p>
        </w:tc>
        <w:tc>
          <w:tcPr/>
          <w:p>
            <w:pPr>
              <w:pStyle w:val="Compact"/>
              <w:jc w:val="left"/>
            </w:pPr>
            <w:r>
              <w:t xml:space="preserve">Plan proactivo de recopilación y análisis de datos post-market</w:t>
            </w:r>
          </w:p>
        </w:tc>
        <w:tc>
          <w:tcPr/>
          <w:p>
            <w:pPr>
              <w:pStyle w:val="Compact"/>
              <w:jc w:val="left"/>
            </w:pPr>
            <w:r>
              <w:t xml:space="preserve">Documento vivo</w:t>
            </w:r>
          </w:p>
        </w:tc>
      </w:tr>
      <w:tr>
        <w:tc>
          <w:tcPr/>
          <w:p>
            <w:pPr>
              <w:pStyle w:val="Compact"/>
              <w:jc w:val="left"/>
            </w:pPr>
            <w:r>
              <w:rPr>
                <w:bCs/>
                <w:b/>
              </w:rPr>
              <w:t xml:space="preserve">PMS Report</w:t>
            </w:r>
          </w:p>
        </w:tc>
        <w:tc>
          <w:tcPr/>
          <w:p>
            <w:pPr>
              <w:pStyle w:val="Compact"/>
              <w:jc w:val="left"/>
            </w:pPr>
            <w:r>
              <w:t xml:space="preserve">Informe de PMS (para Clase I)</w:t>
            </w:r>
          </w:p>
        </w:tc>
        <w:tc>
          <w:tcPr/>
          <w:p>
            <w:pPr>
              <w:pStyle w:val="Compact"/>
              <w:jc w:val="left"/>
            </w:pPr>
            <w:r>
              <w:t xml:space="preserve">Actualización periódica</w:t>
            </w:r>
          </w:p>
        </w:tc>
      </w:tr>
      <w:tr>
        <w:tc>
          <w:tcPr/>
          <w:p>
            <w:pPr>
              <w:pStyle w:val="Compact"/>
              <w:jc w:val="left"/>
            </w:pPr>
            <w:r>
              <w:rPr>
                <w:bCs/>
                <w:b/>
              </w:rPr>
              <w:t xml:space="preserve">PSUR (Periodic Safety Update Report)</w:t>
            </w:r>
          </w:p>
        </w:tc>
        <w:tc>
          <w:tcPr/>
          <w:p>
            <w:pPr>
              <w:pStyle w:val="Compact"/>
              <w:jc w:val="left"/>
            </w:pPr>
            <w:r>
              <w:t xml:space="preserve">Informe periódico de seguridad (para Clase IIb y III)</w:t>
            </w:r>
          </w:p>
        </w:tc>
        <w:tc>
          <w:tcPr/>
          <w:p>
            <w:pPr>
              <w:pStyle w:val="Compact"/>
              <w:jc w:val="left"/>
            </w:pPr>
            <w:r>
              <w:t xml:space="preserve">Anual (mínimo)</w:t>
            </w:r>
          </w:p>
        </w:tc>
      </w:tr>
      <w:tr>
        <w:tc>
          <w:tcPr/>
          <w:p>
            <w:pPr>
              <w:pStyle w:val="Compact"/>
              <w:jc w:val="left"/>
            </w:pPr>
            <w:r>
              <w:rPr>
                <w:bCs/>
                <w:b/>
              </w:rPr>
              <w:t xml:space="preserve">Trend Reporting</w:t>
            </w:r>
          </w:p>
        </w:tc>
        <w:tc>
          <w:tcPr/>
          <w:p>
            <w:pPr>
              <w:pStyle w:val="Compact"/>
              <w:jc w:val="left"/>
            </w:pPr>
            <w:r>
              <w:t xml:space="preserve">Reporte de tendencias significativas en incidentes</w:t>
            </w:r>
          </w:p>
        </w:tc>
        <w:tc>
          <w:tcPr/>
          <w:p>
            <w:pPr>
              <w:pStyle w:val="Compact"/>
              <w:jc w:val="left"/>
            </w:pPr>
            <w:r>
              <w:t xml:space="preserve">Según necesidad</w:t>
            </w:r>
          </w:p>
        </w:tc>
      </w:tr>
      <w:tr>
        <w:tc>
          <w:tcPr/>
          <w:p>
            <w:pPr>
              <w:pStyle w:val="Compact"/>
              <w:jc w:val="left"/>
            </w:pPr>
            <w:r>
              <w:rPr>
                <w:bCs/>
                <w:b/>
              </w:rPr>
              <w:t xml:space="preserve">Vigilance Reporting</w:t>
            </w:r>
          </w:p>
        </w:tc>
        <w:tc>
          <w:tcPr/>
          <w:p>
            <w:pPr>
              <w:pStyle w:val="Compact"/>
              <w:jc w:val="left"/>
            </w:pPr>
            <w:r>
              <w:t xml:space="preserve">Reporte de serious incidents y FSCAs</w:t>
            </w:r>
          </w:p>
        </w:tc>
        <w:tc>
          <w:tcPr/>
          <w:p>
            <w:pPr>
              <w:pStyle w:val="Compact"/>
              <w:jc w:val="left"/>
            </w:pPr>
            <w:r>
              <w:t xml:space="preserve">Inmediato (≤15 días, ≤2 días para threats to public health)</w:t>
            </w:r>
          </w:p>
        </w:tc>
      </w:tr>
    </w:tbl>
    <w:bookmarkEnd w:id="54"/>
    <w:bookmarkStart w:id="55" w:name="contenido-del-psur-mdr-art.-86"/>
    <w:p>
      <w:pPr>
        <w:pStyle w:val="Heading3"/>
      </w:pPr>
      <w:r>
        <w:t xml:space="preserve">10.2 Contenido del PSUR (MDR Art. 86)</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Sección</w:t>
            </w:r>
          </w:p>
        </w:tc>
        <w:tc>
          <w:tcPr/>
          <w:p>
            <w:pPr>
              <w:pStyle w:val="Compact"/>
              <w:jc w:val="left"/>
            </w:pPr>
            <w:r>
              <w:t xml:space="preserve">Contenido</w:t>
            </w:r>
          </w:p>
        </w:tc>
      </w:tr>
      <w:tr>
        <w:tc>
          <w:tcPr/>
          <w:p>
            <w:pPr>
              <w:pStyle w:val="Compact"/>
              <w:jc w:val="left"/>
            </w:pPr>
            <w:r>
              <w:t xml:space="preserve">Resumen de datos PMS</w:t>
            </w:r>
          </w:p>
        </w:tc>
        <w:tc>
          <w:tcPr/>
          <w:p>
            <w:pPr>
              <w:pStyle w:val="Compact"/>
              <w:jc w:val="left"/>
            </w:pPr>
            <w:r>
              <w:t xml:space="preserve">Complaints, vigilance, literature, PMCF</w:t>
            </w:r>
          </w:p>
        </w:tc>
      </w:tr>
      <w:tr>
        <w:tc>
          <w:tcPr/>
          <w:p>
            <w:pPr>
              <w:pStyle w:val="Compact"/>
              <w:jc w:val="left"/>
            </w:pPr>
            <w:r>
              <w:t xml:space="preserve">Conclusiones del análisis beneficio-riesgo</w:t>
            </w:r>
          </w:p>
        </w:tc>
        <w:tc>
          <w:tcPr/>
          <w:p>
            <w:pPr>
              <w:pStyle w:val="Compact"/>
              <w:jc w:val="left"/>
            </w:pPr>
            <w:r>
              <w:t xml:space="preserve">¿Sigue siendo favorable?</w:t>
            </w:r>
          </w:p>
        </w:tc>
      </w:tr>
      <w:tr>
        <w:tc>
          <w:tcPr/>
          <w:p>
            <w:pPr>
              <w:pStyle w:val="Compact"/>
              <w:jc w:val="left"/>
            </w:pPr>
            <w:r>
              <w:t xml:space="preserve">Volumen de ventas</w:t>
            </w:r>
          </w:p>
        </w:tc>
        <w:tc>
          <w:tcPr/>
          <w:p>
            <w:pPr>
              <w:pStyle w:val="Compact"/>
              <w:jc w:val="left"/>
            </w:pPr>
            <w:r>
              <w:t xml:space="preserve">Unidades vendidas, pacientes expuestos</w:t>
            </w:r>
          </w:p>
        </w:tc>
      </w:tr>
      <w:tr>
        <w:tc>
          <w:tcPr/>
          <w:p>
            <w:pPr>
              <w:pStyle w:val="Compact"/>
              <w:jc w:val="left"/>
            </w:pPr>
            <w:r>
              <w:t xml:space="preserve">Estimación de pacientes expuestos</w:t>
            </w:r>
          </w:p>
        </w:tc>
        <w:tc>
          <w:tcPr/>
          <w:p>
            <w:pPr>
              <w:pStyle w:val="Compact"/>
              <w:jc w:val="left"/>
            </w:pPr>
            <w:r>
              <w:t xml:space="preserve">Base para calcular tasas de incidentes</w:t>
            </w:r>
          </w:p>
        </w:tc>
      </w:tr>
      <w:tr>
        <w:tc>
          <w:tcPr/>
          <w:p>
            <w:pPr>
              <w:pStyle w:val="Compact"/>
              <w:jc w:val="left"/>
            </w:pPr>
            <w:r>
              <w:t xml:space="preserve">Acciones correctivas de campo (FSCAs)</w:t>
            </w:r>
          </w:p>
        </w:tc>
        <w:tc>
          <w:tcPr/>
          <w:p>
            <w:pPr>
              <w:pStyle w:val="Compact"/>
              <w:jc w:val="left"/>
            </w:pPr>
            <w:r>
              <w:t xml:space="preserve">Resumen de cualquier FSCA realizada</w:t>
            </w:r>
          </w:p>
        </w:tc>
      </w:tr>
      <w:tr>
        <w:tc>
          <w:tcPr/>
          <w:p>
            <w:pPr>
              <w:pStyle w:val="Compact"/>
              <w:jc w:val="left"/>
            </w:pPr>
            <w:r>
              <w:t xml:space="preserve">Conclusiones y acciones</w:t>
            </w:r>
          </w:p>
        </w:tc>
        <w:tc>
          <w:tcPr/>
          <w:p>
            <w:pPr>
              <w:pStyle w:val="Compact"/>
              <w:jc w:val="left"/>
            </w:pPr>
            <w:r>
              <w:t xml:space="preserve">Acciones planeadas basadas en los datos</w:t>
            </w:r>
          </w:p>
        </w:tc>
      </w:tr>
    </w:tbl>
    <w:bookmarkEnd w:id="55"/>
    <w:bookmarkStart w:id="56" w:name="vigilance-reporting"/>
    <w:p>
      <w:pPr>
        <w:pStyle w:val="Heading3"/>
      </w:pPr>
      <w:r>
        <w:t xml:space="preserve">10.3 Vigilance Reporting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Tipo de Reporte</w:t>
            </w:r>
          </w:p>
        </w:tc>
        <w:tc>
          <w:tcPr/>
          <w:p>
            <w:pPr>
              <w:pStyle w:val="Compact"/>
              <w:jc w:val="left"/>
            </w:pPr>
            <w:r>
              <w:t xml:space="preserve">Plazo</w:t>
            </w:r>
          </w:p>
        </w:tc>
        <w:tc>
          <w:tcPr/>
          <w:p>
            <w:pPr>
              <w:pStyle w:val="Compact"/>
              <w:jc w:val="left"/>
            </w:pPr>
            <w:r>
              <w:t xml:space="preserve">Destinatario</w:t>
            </w:r>
          </w:p>
        </w:tc>
      </w:tr>
      <w:tr>
        <w:tc>
          <w:tcPr/>
          <w:p>
            <w:pPr>
              <w:pStyle w:val="Compact"/>
              <w:jc w:val="left"/>
            </w:pPr>
            <w:r>
              <w:rPr>
                <w:bCs/>
                <w:b/>
              </w:rPr>
              <w:t xml:space="preserve">Serious incident</w:t>
            </w:r>
            <w:r>
              <w:t xml:space="preserve"> </w:t>
            </w:r>
            <w:r>
              <w:t xml:space="preserve">(muerte o deterioro grave)</w:t>
            </w:r>
          </w:p>
        </w:tc>
        <w:tc>
          <w:tcPr/>
          <w:p>
            <w:pPr>
              <w:pStyle w:val="Compact"/>
              <w:jc w:val="left"/>
            </w:pPr>
            <w:r>
              <w:t xml:space="preserve">≤ 15 días (≤ 2 días si amenaza a salud pública)</w:t>
            </w:r>
          </w:p>
        </w:tc>
        <w:tc>
          <w:tcPr/>
          <w:p>
            <w:pPr>
              <w:pStyle w:val="Compact"/>
              <w:jc w:val="left"/>
            </w:pPr>
            <w:r>
              <w:t xml:space="preserve">Autoridad Competente del Estado Miembro</w:t>
            </w:r>
          </w:p>
        </w:tc>
      </w:tr>
      <w:tr>
        <w:tc>
          <w:tcPr/>
          <w:p>
            <w:pPr>
              <w:pStyle w:val="Compact"/>
              <w:jc w:val="left"/>
            </w:pPr>
            <w:r>
              <w:rPr>
                <w:bCs/>
                <w:b/>
              </w:rPr>
              <w:t xml:space="preserve">Field Safety Corrective Action (FSCA)</w:t>
            </w:r>
          </w:p>
        </w:tc>
        <w:tc>
          <w:tcPr/>
          <w:p>
            <w:pPr>
              <w:pStyle w:val="Compact"/>
              <w:jc w:val="left"/>
            </w:pPr>
            <w:r>
              <w:t xml:space="preserve">Inmediato</w:t>
            </w:r>
          </w:p>
        </w:tc>
        <w:tc>
          <w:tcPr/>
          <w:p>
            <w:pPr>
              <w:pStyle w:val="Compact"/>
              <w:jc w:val="left"/>
            </w:pPr>
            <w:r>
              <w:t xml:space="preserve">Autoridad Competente + EUDAMED</w:t>
            </w:r>
          </w:p>
        </w:tc>
      </w:tr>
      <w:tr>
        <w:tc>
          <w:tcPr/>
          <w:p>
            <w:pPr>
              <w:pStyle w:val="Compact"/>
              <w:jc w:val="left"/>
            </w:pPr>
            <w:r>
              <w:rPr>
                <w:bCs/>
                <w:b/>
              </w:rPr>
              <w:t xml:space="preserve">Trend report</w:t>
            </w:r>
          </w:p>
        </w:tc>
        <w:tc>
          <w:tcPr/>
          <w:p>
            <w:pPr>
              <w:pStyle w:val="Compact"/>
              <w:jc w:val="left"/>
            </w:pPr>
            <w:r>
              <w:t xml:space="preserve">Sin plazo fijo, cuando se identifica tendencia</w:t>
            </w:r>
          </w:p>
        </w:tc>
        <w:tc>
          <w:tcPr/>
          <w:p>
            <w:pPr>
              <w:pStyle w:val="Compact"/>
              <w:jc w:val="left"/>
            </w:pPr>
            <w:r>
              <w:t xml:space="preserve">Autoridad Competente</w:t>
            </w:r>
          </w:p>
        </w:tc>
      </w:tr>
    </w:tbl>
    <w:p>
      <w:r>
        <w:pict>
          <v:rect style="width:0;height:1.5pt" o:hralign="center" o:hrstd="t" o:hr="t"/>
        </w:pict>
      </w:r>
    </w:p>
    <w:bookmarkEnd w:id="56"/>
    <w:bookmarkEnd w:id="57"/>
    <w:bookmarkStart w:id="67" w:name="checklist-completo"/>
    <w:p>
      <w:pPr>
        <w:pStyle w:val="Heading2"/>
      </w:pPr>
      <w:r>
        <w:t xml:space="preserve">11. Checklist Completo</w:t>
      </w:r>
    </w:p>
    <w:bookmarkStart w:id="58" w:name="preparación-general"/>
    <w:p>
      <w:pPr>
        <w:pStyle w:val="Heading3"/>
      </w:pPr>
      <w:r>
        <w:t xml:space="preserve">11.1 Preparación General</w:t>
      </w:r>
    </w:p>
    <w:p>
      <w:pPr>
        <w:numPr>
          <w:ilvl w:val="0"/>
          <w:numId w:val="1005"/>
        </w:numPr>
        <w:pStyle w:val="Compact"/>
      </w:pPr>
      <w:r>
        <w:t xml:space="preserve">☐ EC REP (Authorized Representative) designado en la UE</w:t>
      </w:r>
    </w:p>
    <w:p>
      <w:pPr>
        <w:numPr>
          <w:ilvl w:val="0"/>
          <w:numId w:val="1005"/>
        </w:numPr>
        <w:pStyle w:val="Compact"/>
      </w:pPr>
      <w:r>
        <w:t xml:space="preserve">☐ Contrato con EC REP firmado (MDR Art. 11)</w:t>
      </w:r>
    </w:p>
    <w:p>
      <w:pPr>
        <w:numPr>
          <w:ilvl w:val="0"/>
          <w:numId w:val="1005"/>
        </w:numPr>
        <w:pStyle w:val="Compact"/>
      </w:pPr>
      <w:r>
        <w:t xml:space="preserve">☐ Person Responsible for Regulatory Compliance (PRRC) designado (MDR Art. 15)</w:t>
      </w:r>
    </w:p>
    <w:p>
      <w:pPr>
        <w:numPr>
          <w:ilvl w:val="0"/>
          <w:numId w:val="1005"/>
        </w:numPr>
        <w:pStyle w:val="Compact"/>
      </w:pPr>
      <w:r>
        <w:t xml:space="preserve">☐ Registro en EUDAMED como fabricante (Actor Registration)</w:t>
      </w:r>
    </w:p>
    <w:p>
      <w:pPr>
        <w:numPr>
          <w:ilvl w:val="0"/>
          <w:numId w:val="1005"/>
        </w:numPr>
        <w:pStyle w:val="Compact"/>
      </w:pPr>
      <w:r>
        <w:t xml:space="preserve">☐ ISO 13485:2016 certificado por organismo acreditado</w:t>
      </w:r>
    </w:p>
    <w:p>
      <w:pPr>
        <w:numPr>
          <w:ilvl w:val="0"/>
          <w:numId w:val="1005"/>
        </w:numPr>
        <w:pStyle w:val="Compact"/>
      </w:pPr>
      <w:r>
        <w:t xml:space="preserve">☐ Organismo Notificado seleccionado y contrato firmado</w:t>
      </w:r>
    </w:p>
    <w:bookmarkEnd w:id="58"/>
    <w:bookmarkStart w:id="59" w:name="technical-documentation-annex-ii"/>
    <w:p>
      <w:pPr>
        <w:pStyle w:val="Heading3"/>
      </w:pPr>
      <w:r>
        <w:t xml:space="preserve">11.2 Technical Documentation (Annex II)</w:t>
      </w:r>
    </w:p>
    <w:p>
      <w:pPr>
        <w:numPr>
          <w:ilvl w:val="0"/>
          <w:numId w:val="1006"/>
        </w:numPr>
        <w:pStyle w:val="Compact"/>
      </w:pPr>
      <w:r>
        <w:t xml:space="preserve">☐ Sección 1: Device Description and Specification completa</w:t>
      </w:r>
    </w:p>
    <w:p>
      <w:pPr>
        <w:numPr>
          <w:ilvl w:val="0"/>
          <w:numId w:val="1006"/>
        </w:numPr>
        <w:pStyle w:val="Compact"/>
      </w:pPr>
      <w:r>
        <w:t xml:space="preserve">☐ Sección 2: Labeling and IFU en todos los idiomas requeridos</w:t>
      </w:r>
    </w:p>
    <w:p>
      <w:pPr>
        <w:numPr>
          <w:ilvl w:val="0"/>
          <w:numId w:val="1006"/>
        </w:numPr>
        <w:pStyle w:val="Compact"/>
      </w:pPr>
      <w:r>
        <w:t xml:space="preserve">☐ Sección 3: Design and Manufacturing Information</w:t>
      </w:r>
    </w:p>
    <w:p>
      <w:pPr>
        <w:numPr>
          <w:ilvl w:val="0"/>
          <w:numId w:val="1006"/>
        </w:numPr>
        <w:pStyle w:val="Compact"/>
      </w:pPr>
      <w:r>
        <w:t xml:space="preserve">☐ Sección 4: GSPRs Checklist completo con normas armonizadas</w:t>
      </w:r>
    </w:p>
    <w:p>
      <w:pPr>
        <w:numPr>
          <w:ilvl w:val="0"/>
          <w:numId w:val="1006"/>
        </w:numPr>
        <w:pStyle w:val="Compact"/>
      </w:pPr>
      <w:r>
        <w:t xml:space="preserve">☐ Sección 5: Benefit-Risk Analysis and Risk Management File</w:t>
      </w:r>
    </w:p>
    <w:p>
      <w:pPr>
        <w:numPr>
          <w:ilvl w:val="0"/>
          <w:numId w:val="1006"/>
        </w:numPr>
        <w:pStyle w:val="Compact"/>
      </w:pPr>
      <w:r>
        <w:t xml:space="preserve">☐ Sección 6.a: Verification and Validation (bench testing, EMC, safety, bio)</w:t>
      </w:r>
    </w:p>
    <w:p>
      <w:pPr>
        <w:numPr>
          <w:ilvl w:val="0"/>
          <w:numId w:val="1006"/>
        </w:numPr>
        <w:pStyle w:val="Compact"/>
      </w:pPr>
      <w:r>
        <w:t xml:space="preserve">☐ Sección 6.b: Clinical Evaluation Report (CER)</w:t>
      </w:r>
    </w:p>
    <w:bookmarkEnd w:id="59"/>
    <w:bookmarkStart w:id="60" w:name="evaluación-clínica-1"/>
    <w:p>
      <w:pPr>
        <w:pStyle w:val="Heading3"/>
      </w:pPr>
      <w:r>
        <w:t xml:space="preserve">11.3 Evaluación Clínica</w:t>
      </w:r>
    </w:p>
    <w:p>
      <w:pPr>
        <w:numPr>
          <w:ilvl w:val="0"/>
          <w:numId w:val="1007"/>
        </w:numPr>
        <w:pStyle w:val="Compact"/>
      </w:pPr>
      <w:r>
        <w:t xml:space="preserve">☐ Clinical Evaluation Plan (CEP) redactado</w:t>
      </w:r>
    </w:p>
    <w:p>
      <w:pPr>
        <w:numPr>
          <w:ilvl w:val="0"/>
          <w:numId w:val="1007"/>
        </w:numPr>
        <w:pStyle w:val="Compact"/>
      </w:pPr>
      <w:r>
        <w:t xml:space="preserve">☐ Búsqueda sistemática de literatura completada</w:t>
      </w:r>
    </w:p>
    <w:p>
      <w:pPr>
        <w:numPr>
          <w:ilvl w:val="0"/>
          <w:numId w:val="1007"/>
        </w:numPr>
        <w:pStyle w:val="Compact"/>
      </w:pPr>
      <w:r>
        <w:t xml:space="preserve">☐ Appraisal de datos clínicos realizado</w:t>
      </w:r>
    </w:p>
    <w:p>
      <w:pPr>
        <w:numPr>
          <w:ilvl w:val="0"/>
          <w:numId w:val="1007"/>
        </w:numPr>
        <w:pStyle w:val="Compact"/>
      </w:pPr>
      <w:r>
        <w:t xml:space="preserve">☐ Análisis de equivalencia (técnica, biológica, clínica) documentado</w:t>
      </w:r>
    </w:p>
    <w:p>
      <w:pPr>
        <w:numPr>
          <w:ilvl w:val="0"/>
          <w:numId w:val="1007"/>
        </w:numPr>
        <w:pStyle w:val="Compact"/>
      </w:pPr>
      <w:r>
        <w:t xml:space="preserve">☐ Clinical Evaluation Report (CER) redactado por evaluador calificado</w:t>
      </w:r>
    </w:p>
    <w:p>
      <w:pPr>
        <w:numPr>
          <w:ilvl w:val="0"/>
          <w:numId w:val="1007"/>
        </w:numPr>
        <w:pStyle w:val="Compact"/>
      </w:pPr>
      <w:r>
        <w:t xml:space="preserve">☐ CER revisado y aprobado por el fabricante</w:t>
      </w:r>
    </w:p>
    <w:bookmarkEnd w:id="60"/>
    <w:bookmarkStart w:id="61" w:name="software-y-ia"/>
    <w:p>
      <w:pPr>
        <w:pStyle w:val="Heading3"/>
      </w:pPr>
      <w:r>
        <w:t xml:space="preserve">11.4 Software y IA</w:t>
      </w:r>
    </w:p>
    <w:p>
      <w:pPr>
        <w:numPr>
          <w:ilvl w:val="0"/>
          <w:numId w:val="1008"/>
        </w:numPr>
        <w:pStyle w:val="Compact"/>
      </w:pPr>
      <w:r>
        <w:t xml:space="preserve">☐ Software Documentation según IEC 62304 completa</w:t>
      </w:r>
    </w:p>
    <w:p>
      <w:pPr>
        <w:numPr>
          <w:ilvl w:val="0"/>
          <w:numId w:val="1008"/>
        </w:numPr>
        <w:pStyle w:val="Compact"/>
      </w:pPr>
      <w:r>
        <w:t xml:space="preserve">☐ Software clasificado (Clase C para firmware/backend/IA)</w:t>
      </w:r>
    </w:p>
    <w:p>
      <w:pPr>
        <w:numPr>
          <w:ilvl w:val="0"/>
          <w:numId w:val="1008"/>
        </w:numPr>
        <w:pStyle w:val="Compact"/>
      </w:pPr>
      <w:r>
        <w:t xml:space="preserve">☐ AI/ML documentation completa (algoritmo, training, validation, bias)</w:t>
      </w:r>
    </w:p>
    <w:p>
      <w:pPr>
        <w:numPr>
          <w:ilvl w:val="0"/>
          <w:numId w:val="1008"/>
        </w:numPr>
        <w:pStyle w:val="Compact"/>
      </w:pPr>
      <w:r>
        <w:t xml:space="preserve">☐ Cybersecurity documentation según IEC 81001-5-1</w:t>
      </w:r>
    </w:p>
    <w:bookmarkEnd w:id="61"/>
    <w:bookmarkStart w:id="62" w:name="testing"/>
    <w:p>
      <w:pPr>
        <w:pStyle w:val="Heading3"/>
      </w:pPr>
      <w:r>
        <w:t xml:space="preserve">11.5 Testing</w:t>
      </w:r>
    </w:p>
    <w:p>
      <w:pPr>
        <w:numPr>
          <w:ilvl w:val="0"/>
          <w:numId w:val="1009"/>
        </w:numPr>
        <w:pStyle w:val="Compact"/>
      </w:pPr>
      <w:r>
        <w:t xml:space="preserve">☐ IEC 60601-1 — Seguridad eléctrica (lab acreditado)</w:t>
      </w:r>
    </w:p>
    <w:p>
      <w:pPr>
        <w:numPr>
          <w:ilvl w:val="0"/>
          <w:numId w:val="1009"/>
        </w:numPr>
        <w:pStyle w:val="Compact"/>
      </w:pPr>
      <w:r>
        <w:t xml:space="preserve">☐ IEC 60601-1-2 — EMC (lab acreditado)</w:t>
      </w:r>
    </w:p>
    <w:p>
      <w:pPr>
        <w:numPr>
          <w:ilvl w:val="0"/>
          <w:numId w:val="1009"/>
        </w:numPr>
        <w:pStyle w:val="Compact"/>
      </w:pPr>
      <w:r>
        <w:t xml:space="preserve">☐ IEC 60601-1-11 — Home healthcare environment</w:t>
      </w:r>
    </w:p>
    <w:p>
      <w:pPr>
        <w:numPr>
          <w:ilvl w:val="0"/>
          <w:numId w:val="1009"/>
        </w:numPr>
        <w:pStyle w:val="Compact"/>
      </w:pPr>
      <w:r>
        <w:t xml:space="preserve">☐ IEC 60601-2-47 — Norma particular Holter ECG</w:t>
      </w:r>
    </w:p>
    <w:p>
      <w:pPr>
        <w:numPr>
          <w:ilvl w:val="0"/>
          <w:numId w:val="1009"/>
        </w:numPr>
        <w:pStyle w:val="Compact"/>
      </w:pPr>
      <w:r>
        <w:t xml:space="preserve">☐ ISO 10993 — Biocompatibilidad</w:t>
      </w:r>
    </w:p>
    <w:p>
      <w:pPr>
        <w:numPr>
          <w:ilvl w:val="0"/>
          <w:numId w:val="1009"/>
        </w:numPr>
        <w:pStyle w:val="Compact"/>
      </w:pPr>
      <w:r>
        <w:t xml:space="preserve">☐ IEC 62133-2 — Seguridad de batería</w:t>
      </w:r>
    </w:p>
    <w:p>
      <w:pPr>
        <w:numPr>
          <w:ilvl w:val="0"/>
          <w:numId w:val="1009"/>
        </w:numPr>
        <w:pStyle w:val="Compact"/>
      </w:pPr>
      <w:r>
        <w:t xml:space="preserve">☐ IEC 62366-1 — Usabilidad</w:t>
      </w:r>
    </w:p>
    <w:p>
      <w:pPr>
        <w:numPr>
          <w:ilvl w:val="0"/>
          <w:numId w:val="1009"/>
        </w:numPr>
        <w:pStyle w:val="Compact"/>
      </w:pPr>
      <w:r>
        <w:t xml:space="preserve">☐ Software V&amp;V según IEC 62304</w:t>
      </w:r>
    </w:p>
    <w:bookmarkEnd w:id="62"/>
    <w:bookmarkStart w:id="63" w:name="post-market-surveillance"/>
    <w:p>
      <w:pPr>
        <w:pStyle w:val="Heading3"/>
      </w:pPr>
      <w:r>
        <w:t xml:space="preserve">11.6 Post-Market Surveillance</w:t>
      </w:r>
    </w:p>
    <w:p>
      <w:pPr>
        <w:numPr>
          <w:ilvl w:val="0"/>
          <w:numId w:val="1010"/>
        </w:numPr>
        <w:pStyle w:val="Compact"/>
      </w:pPr>
      <w:r>
        <w:t xml:space="preserve">☐ PMS Plan redactado (MDR Art. 84)</w:t>
      </w:r>
    </w:p>
    <w:p>
      <w:pPr>
        <w:numPr>
          <w:ilvl w:val="0"/>
          <w:numId w:val="1010"/>
        </w:numPr>
        <w:pStyle w:val="Compact"/>
      </w:pPr>
      <w:r>
        <w:t xml:space="preserve">☐ PMCF Plan redactado (MDR Annex XIV Part B)</w:t>
      </w:r>
    </w:p>
    <w:p>
      <w:pPr>
        <w:numPr>
          <w:ilvl w:val="0"/>
          <w:numId w:val="1010"/>
        </w:numPr>
        <w:pStyle w:val="Compact"/>
      </w:pPr>
      <w:r>
        <w:t xml:space="preserve">☐ Template de PSUR preparado</w:t>
      </w:r>
    </w:p>
    <w:p>
      <w:pPr>
        <w:numPr>
          <w:ilvl w:val="0"/>
          <w:numId w:val="1010"/>
        </w:numPr>
        <w:pStyle w:val="Compact"/>
      </w:pPr>
      <w:r>
        <w:t xml:space="preserve">☐ Vigilance reporting procedures establecidos</w:t>
      </w:r>
    </w:p>
    <w:p>
      <w:pPr>
        <w:numPr>
          <w:ilvl w:val="0"/>
          <w:numId w:val="1010"/>
        </w:numPr>
        <w:pStyle w:val="Compact"/>
      </w:pPr>
      <w:r>
        <w:t xml:space="preserve">☐ Complaint handling procedures establecidos</w:t>
      </w:r>
    </w:p>
    <w:bookmarkEnd w:id="63"/>
    <w:bookmarkStart w:id="64" w:name="udi-y-eudamed"/>
    <w:p>
      <w:pPr>
        <w:pStyle w:val="Heading3"/>
      </w:pPr>
      <w:r>
        <w:t xml:space="preserve">11.7 UDI y EUDAMED</w:t>
      </w:r>
    </w:p>
    <w:p>
      <w:pPr>
        <w:numPr>
          <w:ilvl w:val="0"/>
          <w:numId w:val="1011"/>
        </w:numPr>
        <w:pStyle w:val="Compact"/>
      </w:pPr>
      <w:r>
        <w:t xml:space="preserve">☐ Registro en GS1 (o issuing entity elegida)</w:t>
      </w:r>
    </w:p>
    <w:p>
      <w:pPr>
        <w:numPr>
          <w:ilvl w:val="0"/>
          <w:numId w:val="1011"/>
        </w:numPr>
        <w:pStyle w:val="Compact"/>
      </w:pPr>
      <w:r>
        <w:t xml:space="preserve">☐ UDI-DIs asignados para todos los productos/empaque</w:t>
      </w:r>
    </w:p>
    <w:p>
      <w:pPr>
        <w:numPr>
          <w:ilvl w:val="0"/>
          <w:numId w:val="1011"/>
        </w:numPr>
        <w:pStyle w:val="Compact"/>
      </w:pPr>
      <w:r>
        <w:t xml:space="preserve">☐ UDI integrado en etiquetado (DataMatrix + texto legible)</w:t>
      </w:r>
    </w:p>
    <w:p>
      <w:pPr>
        <w:numPr>
          <w:ilvl w:val="0"/>
          <w:numId w:val="1011"/>
        </w:numPr>
        <w:pStyle w:val="Compact"/>
      </w:pPr>
      <w:r>
        <w:t xml:space="preserve">☐ Basic UDI-DI registrado en EUDAMED</w:t>
      </w:r>
    </w:p>
    <w:p>
      <w:pPr>
        <w:numPr>
          <w:ilvl w:val="0"/>
          <w:numId w:val="1011"/>
        </w:numPr>
        <w:pStyle w:val="Compact"/>
      </w:pPr>
      <w:r>
        <w:t xml:space="preserve">☐ Datos del dispositivo registrados en EUDAMED</w:t>
      </w:r>
    </w:p>
    <w:p>
      <w:pPr>
        <w:numPr>
          <w:ilvl w:val="0"/>
          <w:numId w:val="1011"/>
        </w:numPr>
        <w:pStyle w:val="Compact"/>
      </w:pPr>
      <w:r>
        <w:t xml:space="preserve">☐ Certificado del NB registrado en EUDAMED</w:t>
      </w:r>
    </w:p>
    <w:bookmarkEnd w:id="64"/>
    <w:bookmarkStart w:id="65" w:name="declaración-y-ce-marking"/>
    <w:p>
      <w:pPr>
        <w:pStyle w:val="Heading3"/>
      </w:pPr>
      <w:r>
        <w:t xml:space="preserve">11.8 Declaración y CE Marking</w:t>
      </w:r>
    </w:p>
    <w:p>
      <w:pPr>
        <w:numPr>
          <w:ilvl w:val="0"/>
          <w:numId w:val="1012"/>
        </w:numPr>
        <w:pStyle w:val="Compact"/>
      </w:pPr>
      <w:r>
        <w:t xml:space="preserve">☐ EU Declaration of Conformity redactada (MDR Art. 19, Annex IV)</w:t>
      </w:r>
    </w:p>
    <w:p>
      <w:pPr>
        <w:numPr>
          <w:ilvl w:val="0"/>
          <w:numId w:val="1012"/>
        </w:numPr>
        <w:pStyle w:val="Compact"/>
      </w:pPr>
      <w:r>
        <w:t xml:space="preserve">☐ CE marking aplicado al dispositivo y empaque</w:t>
      </w:r>
    </w:p>
    <w:p>
      <w:pPr>
        <w:numPr>
          <w:ilvl w:val="0"/>
          <w:numId w:val="1012"/>
        </w:numPr>
        <w:pStyle w:val="Compact"/>
      </w:pPr>
      <w:r>
        <w:t xml:space="preserve">☐ NB number incluido junto al CE mark (0123, 2797, etc.)</w:t>
      </w:r>
    </w:p>
    <w:bookmarkEnd w:id="65"/>
    <w:bookmarkStart w:id="66" w:name="post-certification"/>
    <w:p>
      <w:pPr>
        <w:pStyle w:val="Heading3"/>
      </w:pPr>
      <w:r>
        <w:t xml:space="preserve">11.9 Post-Certification</w:t>
      </w:r>
    </w:p>
    <w:p>
      <w:pPr>
        <w:numPr>
          <w:ilvl w:val="0"/>
          <w:numId w:val="1013"/>
        </w:numPr>
        <w:pStyle w:val="Compact"/>
      </w:pPr>
      <w:r>
        <w:t xml:space="preserve">☐ Surveillance audit con NB programada (anual)</w:t>
      </w:r>
    </w:p>
    <w:p>
      <w:pPr>
        <w:numPr>
          <w:ilvl w:val="0"/>
          <w:numId w:val="1013"/>
        </w:numPr>
        <w:pStyle w:val="Compact"/>
      </w:pPr>
      <w:r>
        <w:t xml:space="preserve">☐ PSUR schedule establecido (anual para Clase IIb)</w:t>
      </w:r>
    </w:p>
    <w:p>
      <w:pPr>
        <w:numPr>
          <w:ilvl w:val="0"/>
          <w:numId w:val="1013"/>
        </w:numPr>
        <w:pStyle w:val="Compact"/>
      </w:pPr>
      <w:r>
        <w:t xml:space="preserve">☐ PMCF study iniciado</w:t>
      </w:r>
    </w:p>
    <w:p>
      <w:pPr>
        <w:numPr>
          <w:ilvl w:val="0"/>
          <w:numId w:val="1013"/>
        </w:numPr>
        <w:pStyle w:val="Compact"/>
      </w:pPr>
      <w:r>
        <w:t xml:space="preserve">☐ Renovación de certificado planificada (antes de 5 años)</w:t>
      </w:r>
    </w:p>
    <w:p>
      <w:r>
        <w:pict>
          <v:rect style="width:0;height:1.5pt" o:hralign="center" o:hrstd="t" o:hr="t"/>
        </w:pict>
      </w:r>
    </w:p>
    <w:p>
      <w:pPr>
        <w:pStyle w:val="FirstParagraph"/>
      </w:pPr>
      <w:r>
        <w:rPr>
          <w:bCs/>
          <w:b/>
        </w:rPr>
        <w:t xml:space="preserve">Control de Versiones: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w:t>
            </w:r>
          </w:p>
        </w:tc>
      </w:tr>
      <w:tr>
        <w:tc>
          <w:tcPr/>
          <w:p>
            <w:pPr>
              <w:pStyle w:val="Compact"/>
              <w:jc w:val="left"/>
            </w:pPr>
            <w:r>
              <w:t xml:space="preserve">1.0</w:t>
            </w:r>
          </w:p>
        </w:tc>
        <w:tc>
          <w:tcPr/>
          <w:p>
            <w:pPr>
              <w:pStyle w:val="Compact"/>
              <w:jc w:val="left"/>
            </w:pPr>
            <w:r>
              <w:t xml:space="preserve">2026-05-16</w:t>
            </w:r>
          </w:p>
        </w:tc>
        <w:tc>
          <w:tcPr/>
          <w:p>
            <w:pPr>
              <w:pStyle w:val="Compact"/>
              <w:jc w:val="left"/>
            </w:pPr>
            <w:r>
              <w:t xml:space="preserve">Asuntos Regulatorios</w:t>
            </w:r>
          </w:p>
        </w:tc>
        <w:tc>
          <w:tcPr/>
          <w:p>
            <w:pPr>
              <w:pStyle w:val="Compact"/>
              <w:jc w:val="left"/>
            </w:pPr>
            <w:r>
              <w:t xml:space="preserve">Creación inicial</w:t>
            </w:r>
          </w:p>
        </w:tc>
      </w:tr>
    </w:tbl>
    <w:p>
      <w:r>
        <w:pict>
          <v:rect style="width:0;height:1.5pt" o:hralign="center" o:hrstd="t" o:hr="t"/>
        </w:pict>
      </w:r>
    </w:p>
    <w:p>
      <w:pPr>
        <w:pStyle w:val="FirstParagraph"/>
      </w:pPr>
      <w:r>
        <w:rPr>
          <w:iCs/>
          <w:i/>
        </w:rPr>
        <w:t xml:space="preserve">Documento confidencial — Horizon Medical</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2026-05-16T17:20:42Z</dcterms:created>
  <dcterms:modified xsi:type="dcterms:W3CDTF">2026-05-16T17:20:42Z</dcterms:modified>
</cp:coreProperties>
</file>

<file path=docProps/custom.xml><?xml version="1.0" encoding="utf-8"?>
<Properties xmlns="http://schemas.openxmlformats.org/officeDocument/2006/custom-properties" xmlns:vt="http://schemas.openxmlformats.org/officeDocument/2006/docPropsVTypes"/>
</file>