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0e8c90f38c5d77d5db1435bad1a64791c7101e8"/>
    <w:p>
      <w:pPr>
        <w:pStyle w:val="Heading1"/>
      </w:pPr>
      <w:r>
        <w:t xml:space="preserve">HORIZON MEDICAL — Guía Paso a Paso: Registro INVIMA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HM-REG-006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trámite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Sanitario de Dispositivo Médico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Clase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estimado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$67,000–135,000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Vigencia del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 (renovable)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imeline-visual"/>
    <w:p>
      <w:pPr>
        <w:pStyle w:val="Heading2"/>
      </w:pPr>
      <w:r>
        <w:t xml:space="preserve">Timeline Visual</w:t>
      </w:r>
    </w:p>
    <w:p>
      <w:pPr>
        <w:pStyle w:val="SourceCode"/>
      </w:pPr>
      <w:r>
        <w:rPr>
          <w:rStyle w:val="VerbatimChar"/>
        </w:rPr>
        <w:t xml:space="preserve">Mes:  1     2     3     4     5     6     7     8     9     10    11    12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PREP  ████████████████████████████</w:t>
      </w:r>
      <w:r>
        <w:br/>
      </w:r>
      <w:r>
        <w:rPr>
          <w:rStyle w:val="VerbatimChar"/>
        </w:rPr>
        <w:t xml:space="preserve">      Preparación del dossier + testing + QMS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TRAD  │     │     │     │     ████████</w:t>
      </w:r>
      <w:r>
        <w:br/>
      </w:r>
      <w:r>
        <w:rPr>
          <w:rStyle w:val="VerbatimChar"/>
        </w:rPr>
        <w:t xml:space="preserve">      │     │     │     │     Traducciones + apostillas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SUBM  │     │     │     │     │     │     ██</w:t>
      </w:r>
      <w:r>
        <w:br/>
      </w:r>
      <w:r>
        <w:rPr>
          <w:rStyle w:val="VerbatimChar"/>
        </w:rPr>
        <w:t xml:space="preserve">      │     │     │     │     │     │     Sometimiento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REV   │     │     │     │     │     │     │     ████████████████</w:t>
      </w:r>
      <w:r>
        <w:br/>
      </w:r>
      <w:r>
        <w:rPr>
          <w:rStyle w:val="VerbatimChar"/>
        </w:rPr>
        <w:t xml:space="preserve">      │     │     │     │     │     │     │     Revisión INVIMA + respuesta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REG   │     │     │     │     │     │     │     │     │     │     │     ██</w:t>
      </w:r>
      <w:r>
        <w:br/>
      </w:r>
      <w:r>
        <w:rPr>
          <w:rStyle w:val="VerbatimChar"/>
        </w:rPr>
        <w:t xml:space="preserve">      │     │     │     │     │     │     │     │     │     │     │     Emisión</w:t>
      </w:r>
    </w:p>
    <w:p>
      <w:r>
        <w:pict>
          <v:rect style="width:0;height:1.5pt" o:hralign="center" o:hrstd="t" o:hr="t"/>
        </w:pict>
      </w:r>
    </w:p>
    <w:bookmarkEnd w:id="21"/>
    <w:bookmarkStart w:id="25" w:name="paso-1-preparación-organizacional-mes-12"/>
    <w:p>
      <w:pPr>
        <w:pStyle w:val="Heading2"/>
      </w:pPr>
      <w:r>
        <w:t xml:space="preserve">Paso 1: Preparación Organizacional (Mes 1–2)</w:t>
      </w:r>
    </w:p>
    <w:bookmarkStart w:id="22" w:name="acciones"/>
    <w:p>
      <w:pPr>
        <w:pStyle w:val="Heading3"/>
      </w:pPr>
      <w:r>
        <w:t xml:space="preserve">1.1 Acciones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Designar titular del registro</w:t>
      </w:r>
      <w:r>
        <w:t xml:space="preserve"> </w:t>
      </w:r>
      <w:r>
        <w:t xml:space="preserve">en Colombia (fabricante o importador autorizado)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Obtener poder del fabricante</w:t>
      </w:r>
      <w:r>
        <w:t xml:space="preserve"> </w:t>
      </w:r>
      <w:r>
        <w:t xml:space="preserve">autorizando al titular a registrar el dispositivo</w:t>
      </w:r>
    </w:p>
    <w:p>
      <w:pPr>
        <w:numPr>
          <w:ilvl w:val="1"/>
          <w:numId w:val="1002"/>
        </w:numPr>
        <w:pStyle w:val="Compact"/>
      </w:pPr>
      <w:r>
        <w:t xml:space="preserve">Documento notariado, apostillado/consularizado</w:t>
      </w:r>
    </w:p>
    <w:p>
      <w:pPr>
        <w:numPr>
          <w:ilvl w:val="1"/>
          <w:numId w:val="1002"/>
        </w:numPr>
        <w:pStyle w:val="Compact"/>
      </w:pPr>
      <w:r>
        <w:t xml:space="preserve">Traducción oficial si está en idioma diferente al español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Obtener certificado de existencia y representación legal</w:t>
      </w:r>
      <w:r>
        <w:t xml:space="preserve"> </w:t>
      </w:r>
      <w:r>
        <w:t xml:space="preserve">del titular (Cámara de Comercio, vigencia &lt; 90 días)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Designar responsable de tecnovigilancia</w:t>
      </w:r>
      <w:r>
        <w:t xml:space="preserve"> </w:t>
      </w:r>
      <w:r>
        <w:t xml:space="preserve">ante INVIMA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Verificar certificación ISO 13485</w:t>
      </w:r>
      <w:r>
        <w:t xml:space="preserve"> </w:t>
      </w:r>
      <w:r>
        <w:t xml:space="preserve">vigente o equivalente BPM</w:t>
      </w:r>
    </w:p>
    <w:bookmarkEnd w:id="22"/>
    <w:bookmarkStart w:id="23" w:name="entregables"/>
    <w:p>
      <w:pPr>
        <w:pStyle w:val="Heading3"/>
      </w:pPr>
      <w:r>
        <w:t xml:space="preserve">1.2 Entregables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Poder del fabricante (apostillado)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 +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existencia y representación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ISO 13485 (copia)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Designación de responsable de tecnovigilancia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2</w:t>
            </w:r>
          </w:p>
        </w:tc>
      </w:tr>
    </w:tbl>
    <w:bookmarkEnd w:id="23"/>
    <w:bookmarkStart w:id="24" w:name="costos-estimados"/>
    <w:p>
      <w:pPr>
        <w:pStyle w:val="Heading3"/>
      </w:pPr>
      <w:r>
        <w:t xml:space="preserve">1.3 Costos Estimados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Apostilla del poder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$100–300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Traducción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Cámara de 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7ac60c8aa74edecf2a2c691525a0aa70873004d"/>
    <w:p>
      <w:pPr>
        <w:pStyle w:val="Heading2"/>
      </w:pPr>
      <w:r>
        <w:t xml:space="preserve">Paso 2: Testing y Evidencia Técnica (Mes 1–5)</w:t>
      </w:r>
    </w:p>
    <w:bookmarkStart w:id="26" w:name="acciones-1"/>
    <w:p>
      <w:pPr>
        <w:pStyle w:val="Heading3"/>
      </w:pPr>
      <w:r>
        <w:t xml:space="preserve">2.1 Acciones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testing de seguridad eléctrica</w:t>
      </w:r>
      <w:r>
        <w:t xml:space="preserve"> </w:t>
      </w:r>
      <w:r>
        <w:t xml:space="preserve">(IEC 60601-1) en laboratorio acreditado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testing de EMC</w:t>
      </w:r>
      <w:r>
        <w:t xml:space="preserve"> </w:t>
      </w:r>
      <w:r>
        <w:t xml:space="preserve">(IEC 60601-1-2) en laboratorio acreditado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testing de norma particular</w:t>
      </w:r>
      <w:r>
        <w:t xml:space="preserve"> </w:t>
      </w:r>
      <w:r>
        <w:t xml:space="preserve">(IEC 60601-2-47) en laboratorio acreditado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evaluación de biocompatibilidad</w:t>
      </w:r>
      <w:r>
        <w:t xml:space="preserve"> </w:t>
      </w:r>
      <w:r>
        <w:t xml:space="preserve">(ISO 10993-5, 10993-10)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testing de batería</w:t>
      </w:r>
      <w:r>
        <w:t xml:space="preserve"> </w:t>
      </w:r>
      <w:r>
        <w:t xml:space="preserve">(IEC 62133-2)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validación de software</w:t>
      </w:r>
      <w:r>
        <w:t xml:space="preserve"> </w:t>
      </w:r>
      <w:r>
        <w:t xml:space="preserve">(IEC 62304)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Risk Management File</w:t>
      </w:r>
      <w:r>
        <w:t xml:space="preserve"> </w:t>
      </w:r>
      <w:r>
        <w:t xml:space="preserve">(ISO 14971)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Realizar revisión bibliográfica</w:t>
      </w:r>
      <w:r>
        <w:t xml:space="preserve"> </w:t>
      </w:r>
      <w:r>
        <w:t xml:space="preserve">de evidencia clínica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Documentar métricas de rendimiento del módulo de IA</w:t>
      </w:r>
    </w:p>
    <w:bookmarkEnd w:id="26"/>
    <w:bookmarkStart w:id="27" w:name="selección-de-laboratorios"/>
    <w:p>
      <w:pPr>
        <w:pStyle w:val="Heading3"/>
      </w:pPr>
      <w:r>
        <w:t xml:space="preserve">2.2 Selección de Laboratorios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Laboratorios Recomendados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60601-1 + 1-2 + 2-47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Intertek, TÜV, UL, SGS, Bureau Veritas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$20,000–40,000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10993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Nelson Labs, NAMSA, WuXi AppTec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62133-2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Intertek, UL, TÜV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$3,000–8,000</w:t>
            </w:r>
          </w:p>
        </w:tc>
      </w:tr>
    </w:tbl>
    <w:bookmarkEnd w:id="27"/>
    <w:bookmarkStart w:id="28" w:name="entregables-1"/>
    <w:p>
      <w:pPr>
        <w:pStyle w:val="Heading3"/>
      </w:pPr>
      <w:r>
        <w:t xml:space="preserve">2.3 Entregables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seguridad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acreditado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acreditado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biocompatibilidad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acreditado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 File (resumen)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bibliográfica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de software y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paso-3-preparación-del-dossier-mes-36"/>
    <w:p>
      <w:pPr>
        <w:pStyle w:val="Heading2"/>
      </w:pPr>
      <w:r>
        <w:t xml:space="preserve">Paso 3: Preparación del Dossier (Mes 3–6)</w:t>
      </w:r>
    </w:p>
    <w:bookmarkStart w:id="30" w:name="acciones-2"/>
    <w:p>
      <w:pPr>
        <w:pStyle w:val="Heading3"/>
      </w:pPr>
      <w:r>
        <w:t xml:space="preserve">3.1 Acciones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descripción del dispositivo</w:t>
      </w:r>
      <w:r>
        <w:t xml:space="preserve"> </w:t>
      </w:r>
      <w:r>
        <w:t xml:space="preserve">en español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especificaciones técnicas</w:t>
      </w:r>
      <w:r>
        <w:t xml:space="preserve"> </w:t>
      </w:r>
      <w:r>
        <w:t xml:space="preserve">en español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indicaciones, contraindicaciones y advertencias</w:t>
      </w:r>
      <w:r>
        <w:t xml:space="preserve"> </w:t>
      </w:r>
      <w:r>
        <w:t xml:space="preserve">en español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Crear instrucciones de uso (IFU)</w:t>
      </w:r>
      <w:r>
        <w:t xml:space="preserve"> </w:t>
      </w:r>
      <w:r>
        <w:t xml:space="preserve">en español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Diseñar maquetas de etiquetado</w:t>
      </w:r>
      <w:r>
        <w:t xml:space="preserve"> </w:t>
      </w:r>
      <w:r>
        <w:t xml:space="preserve">en español (conforme a normativa)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declaración de conformidad</w:t>
      </w:r>
      <w:r>
        <w:t xml:space="preserve"> </w:t>
      </w:r>
      <w:r>
        <w:t xml:space="preserve">del fabricante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lista de componentes y accesorios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resumen de análisis de riesgos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Describir el software y módulo de IA</w:t>
      </w:r>
      <w:r>
        <w:t xml:space="preserve"> </w:t>
      </w:r>
      <w:r>
        <w:t xml:space="preserve">(funcionalidad, versiones, validación)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Traducir reportes de ensayo</w:t>
      </w:r>
      <w:r>
        <w:t xml:space="preserve"> </w:t>
      </w:r>
      <w:r>
        <w:t xml:space="preserve">(resúmenes ejecutivos en español)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Obtener Certificado de Libre Venta</w:t>
      </w:r>
      <w:r>
        <w:t xml:space="preserve"> </w:t>
      </w:r>
      <w:r>
        <w:t xml:space="preserve">del país de fabricación (apostillado)</w:t>
      </w:r>
    </w:p>
    <w:p>
      <w:pPr>
        <w:numPr>
          <w:ilvl w:val="1"/>
          <w:numId w:val="1005"/>
        </w:numPr>
        <w:pStyle w:val="Compact"/>
      </w:pPr>
      <w:r>
        <w:t xml:space="preserve">Si se tiene FDA clearance: incluir copia de la carta de clearance</w:t>
      </w:r>
    </w:p>
    <w:bookmarkEnd w:id="30"/>
    <w:bookmarkStart w:id="31" w:name="requisitos-de-traducción"/>
    <w:p>
      <w:pPr>
        <w:pStyle w:val="Heading3"/>
      </w:pPr>
      <w:r>
        <w:t xml:space="preserve">3.2 Requisitos de Traducción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oficial al español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al español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 de ensayo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ejecutivo en español (aceptable)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 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oficial o copia con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Poder del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oficial al español</w:t>
            </w:r>
          </w:p>
        </w:tc>
      </w:tr>
    </w:tbl>
    <w:bookmarkEnd w:id="31"/>
    <w:bookmarkStart w:id="32" w:name="costos-estimados-1"/>
    <w:p>
      <w:pPr>
        <w:pStyle w:val="Heading3"/>
      </w:pPr>
      <w:r>
        <w:t xml:space="preserve">3.3 Costos Estimados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Traducciones oficiales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de 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Consultoría regulatoria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paso-4-sometimiento-ante-invima-mes-67"/>
    <w:p>
      <w:pPr>
        <w:pStyle w:val="Heading2"/>
      </w:pPr>
      <w:r>
        <w:t xml:space="preserve">Paso 4: Sometimiento ante INVIMA (Mes 6–7)</w:t>
      </w:r>
    </w:p>
    <w:bookmarkStart w:id="34" w:name="acciones-3"/>
    <w:p>
      <w:pPr>
        <w:pStyle w:val="Heading3"/>
      </w:pPr>
      <w:r>
        <w:t xml:space="preserve">4.1 Acciones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Diligenciar formulario único</w:t>
      </w:r>
      <w:r>
        <w:t xml:space="preserve"> </w:t>
      </w:r>
      <w:r>
        <w:t xml:space="preserve">de registro sanitario en el portal INVIMA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Pagar tasa de evaluación</w:t>
      </w:r>
      <w:r>
        <w:t xml:space="preserve"> </w:t>
      </w:r>
      <w:r>
        <w:t xml:space="preserve">a INVIMA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expediente completo</w:t>
      </w:r>
      <w:r>
        <w:t xml:space="preserve"> </w:t>
      </w:r>
      <w:r>
        <w:t xml:space="preserve">en formato físico y/o digital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Radicar solicitud</w:t>
      </w:r>
      <w:r>
        <w:t xml:space="preserve"> </w:t>
      </w:r>
      <w:r>
        <w:t xml:space="preserve">ante INVIMA (ventanilla o plataforma en línea)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Obtener número de radicado</w:t>
      </w:r>
      <w:r>
        <w:t xml:space="preserve"> </w:t>
      </w:r>
      <w:r>
        <w:t xml:space="preserve">y conservar comprobante</w:t>
      </w:r>
    </w:p>
    <w:bookmarkEnd w:id="34"/>
    <w:bookmarkStart w:id="35" w:name="plataforma-de-radicación"/>
    <w:p>
      <w:pPr>
        <w:pStyle w:val="Heading3"/>
      </w:pPr>
      <w:r>
        <w:t xml:space="preserve">4.2 Plataforma de Radicación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Portal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https://www.invima.gov.co — Ventanilla Virtual de Radicación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de atención al usuario INVIMA, Bogotá</w:t>
            </w:r>
          </w:p>
        </w:tc>
      </w:tr>
    </w:tbl>
    <w:bookmarkEnd w:id="35"/>
    <w:bookmarkStart w:id="36" w:name="tasa-de-evaluación-invima-2026"/>
    <w:p>
      <w:pPr>
        <w:pStyle w:val="Heading3"/>
      </w:pPr>
      <w:r>
        <w:t xml:space="preserve">4.3 Tasa de Evaluación INVIMA (2026)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Aproximado (COP)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Aproximado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 registro sanitario 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$8,000,000–15,000,000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$2,000–4,000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Verificar la tasa vigente en la página de INVIMA al momento de la solicitud. Las tasas se actualizan anualmente.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so-5-evaluación-por-invima-mes-710"/>
    <w:p>
      <w:pPr>
        <w:pStyle w:val="Heading2"/>
      </w:pPr>
      <w:r>
        <w:t xml:space="preserve">Paso 5: Evaluación por INVIMA (Mes 7–10)</w:t>
      </w:r>
    </w:p>
    <w:bookmarkStart w:id="38" w:name="proceso-de-evaluación"/>
    <w:p>
      <w:pPr>
        <w:pStyle w:val="Heading3"/>
      </w:pPr>
      <w:r>
        <w:t xml:space="preserve">5.1 Proceso de Evaluación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Radicación           │</w:t>
      </w:r>
      <w:r>
        <w:br/>
      </w:r>
      <w:r>
        <w:rPr>
          <w:rStyle w:val="VerbatimChar"/>
        </w:rPr>
        <w:t xml:space="preserve">│ (Día 0)      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Asignación de        │</w:t>
      </w:r>
      <w:r>
        <w:br/>
      </w:r>
      <w:r>
        <w:rPr>
          <w:rStyle w:val="VerbatimChar"/>
        </w:rPr>
        <w:t xml:space="preserve">│ Evaluador (1–2 sem)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Evaluación           │──── ¿Información    ──▶ Requerimiento</w:t>
      </w:r>
      <w:r>
        <w:br/>
      </w:r>
      <w:r>
        <w:rPr>
          <w:rStyle w:val="VerbatimChar"/>
        </w:rPr>
        <w:t xml:space="preserve">│ Documental           │     completa?             de información</w:t>
      </w:r>
      <w:r>
        <w:br/>
      </w:r>
      <w:r>
        <w:rPr>
          <w:rStyle w:val="VerbatimChar"/>
        </w:rPr>
        <w:t xml:space="preserve">│ (30–60 días)         │                           (30 días para</w:t>
      </w:r>
      <w:r>
        <w:br/>
      </w:r>
      <w:r>
        <w:rPr>
          <w:rStyle w:val="VerbatimChar"/>
        </w:rPr>
        <w:t xml:space="preserve">└──────────┬──────────┘                            responder)</w:t>
      </w:r>
      <w:r>
        <w:br/>
      </w:r>
      <w:r>
        <w:rPr>
          <w:rStyle w:val="VerbatimChar"/>
        </w:rPr>
        <w:t xml:space="preserve">           │ Completa                                   │</w:t>
      </w:r>
      <w:r>
        <w:br/>
      </w:r>
      <w:r>
        <w:rPr>
          <w:rStyle w:val="VerbatimChar"/>
        </w:rPr>
        <w:t xml:space="preserve">           ▼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┌─────────────────────┐                                │</w:t>
      </w:r>
      <w:r>
        <w:br/>
      </w:r>
      <w:r>
        <w:rPr>
          <w:rStyle w:val="VerbatimChar"/>
        </w:rPr>
        <w:t xml:space="preserve">│ Concepto técnico     │◄───────────────────────────────┘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del evaluador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Resolución           │</w:t>
      </w:r>
      <w:r>
        <w:br/>
      </w:r>
      <w:r>
        <w:rPr>
          <w:rStyle w:val="VerbatimChar"/>
        </w:rPr>
        <w:t xml:space="preserve">│ (Aprobación/Rechazo)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 Aprobado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Emisión del          │</w:t>
      </w:r>
      <w:r>
        <w:br/>
      </w:r>
      <w:r>
        <w:rPr>
          <w:rStyle w:val="VerbatimChar"/>
        </w:rPr>
        <w:t xml:space="preserve">│ Registro Sanitario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38"/>
    <w:bookmarkStart w:id="39" w:name="acciones-durante-la-evaluación"/>
    <w:p>
      <w:pPr>
        <w:pStyle w:val="Heading3"/>
      </w:pPr>
      <w:r>
        <w:t xml:space="preserve">5.2 Acciones durante la Evaluación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Monitorear estado del trámite</w:t>
      </w:r>
      <w:r>
        <w:t xml:space="preserve"> </w:t>
      </w:r>
      <w:r>
        <w:t xml:space="preserve">en el portal INVIMA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Responder requerimientos de información</w:t>
      </w:r>
      <w:r>
        <w:t xml:space="preserve"> </w:t>
      </w:r>
      <w:r>
        <w:t xml:space="preserve">dentro de los 30 días hábiles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documentación complementaria</w:t>
      </w:r>
      <w:r>
        <w:t xml:space="preserve"> </w:t>
      </w:r>
      <w:r>
        <w:t xml:space="preserve">si es solicitada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Mantener comunicación</w:t>
      </w:r>
      <w:r>
        <w:t xml:space="preserve"> </w:t>
      </w:r>
      <w:r>
        <w:t xml:space="preserve">con el evaluador asignado (si es posible)</w:t>
      </w:r>
    </w:p>
    <w:bookmarkEnd w:id="39"/>
    <w:bookmarkStart w:id="40" w:name="requerimientos-comunes-de-invima"/>
    <w:p>
      <w:pPr>
        <w:pStyle w:val="Heading3"/>
      </w:pPr>
      <w:r>
        <w:t xml:space="preserve">5.3 Requerimientos Comunes de INVIMA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Prepararse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adicional del software/IA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documentación de IA lista con métricas de 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 de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Asegurar que los laboratorios sean acreditados (ILAC/ONAC)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Clarificación de indicaciones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Redactar indicaciones precisas y consistentes en todo el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clínica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revisión bibliográfica robusta + datos de V&amp;V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Traducción faltante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TODOS los documentos clave estén en español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paso-6-post-registro-continuo"/>
    <w:p>
      <w:pPr>
        <w:pStyle w:val="Heading2"/>
      </w:pPr>
      <w:r>
        <w:t xml:space="preserve">Paso 6: Post-Registro (Continuo)</w:t>
      </w:r>
    </w:p>
    <w:bookmarkStart w:id="42" w:name="acciones-inmediatas-post-registro"/>
    <w:p>
      <w:pPr>
        <w:pStyle w:val="Heading3"/>
      </w:pPr>
      <w:r>
        <w:t xml:space="preserve">6.1 Acciones Inmediatas Post-Registro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dispositivo</w:t>
      </w:r>
      <w:r>
        <w:t xml:space="preserve"> </w:t>
      </w:r>
      <w:r>
        <w:t xml:space="preserve">en el Programa Nacional de Tecnovigilancia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Implementar sistema de quejas</w:t>
      </w:r>
      <w:r>
        <w:t xml:space="preserve"> </w:t>
      </w:r>
      <w:r>
        <w:t xml:space="preserve">y reportes de eventos adversos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Capacitar al personal</w:t>
      </w:r>
      <w:r>
        <w:t xml:space="preserve"> </w:t>
      </w:r>
      <w:r>
        <w:t xml:space="preserve">del titular en procedimientos de tecnovigilancia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Iniciar comercialización</w:t>
      </w:r>
      <w:r>
        <w:t xml:space="preserve"> </w:t>
      </w:r>
      <w:r>
        <w:t xml:space="preserve">del dispositivo en Colombia</w:t>
      </w:r>
    </w:p>
    <w:bookmarkEnd w:id="42"/>
    <w:bookmarkStart w:id="43" w:name="obligaciones-continuas"/>
    <w:p>
      <w:pPr>
        <w:pStyle w:val="Heading3"/>
      </w:pPr>
      <w:r>
        <w:t xml:space="preserve">6.2 Obligaciones Continuas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eventos adversos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 72 horas (graves) / 10 días (no graves)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Res. 4816/2008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periódicos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solicitud de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Res. 4816/2008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Renovación del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10 años desde la emisión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4725/2005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Modificaciones al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haya cambios significativos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4725/2005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Mantenimiento de certificación 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Auditorías de seguimiento 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Actualización de 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haya cambios en el producto o regulación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4725/2005</w:t>
            </w:r>
          </w:p>
        </w:tc>
      </w:tr>
    </w:tbl>
    <w:bookmarkEnd w:id="43"/>
    <w:bookmarkStart w:id="44" w:name="Xe9fe29eb30f6616bd6a3be9299ae258bee9c795"/>
    <w:p>
      <w:pPr>
        <w:pStyle w:val="Heading3"/>
      </w:pPr>
      <w:r>
        <w:t xml:space="preserve">6.3 Clasificación de Modificaciones al Registro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Trámite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de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Modificación del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de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de uso previsto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menor (etiquetado, presentación)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Modificación del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Nueva versión de software (menor)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o modificación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significativo de software/IA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 impacto, posible nuevo registro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checklist-final"/>
    <w:p>
      <w:pPr>
        <w:pStyle w:val="Heading2"/>
      </w:pPr>
      <w:r>
        <w:t xml:space="preserve">Checklist Final</w:t>
      </w:r>
    </w:p>
    <w:bookmarkStart w:id="46" w:name="pre-sometimiento"/>
    <w:p>
      <w:pPr>
        <w:pStyle w:val="Heading3"/>
      </w:pPr>
      <w:r>
        <w:t xml:space="preserve">Pre-Sometimiento</w:t>
      </w:r>
    </w:p>
    <w:p>
      <w:pPr>
        <w:numPr>
          <w:ilvl w:val="0"/>
          <w:numId w:val="1009"/>
        </w:numPr>
        <w:pStyle w:val="Compact"/>
      </w:pPr>
      <w:r>
        <w:t xml:space="preserve">☐ Formulario único de registro sanitario diligenciado</w:t>
      </w:r>
    </w:p>
    <w:p>
      <w:pPr>
        <w:numPr>
          <w:ilvl w:val="0"/>
          <w:numId w:val="1009"/>
        </w:numPr>
        <w:pStyle w:val="Compact"/>
      </w:pPr>
      <w:r>
        <w:t xml:space="preserve">☐ Poder del fabricante (apostillado, traducido)</w:t>
      </w:r>
    </w:p>
    <w:p>
      <w:pPr>
        <w:numPr>
          <w:ilvl w:val="0"/>
          <w:numId w:val="1009"/>
        </w:numPr>
        <w:pStyle w:val="Compact"/>
      </w:pPr>
      <w:r>
        <w:t xml:space="preserve">☐ Certificado de existencia y representación legal (&lt; 90 días)</w:t>
      </w:r>
    </w:p>
    <w:p>
      <w:pPr>
        <w:numPr>
          <w:ilvl w:val="0"/>
          <w:numId w:val="1009"/>
        </w:numPr>
        <w:pStyle w:val="Compact"/>
      </w:pPr>
      <w:r>
        <w:t xml:space="preserve">☐ Certificado de libre venta o equivalente (apostillado, traducido)</w:t>
      </w:r>
    </w:p>
    <w:p>
      <w:pPr>
        <w:numPr>
          <w:ilvl w:val="0"/>
          <w:numId w:val="1009"/>
        </w:numPr>
        <w:pStyle w:val="Compact"/>
      </w:pPr>
      <w:r>
        <w:t xml:space="preserve">☐ Certificado ISO 13485 vigente (copia traducida)</w:t>
      </w:r>
    </w:p>
    <w:p>
      <w:pPr>
        <w:numPr>
          <w:ilvl w:val="0"/>
          <w:numId w:val="1009"/>
        </w:numPr>
        <w:pStyle w:val="Compact"/>
      </w:pPr>
      <w:r>
        <w:t xml:space="preserve">☐ Descripción del dispositivo en español</w:t>
      </w:r>
    </w:p>
    <w:p>
      <w:pPr>
        <w:numPr>
          <w:ilvl w:val="0"/>
          <w:numId w:val="1009"/>
        </w:numPr>
        <w:pStyle w:val="Compact"/>
      </w:pPr>
      <w:r>
        <w:t xml:space="preserve">☐ Especificaciones técnicas en español</w:t>
      </w:r>
    </w:p>
    <w:p>
      <w:pPr>
        <w:numPr>
          <w:ilvl w:val="0"/>
          <w:numId w:val="1009"/>
        </w:numPr>
        <w:pStyle w:val="Compact"/>
      </w:pPr>
      <w:r>
        <w:t xml:space="preserve">☐ Uso previsto, indicaciones y contraindicaciones en español</w:t>
      </w:r>
    </w:p>
    <w:p>
      <w:pPr>
        <w:numPr>
          <w:ilvl w:val="0"/>
          <w:numId w:val="1009"/>
        </w:numPr>
        <w:pStyle w:val="Compact"/>
      </w:pPr>
      <w:r>
        <w:t xml:space="preserve">☐ Instrucciones de uso (IFU) completas en español</w:t>
      </w:r>
    </w:p>
    <w:p>
      <w:pPr>
        <w:numPr>
          <w:ilvl w:val="0"/>
          <w:numId w:val="1009"/>
        </w:numPr>
        <w:pStyle w:val="Compact"/>
      </w:pPr>
      <w:r>
        <w:t xml:space="preserve">☐ Maquetas de etiquetado en español</w:t>
      </w:r>
    </w:p>
    <w:p>
      <w:pPr>
        <w:numPr>
          <w:ilvl w:val="0"/>
          <w:numId w:val="1009"/>
        </w:numPr>
        <w:pStyle w:val="Compact"/>
      </w:pPr>
      <w:r>
        <w:t xml:space="preserve">☐ Reportes de ensayo (IEC 60601-1, -1-2, -2-47, ISO 10993, IEC 62133-2)</w:t>
      </w:r>
    </w:p>
    <w:p>
      <w:pPr>
        <w:numPr>
          <w:ilvl w:val="0"/>
          <w:numId w:val="1009"/>
        </w:numPr>
        <w:pStyle w:val="Compact"/>
      </w:pPr>
      <w:r>
        <w:t xml:space="preserve">☐ Resumen del Risk Management File</w:t>
      </w:r>
    </w:p>
    <w:p>
      <w:pPr>
        <w:numPr>
          <w:ilvl w:val="0"/>
          <w:numId w:val="1009"/>
        </w:numPr>
        <w:pStyle w:val="Compact"/>
      </w:pPr>
      <w:r>
        <w:t xml:space="preserve">☐ Documentación de software y módulo de IA</w:t>
      </w:r>
    </w:p>
    <w:p>
      <w:pPr>
        <w:numPr>
          <w:ilvl w:val="0"/>
          <w:numId w:val="1009"/>
        </w:numPr>
        <w:pStyle w:val="Compact"/>
      </w:pPr>
      <w:r>
        <w:t xml:space="preserve">☐ Evidencia clínica (revisión bibliográfica)</w:t>
      </w:r>
    </w:p>
    <w:p>
      <w:pPr>
        <w:numPr>
          <w:ilvl w:val="0"/>
          <w:numId w:val="1009"/>
        </w:numPr>
        <w:pStyle w:val="Compact"/>
      </w:pPr>
      <w:r>
        <w:t xml:space="preserve">☐ Declaración de conformidad del fabricante</w:t>
      </w:r>
    </w:p>
    <w:p>
      <w:pPr>
        <w:numPr>
          <w:ilvl w:val="0"/>
          <w:numId w:val="1009"/>
        </w:numPr>
        <w:pStyle w:val="Compact"/>
      </w:pPr>
      <w:r>
        <w:t xml:space="preserve">☐ Carta de responsabilidad del titular</w:t>
      </w:r>
    </w:p>
    <w:p>
      <w:pPr>
        <w:numPr>
          <w:ilvl w:val="0"/>
          <w:numId w:val="1009"/>
        </w:numPr>
        <w:pStyle w:val="Compact"/>
      </w:pPr>
      <w:r>
        <w:t xml:space="preserve">☐ Recibo de pago de la tasa INVIMA</w:t>
      </w:r>
    </w:p>
    <w:p>
      <w:pPr>
        <w:numPr>
          <w:ilvl w:val="0"/>
          <w:numId w:val="1009"/>
        </w:numPr>
        <w:pStyle w:val="Compact"/>
      </w:pPr>
      <w:r>
        <w:t xml:space="preserve">☐ Expediente compilado y organizado</w:t>
      </w:r>
    </w:p>
    <w:bookmarkEnd w:id="46"/>
    <w:bookmarkStart w:id="47" w:name="post-aprobación"/>
    <w:p>
      <w:pPr>
        <w:pStyle w:val="Heading3"/>
      </w:pPr>
      <w:r>
        <w:t xml:space="preserve">Post-Aprobación</w:t>
      </w:r>
    </w:p>
    <w:p>
      <w:pPr>
        <w:numPr>
          <w:ilvl w:val="0"/>
          <w:numId w:val="1010"/>
        </w:numPr>
        <w:pStyle w:val="Compact"/>
      </w:pPr>
      <w:r>
        <w:t xml:space="preserve">☐ Registro en Programa Nacional de Tecnovigilancia</w:t>
      </w:r>
    </w:p>
    <w:p>
      <w:pPr>
        <w:numPr>
          <w:ilvl w:val="0"/>
          <w:numId w:val="1010"/>
        </w:numPr>
        <w:pStyle w:val="Compact"/>
      </w:pPr>
      <w:r>
        <w:t xml:space="preserve">☐ Sistema de quejas y eventos adversos implementado</w:t>
      </w:r>
    </w:p>
    <w:p>
      <w:pPr>
        <w:numPr>
          <w:ilvl w:val="0"/>
          <w:numId w:val="1010"/>
        </w:numPr>
        <w:pStyle w:val="Compact"/>
      </w:pPr>
      <w:r>
        <w:t xml:space="preserve">☐ Responsable de tecnovigilancia designado y capacitado</w:t>
      </w:r>
    </w:p>
    <w:p>
      <w:pPr>
        <w:numPr>
          <w:ilvl w:val="0"/>
          <w:numId w:val="1010"/>
        </w:numPr>
        <w:pStyle w:val="Compact"/>
      </w:pPr>
      <w:r>
        <w:t xml:space="preserve">☐ Recordatorio de renovación configurado (10 años)</w:t>
      </w:r>
    </w:p>
    <w:p>
      <w:pPr>
        <w:numPr>
          <w:ilvl w:val="0"/>
          <w:numId w:val="1010"/>
        </w:numPr>
        <w:pStyle w:val="Compact"/>
      </w:pPr>
      <w:r>
        <w:t xml:space="preserve">☐ Distribuidores/importadores informados del nuevo registro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cursos-y-contactos"/>
    <w:p>
      <w:pPr>
        <w:pStyle w:val="Heading2"/>
      </w:pPr>
      <w:r>
        <w:t xml:space="preserve">Recursos y Contactos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INVIMA — Portal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https://www.invima.gov.co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INVIMA — Trámites en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https://tramites.invima.gov.co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INVIMA — Consulta de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https://www.invima.gov.co/consultas-registros-sanitarios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 Nacional de Tecnovigilancia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https://www.invima.gov.co/tecnovigilancia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Normatividad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4725 de 2005, Resolución 4002 de 2007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de atención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+57 (1) 2948700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2026-05-16T17:36:06Z</dcterms:created>
  <dcterms:modified xsi:type="dcterms:W3CDTF">2026-05-16T17:36:06Z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