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9bce799ecaa2c6c7da6ff35df32426bfbd52628"/>
    <w:p>
      <w:pPr>
        <w:pStyle w:val="Heading1"/>
      </w:pPr>
      <w:r>
        <w:t xml:space="preserve">HORIZON MEDICAL — Guía Paso a Paso: EMA/MDR CE Marking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HM-REG-008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2017/745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IIb (conservador)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Conformity Assessment vía Organismo Notificado (Annex 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estimado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12–24 meses (post-preparación)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$181,000–393,000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Vigencia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 (renovable)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imeline-visual"/>
    <w:p>
      <w:pPr>
        <w:pStyle w:val="Heading2"/>
      </w:pPr>
      <w:r>
        <w:t xml:space="preserve">Timeline Visual</w:t>
      </w:r>
    </w:p>
    <w:p>
      <w:pPr>
        <w:pStyle w:val="SourceCode"/>
      </w:pPr>
      <w:r>
        <w:rPr>
          <w:rStyle w:val="VerbatimChar"/>
        </w:rPr>
        <w:t xml:space="preserve">Mes:  1     2     3     4     5     6     7     8     9     10    11    12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NB    ████████████</w:t>
      </w:r>
      <w:r>
        <w:br/>
      </w:r>
      <w:r>
        <w:rPr>
          <w:rStyle w:val="VerbatimChar"/>
        </w:rPr>
        <w:t xml:space="preserve">      Selección + Contrato con Organismo Notificado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ECREP ████</w:t>
      </w:r>
      <w:r>
        <w:br/>
      </w:r>
      <w:r>
        <w:rPr>
          <w:rStyle w:val="VerbatimChar"/>
        </w:rPr>
        <w:t xml:space="preserve">      Designar EC REP + PRRC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TD    │     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│     Preparación Technical Documentation + CER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br/>
      </w:r>
      <w:r>
        <w:rPr>
          <w:rStyle w:val="VerbatimChar"/>
        </w:rPr>
        <w:t xml:space="preserve">Mes:  13    14    15    16    17    18    19    20    21    22    23    24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SUBM  ████</w:t>
      </w:r>
      <w:r>
        <w:br/>
      </w:r>
      <w:r>
        <w:rPr>
          <w:rStyle w:val="VerbatimChar"/>
        </w:rPr>
        <w:t xml:space="preserve">      Envío TD al NB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DOC   │     ████████████████████</w:t>
      </w:r>
      <w:r>
        <w:br/>
      </w:r>
      <w:r>
        <w:rPr>
          <w:rStyle w:val="VerbatimChar"/>
        </w:rPr>
        <w:t xml:space="preserve">      │     NB Document Review + Observations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AUDIT │     │     │     │     │     ████████</w:t>
      </w:r>
      <w:r>
        <w:br/>
      </w:r>
      <w:r>
        <w:rPr>
          <w:rStyle w:val="VerbatimChar"/>
        </w:rPr>
        <w:t xml:space="preserve">      │     │     │     │     │     QMS Audit (on-site)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RESP  │     │     │     │     │     │     │     ████████</w:t>
      </w:r>
      <w:r>
        <w:br/>
      </w:r>
      <w:r>
        <w:rPr>
          <w:rStyle w:val="VerbatimChar"/>
        </w:rPr>
        <w:t xml:space="preserve">      │     │     │     │     │     │     │     Respuesta a NCs + Re-review</w:t>
      </w:r>
      <w:r>
        <w:br/>
      </w:r>
      <w:r>
        <w:rPr>
          <w:rStyle w:val="VerbatimChar"/>
        </w:rPr>
        <w:t xml:space="preserve">      │     │     │     │     │     │     │     │     │     │     │     │</w:t>
      </w:r>
      <w:r>
        <w:br/>
      </w:r>
      <w:r>
        <w:rPr>
          <w:rStyle w:val="VerbatimChar"/>
        </w:rPr>
        <w:t xml:space="preserve">CERT  │     │     │     │     │     │     │     │     │     │     ████████</w:t>
      </w:r>
      <w:r>
        <w:br/>
      </w:r>
      <w:r>
        <w:rPr>
          <w:rStyle w:val="VerbatimChar"/>
        </w:rPr>
        <w:t xml:space="preserve">      │     │     │     │     │     │     │     │     │     │     CE Certificate</w:t>
      </w:r>
    </w:p>
    <w:p>
      <w:r>
        <w:pict>
          <v:rect style="width:0;height:1.5pt" o:hralign="center" o:hrstd="t" o:hr="t"/>
        </w:pict>
      </w:r>
    </w:p>
    <w:bookmarkEnd w:id="21"/>
    <w:bookmarkStart w:id="25" w:name="X88a81c56766677035352690e43be42206b036da"/>
    <w:p>
      <w:pPr>
        <w:pStyle w:val="Heading2"/>
      </w:pPr>
      <w:r>
        <w:t xml:space="preserve">Paso 1: Designar Representante en la UE (Mes 1)</w:t>
      </w:r>
    </w:p>
    <w:bookmarkStart w:id="22" w:name="acciones"/>
    <w:p>
      <w:pPr>
        <w:pStyle w:val="Heading3"/>
      </w:pPr>
      <w:r>
        <w:t xml:space="preserve">1.1 Acciones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Designar EC REP (Authorized Representative)</w:t>
      </w:r>
      <w:r>
        <w:t xml:space="preserve"> </w:t>
      </w:r>
      <w:r>
        <w:t xml:space="preserve">en un Estado Miembro de la UE</w:t>
      </w:r>
    </w:p>
    <w:p>
      <w:pPr>
        <w:numPr>
          <w:ilvl w:val="1"/>
          <w:numId w:val="1002"/>
        </w:numPr>
        <w:pStyle w:val="Compact"/>
      </w:pPr>
      <w:r>
        <w:t xml:space="preserve">Obligatorio para fabricantes fuera de la UE (MDR Art. 11)</w:t>
      </w:r>
    </w:p>
    <w:p>
      <w:pPr>
        <w:numPr>
          <w:ilvl w:val="1"/>
          <w:numId w:val="1002"/>
        </w:numPr>
        <w:pStyle w:val="Compact"/>
      </w:pPr>
      <w:r>
        <w:t xml:space="preserve">El EC REP actúa como punto de contacto para autoridades competentes</w:t>
      </w:r>
    </w:p>
    <w:p>
      <w:pPr>
        <w:numPr>
          <w:ilvl w:val="1"/>
          <w:numId w:val="1002"/>
        </w:numPr>
        <w:pStyle w:val="Compact"/>
      </w:pPr>
      <w:r>
        <w:t xml:space="preserve">Debe estar establecido en un Estado Miembro de la UE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Designar Person Responsible for Regulatory Compliance (PRRC)</w:t>
      </w:r>
    </w:p>
    <w:p>
      <w:pPr>
        <w:numPr>
          <w:ilvl w:val="1"/>
          <w:numId w:val="1003"/>
        </w:numPr>
        <w:pStyle w:val="Compact"/>
      </w:pPr>
      <w:r>
        <w:t xml:space="preserve">Obligatorio bajo MDR Art. 15</w:t>
      </w:r>
    </w:p>
    <w:p>
      <w:pPr>
        <w:numPr>
          <w:ilvl w:val="1"/>
          <w:numId w:val="1003"/>
        </w:numPr>
        <w:pStyle w:val="Compact"/>
      </w:pPr>
      <w:r>
        <w:t xml:space="preserve">Debe tener calificaciones y experiencia relevante</w:t>
      </w:r>
    </w:p>
    <w:p>
      <w:pPr>
        <w:numPr>
          <w:ilvl w:val="1"/>
          <w:numId w:val="1003"/>
        </w:numPr>
        <w:pStyle w:val="Compact"/>
      </w:pPr>
      <w:r>
        <w:t xml:space="preserve">Puede ser empleado del fabricante o del EC REP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Firmar contrato con EC REP</w:t>
      </w:r>
      <w:r>
        <w:t xml:space="preserve"> </w:t>
      </w:r>
      <w:r>
        <w:t xml:space="preserve">que cubra responsabilidades MDR</w:t>
      </w:r>
    </w:p>
    <w:bookmarkEnd w:id="22"/>
    <w:bookmarkStart w:id="23" w:name="proveedores-de-ec-rep"/>
    <w:p>
      <w:pPr>
        <w:pStyle w:val="Heading3"/>
      </w:pPr>
      <w:r>
        <w:t xml:space="preserve">1.2 Proveedores de EC REP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EMERGO by 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 REP + regulatory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MedTech Europe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 REP + NB liaison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 REP + regulatory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 REP + quality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 REP services</w:t>
            </w:r>
          </w:p>
        </w:tc>
      </w:tr>
    </w:tbl>
    <w:bookmarkEnd w:id="23"/>
    <w:bookmarkStart w:id="24" w:name="costos"/>
    <w:p>
      <w:pPr>
        <w:pStyle w:val="Heading3"/>
      </w:pPr>
      <w:r>
        <w:t xml:space="preserve">1.3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Anual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PRRC (si externo)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$3,000–8,000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Xb259a8adb1b6dbbe8938d764959d34506618904"/>
    <w:p>
      <w:pPr>
        <w:pStyle w:val="Heading2"/>
      </w:pPr>
      <w:r>
        <w:t xml:space="preserve">Paso 2: Seleccionar Organismo Notificado (Mes 1–3)</w:t>
      </w:r>
    </w:p>
    <w:bookmarkStart w:id="26" w:name="acciones-1"/>
    <w:p>
      <w:pPr>
        <w:pStyle w:val="Heading3"/>
      </w:pPr>
      <w:r>
        <w:t xml:space="preserve">2.1 Acciones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Investigar NBs designados bajo MDR</w:t>
      </w:r>
      <w:r>
        <w:t xml:space="preserve"> </w:t>
      </w:r>
      <w:r>
        <w:t xml:space="preserve">para el alcance de tu dispositivo</w:t>
      </w:r>
    </w:p>
    <w:p>
      <w:pPr>
        <w:numPr>
          <w:ilvl w:val="1"/>
          <w:numId w:val="1005"/>
        </w:numPr>
        <w:pStyle w:val="Compact"/>
      </w:pPr>
      <w:r>
        <w:t xml:space="preserve">Lista oficial: https://ec.europa.eu/growth/tools-databases/nando/</w:t>
      </w:r>
    </w:p>
    <w:p>
      <w:pPr>
        <w:numPr>
          <w:ilvl w:val="1"/>
          <w:numId w:val="1005"/>
        </w:numPr>
        <w:pStyle w:val="Compact"/>
      </w:pPr>
      <w:r>
        <w:t xml:space="preserve">Filtrar por: MDR 2017/745, dispositivos activos, software médico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Solicitar cotizaciones</w:t>
      </w:r>
      <w:r>
        <w:t xml:space="preserve"> </w:t>
      </w:r>
      <w:r>
        <w:t xml:space="preserve">a 3–5 NBs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Evaluar NBs</w:t>
      </w:r>
      <w:r>
        <w:t xml:space="preserve"> </w:t>
      </w:r>
      <w:r>
        <w:t xml:space="preserve">según criterios (experiencia, capacidad, costo, timeline)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Seleccionar NB</w:t>
      </w:r>
      <w:r>
        <w:t xml:space="preserve"> </w:t>
      </w:r>
      <w:r>
        <w:t xml:space="preserve">y firmar contrato (Application Agreement)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Enviar Application Form</w:t>
      </w:r>
      <w:r>
        <w:t xml:space="preserve"> </w:t>
      </w:r>
      <w:r>
        <w:t xml:space="preserve">al NB con descripción del dispositivo</w:t>
      </w:r>
    </w:p>
    <w:bookmarkEnd w:id="26"/>
    <w:bookmarkStart w:id="27" w:name="criterios-de-selección"/>
    <w:p>
      <w:pPr>
        <w:pStyle w:val="Heading3"/>
      </w:pPr>
      <w:r>
        <w:t xml:space="preserve">2.2 Criterios de Selección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Experiencia en dispositivos cardiovasculares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Experiencia en software/IA como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estimado (backlog 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total (auditoría + certificación + vigilancia)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 y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Reputación y referencias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27"/>
    <w:bookmarkStart w:id="28" w:name="nota-crítica-backlog-de-nbs"/>
    <w:p>
      <w:pPr>
        <w:pStyle w:val="Heading3"/>
      </w:pPr>
      <w:r>
        <w:t xml:space="preserve">2.3 ⚠️ Nota Crítica: Backlog de NBs</w:t>
      </w:r>
    </w:p>
    <w:p>
      <w:pPr>
        <w:pStyle w:val="FirstParagraph"/>
      </w:pPr>
      <w:r>
        <w:t xml:space="preserve">Debido al MDR, muchos NBs tienen</w:t>
      </w:r>
      <w:r>
        <w:t xml:space="preserve"> </w:t>
      </w:r>
      <w:r>
        <w:rPr>
          <w:bCs/>
          <w:b/>
        </w:rPr>
        <w:t xml:space="preserve">backlogs significativos</w:t>
      </w:r>
      <w:r>
        <w:t xml:space="preserve"> </w:t>
      </w:r>
      <w:r>
        <w:t xml:space="preserve">(6–18 meses de espera). Es esencial iniciar la selección lo antes posible. Considerar:</w:t>
      </w:r>
      <w:r>
        <w:t xml:space="preserve"> </w:t>
      </w:r>
      <w:r>
        <w:t xml:space="preserve">- Aplicar a NBs con menor backlog (verificar en NANDO)</w:t>
      </w:r>
      <w:r>
        <w:t xml:space="preserve"> </w:t>
      </w:r>
      <w:r>
        <w:t xml:space="preserve">- Tener toda la documentación lista antes de la auditoría</w:t>
      </w:r>
      <w:r>
        <w:t xml:space="preserve"> </w:t>
      </w:r>
      <w:r>
        <w:t xml:space="preserve">- Comunicación proactiva con el NB</w:t>
      </w:r>
    </w:p>
    <w:bookmarkEnd w:id="28"/>
    <w:bookmarkStart w:id="29" w:name="costos-1"/>
    <w:p>
      <w:pPr>
        <w:pStyle w:val="Heading3"/>
      </w:pPr>
      <w:r>
        <w:t xml:space="preserve">2.4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 Application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 Document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 QMS Audit (on-site)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$8,000–20,000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 Certification (initial)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 Surveillance Audit (anual)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NB (Year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$30,000–60,000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Xbb635121977be11ad3e5cf552897a86715ae74d"/>
    <w:p>
      <w:pPr>
        <w:pStyle w:val="Heading2"/>
      </w:pPr>
      <w:r>
        <w:t xml:space="preserve">Paso 3: Preparar Technical Documentation (Mes 2–12)</w:t>
      </w:r>
    </w:p>
    <w:bookmarkStart w:id="31" w:name="X78237989bf267b86ddbf62627b356ff6de0012b"/>
    <w:p>
      <w:pPr>
        <w:pStyle w:val="Heading3"/>
      </w:pPr>
      <w:r>
        <w:t xml:space="preserve">3.1 Estructura de la Technical Documentation (MDR Annex II)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Device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clasificación, generaciones, componentes, materiales, accesorios, configuraciones,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Information by 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Labeling + IFU en todos los idiomas de comercialización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Design &amp;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manufactura, diagrama de flujo, proveedores, validación de 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Production/QA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GSPRs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de General Safety &amp; Performance Requirements con normas armonizadas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Regulatory/QA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Benefit-Risk &amp;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File (ISO 14971), análisis beneficio-riesgo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QA/Clinical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6a. Verification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 testing (safety, EMC, bio), software V&amp;V, 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6b. Clinical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Evaluation Report (CER) + PMCF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1"/>
    <w:bookmarkStart w:id="32" w:name="gsprs-checklist"/>
    <w:p>
      <w:pPr>
        <w:pStyle w:val="Heading3"/>
      </w:pPr>
      <w:r>
        <w:t xml:space="preserve">3.2 GSPRs Checklist</w:t>
      </w:r>
    </w:p>
    <w:p>
      <w:pPr>
        <w:pStyle w:val="FirstParagraph"/>
      </w:pPr>
      <w:r>
        <w:t xml:space="preserve">La documentación técnica debe incluir un</w:t>
      </w:r>
      <w:r>
        <w:t xml:space="preserve"> </w:t>
      </w:r>
      <w:r>
        <w:rPr>
          <w:bCs/>
          <w:b/>
        </w:rPr>
        <w:t xml:space="preserve">checklist completo de los Requisitos Generales de Seguridad y Rendimiento</w:t>
      </w:r>
      <w:r>
        <w:t xml:space="preserve"> </w:t>
      </w:r>
      <w:r>
        <w:t xml:space="preserve">(MDR Annex I) indicando para cada requisito:</w:t>
      </w:r>
      <w:r>
        <w:t xml:space="preserve"> </w:t>
      </w:r>
      <w:r>
        <w:t xml:space="preserve">- Si aplica o no al dispositivo</w:t>
      </w:r>
      <w:r>
        <w:t xml:space="preserve"> </w:t>
      </w:r>
      <w:r>
        <w:t xml:space="preserve">- Qué norma armonizada se usa para demostrar conformidad</w:t>
      </w:r>
      <w:r>
        <w:t xml:space="preserve"> </w:t>
      </w:r>
      <w:r>
        <w:t xml:space="preserve">- Dónde está la evidencia de conformidad en la TD</w:t>
      </w:r>
      <w:r>
        <w:t xml:space="preserve"> </w:t>
      </w:r>
      <w:r>
        <w:t xml:space="preserve">- Si existen desviaciones y su justificación</w:t>
      </w:r>
    </w:p>
    <w:bookmarkEnd w:id="32"/>
    <w:bookmarkStart w:id="33" w:name="acciones-de-documentación"/>
    <w:p>
      <w:pPr>
        <w:pStyle w:val="Heading3"/>
      </w:pPr>
      <w:r>
        <w:t xml:space="preserve">3.3 Acciones de Documentación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Device Description</w:t>
      </w:r>
      <w:r>
        <w:t xml:space="preserve"> </w:t>
      </w:r>
      <w:r>
        <w:t xml:space="preserve">con todas las variantes y accesorios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IFU</w:t>
      </w:r>
      <w:r>
        <w:t xml:space="preserve"> </w:t>
      </w:r>
      <w:r>
        <w:t xml:space="preserve">en los idiomas de los Estados Miembros donde se comercializará</w:t>
      </w:r>
    </w:p>
    <w:p>
      <w:pPr>
        <w:numPr>
          <w:ilvl w:val="1"/>
          <w:numId w:val="1007"/>
        </w:numPr>
        <w:pStyle w:val="Compact"/>
      </w:pPr>
      <w:r>
        <w:t xml:space="preserve">Mínimo: inglés, alemán, francés, español, italiano, portugués</w:t>
      </w:r>
    </w:p>
    <w:p>
      <w:pPr>
        <w:numPr>
          <w:ilvl w:val="1"/>
          <w:numId w:val="1007"/>
        </w:numPr>
        <w:pStyle w:val="Compact"/>
      </w:pPr>
      <w:r>
        <w:t xml:space="preserve">Considerar: holandés, sueco, polaco, según mercados objetivo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Documentar proceso de manufactura</w:t>
      </w:r>
      <w:r>
        <w:t xml:space="preserve"> </w:t>
      </w:r>
      <w:r>
        <w:t xml:space="preserve">con diagrama de flujo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Completar GSPRs checklist</w:t>
      </w:r>
      <w:r>
        <w:t xml:space="preserve"> </w:t>
      </w:r>
      <w:r>
        <w:t xml:space="preserve">con referencias cruzadas a normas y evidencia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Risk Management File</w:t>
      </w:r>
      <w:r>
        <w:t xml:space="preserve"> </w:t>
      </w:r>
      <w:r>
        <w:t xml:space="preserve">según ISO 14971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todos los reportes de V&amp;V</w:t>
      </w:r>
      <w:r>
        <w:t xml:space="preserve"> </w:t>
      </w:r>
      <w:r>
        <w:t xml:space="preserve">(safety, EMC, bio, software, AI, cyber)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Clinical Evaluation Report</w:t>
      </w:r>
      <w:r>
        <w:t xml:space="preserve"> </w:t>
      </w:r>
      <w:r>
        <w:t xml:space="preserve">(CER) — ver Paso 4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PMS Plan</w:t>
      </w:r>
      <w:r>
        <w:t xml:space="preserve"> </w:t>
      </w:r>
      <w:r>
        <w:t xml:space="preserve">(MDR Art. 84)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PMCF Plan</w:t>
      </w:r>
      <w:r>
        <w:t xml:space="preserve"> </w:t>
      </w:r>
      <w:r>
        <w:t xml:space="preserve">(MDR Annex XIV Part B)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5d193c841db37919ea75a8034c5d043946ec842"/>
    <w:p>
      <w:pPr>
        <w:pStyle w:val="Heading2"/>
      </w:pPr>
      <w:r>
        <w:t xml:space="preserve">Paso 4: Preparar Clinical Evaluation Report (Mes 4–12)</w:t>
      </w:r>
    </w:p>
    <w:bookmarkStart w:id="35" w:name="acciones-2"/>
    <w:p>
      <w:pPr>
        <w:pStyle w:val="Heading3"/>
      </w:pPr>
      <w:r>
        <w:t xml:space="preserve">4.1 Acciones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Clinical Evaluation Plan (CEP)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Ejecutar búsqueda sistemática de literatura</w:t>
      </w:r>
      <w:r>
        <w:t xml:space="preserve"> </w:t>
      </w:r>
      <w:r>
        <w:t xml:space="preserve">en PubMed, Cochrane, Embase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Evaluar (appraise) cada artículo</w:t>
      </w:r>
      <w:r>
        <w:t xml:space="preserve"> </w:t>
      </w:r>
      <w:r>
        <w:t xml:space="preserve">por relevancia y calidad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Analizar datos de equivalencia</w:t>
      </w:r>
      <w:r>
        <w:t xml:space="preserve"> </w:t>
      </w:r>
      <w:r>
        <w:t xml:space="preserve">técnica, biológica y clínica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datos propios</w:t>
      </w:r>
      <w:r>
        <w:t xml:space="preserve"> </w:t>
      </w:r>
      <w:r>
        <w:t xml:space="preserve">del dispositivo (V&amp;V, AI validation, usability)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análisis de seguridad</w:t>
      </w:r>
      <w:r>
        <w:t xml:space="preserve"> </w:t>
      </w:r>
      <w:r>
        <w:t xml:space="preserve">(safety analysis)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análisis de rendimiento</w:t>
      </w:r>
      <w:r>
        <w:t xml:space="preserve"> </w:t>
      </w:r>
      <w:r>
        <w:t xml:space="preserve">(performance analysis)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análisis beneficio-riesgo</w:t>
      </w:r>
      <w:r>
        <w:t xml:space="preserve"> </w:t>
      </w:r>
      <w:r>
        <w:t xml:space="preserve">(benefit-risk analysis)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Compilar CER</w:t>
      </w:r>
      <w:r>
        <w:t xml:space="preserve"> </w:t>
      </w:r>
      <w:r>
        <w:t xml:space="preserve">según MEDDEV 2.7/1 Rev 4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Revisión por evaluador clínico calificado</w:t>
      </w:r>
      <w:r>
        <w:t xml:space="preserve"> </w:t>
      </w:r>
      <w:r>
        <w:t xml:space="preserve">(médico con experiencia)</w:t>
      </w:r>
    </w:p>
    <w:bookmarkEnd w:id="35"/>
    <w:bookmarkStart w:id="36" w:name="consideraciones-especiales-bajo-mdr"/>
    <w:p>
      <w:pPr>
        <w:pStyle w:val="Heading3"/>
      </w:pPr>
      <w:r>
        <w:t xml:space="preserve">4.2 Consideraciones Especiales bajo MDR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MDD (anterior)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(actual)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Estricta — requiere acceso a datos del equivalente si fabricante diferente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Evaluador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especificado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tener calificaciones y experiencia demostradas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 en muchos 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 para todos (excepto Clase I de bajo riesgo)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Actualización del 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frecuente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(al menos anual para IIb)</w:t>
            </w:r>
          </w:p>
        </w:tc>
      </w:tr>
    </w:tbl>
    <w:bookmarkEnd w:id="36"/>
    <w:bookmarkStart w:id="37" w:name="costos-2"/>
    <w:p>
      <w:pPr>
        <w:pStyle w:val="Heading3"/>
      </w:pPr>
      <w:r>
        <w:t xml:space="preserve">4.3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 CER / Clinical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$15,000–40,000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Literature search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of CER (si necesario)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$3,000–8,000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paso-5-preparar-pms-y-pmcf-mes-812"/>
    <w:p>
      <w:pPr>
        <w:pStyle w:val="Heading2"/>
      </w:pPr>
      <w:r>
        <w:t xml:space="preserve">Paso 5: Preparar PMS y PMCF (Mes 8–12)</w:t>
      </w:r>
    </w:p>
    <w:bookmarkStart w:id="39" w:name="post-market-surveillance-pms-plan"/>
    <w:p>
      <w:pPr>
        <w:pStyle w:val="Heading3"/>
      </w:pPr>
      <w:r>
        <w:t xml:space="preserve">5.1 Post-Market Surveillance (PMS) Plan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Definir fuentes de datos PMS:</w:t>
      </w:r>
    </w:p>
    <w:p>
      <w:pPr>
        <w:numPr>
          <w:ilvl w:val="1"/>
          <w:numId w:val="1010"/>
        </w:numPr>
        <w:pStyle w:val="Compact"/>
      </w:pPr>
      <w:r>
        <w:t xml:space="preserve">Complaints y feedback de usuarios</w:t>
      </w:r>
    </w:p>
    <w:p>
      <w:pPr>
        <w:numPr>
          <w:ilvl w:val="1"/>
          <w:numId w:val="1010"/>
        </w:numPr>
        <w:pStyle w:val="Compact"/>
      </w:pPr>
      <w:r>
        <w:t xml:space="preserve">Vigilance reports (propios y de la industria)</w:t>
      </w:r>
    </w:p>
    <w:p>
      <w:pPr>
        <w:numPr>
          <w:ilvl w:val="1"/>
          <w:numId w:val="1010"/>
        </w:numPr>
        <w:pStyle w:val="Compact"/>
      </w:pPr>
      <w:r>
        <w:t xml:space="preserve">Literature monitoring</w:t>
      </w:r>
    </w:p>
    <w:p>
      <w:pPr>
        <w:numPr>
          <w:ilvl w:val="1"/>
          <w:numId w:val="1010"/>
        </w:numPr>
        <w:pStyle w:val="Compact"/>
      </w:pPr>
      <w:r>
        <w:t xml:space="preserve">PMCF data</w:t>
      </w:r>
    </w:p>
    <w:p>
      <w:pPr>
        <w:numPr>
          <w:ilvl w:val="1"/>
          <w:numId w:val="1010"/>
        </w:numPr>
        <w:pStyle w:val="Compact"/>
      </w:pPr>
      <w:r>
        <w:t xml:space="preserve">Datos de servicio técnico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Definir frecuencia de análisis</w:t>
      </w:r>
      <w:r>
        <w:t xml:space="preserve"> </w:t>
      </w:r>
      <w:r>
        <w:t xml:space="preserve">y reporte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Definir responsabilidades</w:t>
      </w:r>
      <w:r>
        <w:t xml:space="preserve"> </w:t>
      </w:r>
      <w:r>
        <w:t xml:space="preserve">y flujos de escalación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template de PSUR</w:t>
      </w:r>
      <w:r>
        <w:t xml:space="preserve"> </w:t>
      </w:r>
      <w:r>
        <w:t xml:space="preserve">(Periodic Safety Update Report — obligatorio para Clase IIb)</w:t>
      </w:r>
    </w:p>
    <w:bookmarkEnd w:id="39"/>
    <w:bookmarkStart w:id="40" w:name="pmcf-plan"/>
    <w:p>
      <w:pPr>
        <w:pStyle w:val="Heading3"/>
      </w:pPr>
      <w:r>
        <w:t xml:space="preserve">5.2 PMCF Plan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Definir objetivos del PMCF</w:t>
      </w:r>
      <w:r>
        <w:t xml:space="preserve"> </w:t>
      </w:r>
      <w:r>
        <w:t xml:space="preserve">(confirmar seguridad y rendimiento a largo plazo)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Definir métodos de PMCF:</w:t>
      </w:r>
    </w:p>
    <w:p>
      <w:pPr>
        <w:numPr>
          <w:ilvl w:val="1"/>
          <w:numId w:val="1012"/>
        </w:numPr>
        <w:pStyle w:val="Compact"/>
      </w:pPr>
      <w:r>
        <w:t xml:space="preserve">Registry study (prospectivo)</w:t>
      </w:r>
    </w:p>
    <w:p>
      <w:pPr>
        <w:numPr>
          <w:ilvl w:val="1"/>
          <w:numId w:val="1012"/>
        </w:numPr>
        <w:pStyle w:val="Compact"/>
      </w:pPr>
      <w:r>
        <w:t xml:space="preserve">User surveys</w:t>
      </w:r>
    </w:p>
    <w:p>
      <w:pPr>
        <w:numPr>
          <w:ilvl w:val="1"/>
          <w:numId w:val="1012"/>
        </w:numPr>
        <w:pStyle w:val="Compact"/>
      </w:pPr>
      <w:r>
        <w:t xml:space="preserve">Literature monitoring continuo</w:t>
      </w:r>
    </w:p>
    <w:p>
      <w:pPr>
        <w:numPr>
          <w:ilvl w:val="1"/>
          <w:numId w:val="1012"/>
        </w:numPr>
        <w:pStyle w:val="Compact"/>
      </w:pPr>
      <w:r>
        <w:t xml:space="preserve">AI performance monitoring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Definir endpoints y métricas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Definir timeline y milestones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Definir criterios de éxito y escalación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so-6-udi-y-eudamed-mes-1012"/>
    <w:p>
      <w:pPr>
        <w:pStyle w:val="Heading2"/>
      </w:pPr>
      <w:r>
        <w:t xml:space="preserve">Paso 6: UDI y EUDAMED (Mes 10–12)</w:t>
      </w:r>
    </w:p>
    <w:bookmarkStart w:id="42" w:name="acciones-3"/>
    <w:p>
      <w:pPr>
        <w:pStyle w:val="Heading3"/>
      </w:pPr>
      <w:r>
        <w:t xml:space="preserve">6.1 Acciones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Registrarse en GS1</w:t>
      </w:r>
      <w:r>
        <w:t xml:space="preserve"> </w:t>
      </w:r>
      <w:r>
        <w:t xml:space="preserve">(issuing entity recomendada para UDI)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Obtener Company Prefix</w:t>
      </w:r>
      <w:r>
        <w:t xml:space="preserve"> </w:t>
      </w:r>
      <w:r>
        <w:t xml:space="preserve">de GS1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Asignar GTINs</w:t>
      </w:r>
      <w:r>
        <w:t xml:space="preserve"> </w:t>
      </w:r>
      <w:r>
        <w:t xml:space="preserve">a cada producto y nivel de empaque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Generar códigos de barras</w:t>
      </w:r>
      <w:r>
        <w:t xml:space="preserve"> </w:t>
      </w:r>
      <w:r>
        <w:t xml:space="preserve">(DataMatrix recomendado)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Integrar UDI</w:t>
      </w:r>
      <w:r>
        <w:t xml:space="preserve"> </w:t>
      </w:r>
      <w:r>
        <w:t xml:space="preserve">en etiquetado del dispositivo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Registrarse en EUDAMED</w:t>
      </w:r>
      <w:r>
        <w:t xml:space="preserve"> </w:t>
      </w:r>
      <w:r>
        <w:t xml:space="preserve">como Actor (fabricante)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 EC REP</w:t>
      </w:r>
      <w:r>
        <w:t xml:space="preserve"> </w:t>
      </w:r>
      <w:r>
        <w:t xml:space="preserve">en EUDAMED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 Basic UDI-DI</w:t>
      </w:r>
      <w:r>
        <w:t xml:space="preserve"> </w:t>
      </w:r>
      <w:r>
        <w:t xml:space="preserve">en EUDAMED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 datos del dispositivo</w:t>
      </w:r>
      <w:r>
        <w:t xml:space="preserve"> </w:t>
      </w:r>
      <w:r>
        <w:t xml:space="preserve">en EUDAMED</w:t>
      </w:r>
    </w:p>
    <w:bookmarkEnd w:id="42"/>
    <w:bookmarkStart w:id="43" w:name="costos-3"/>
    <w:p>
      <w:pPr>
        <w:pStyle w:val="Heading3"/>
      </w:pPr>
      <w:r>
        <w:t xml:space="preserve">6.2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GS1 membership (anual)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$250–500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EUDAMED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UDI label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X5ef6cd171b96ffe18f288d6ea8ef607791604ec"/>
    <w:p>
      <w:pPr>
        <w:pStyle w:val="Heading2"/>
      </w:pPr>
      <w:r>
        <w:t xml:space="preserve">Paso 7: Auditoría del Organismo Notificado (Mes 13–20)</w:t>
      </w:r>
    </w:p>
    <w:bookmarkStart w:id="45" w:name="proceso-de-auditoría"/>
    <w:p>
      <w:pPr>
        <w:pStyle w:val="Heading3"/>
      </w:pPr>
      <w:r>
        <w:t xml:space="preserve">7.1 Proceso de Auditoría</w:t>
      </w:r>
    </w:p>
    <w:p>
      <w:pPr>
        <w:pStyle w:val="SourceCode"/>
      </w:pPr>
      <w:r>
        <w:rPr>
          <w:rStyle w:val="VerbatimChar"/>
        </w:rPr>
        <w:t xml:space="preserve">Application Accepted by NB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Stage 1: Document Review ──── Observations/Questions ──▶ Responder</w:t>
      </w:r>
      <w:r>
        <w:br/>
      </w:r>
      <w:r>
        <w:rPr>
          <w:rStyle w:val="VerbatimChar"/>
        </w:rPr>
        <w:t xml:space="preserve">(TD + QMS docs)                                          (4–8 sem)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Stage 2: QMS On-Site Audit ── Non-Conformities ──▶ CAPA Plan</w:t>
      </w:r>
      <w:r>
        <w:br/>
      </w:r>
      <w:r>
        <w:rPr>
          <w:rStyle w:val="VerbatimChar"/>
        </w:rPr>
        <w:t xml:space="preserve">(2–5 días en sitio)            (Major/Minor)        (30–90 días)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TD Assessment ────────────── Technical Questions ──▶ Responder</w:t>
      </w:r>
      <w:r>
        <w:br/>
      </w:r>
      <w:r>
        <w:rPr>
          <w:rStyle w:val="VerbatimChar"/>
        </w:rPr>
        <w:t xml:space="preserve">(en paralelo o secuencial)                           (4–8 sem)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Final Assessment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┌──┴──┐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OK    Major NCs pendientes ──▶ Follow-up audit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Certification Decision ──▶ CE Certificate emitido</w:t>
      </w:r>
    </w:p>
    <w:bookmarkEnd w:id="45"/>
    <w:bookmarkStart w:id="46" w:name="preparación-para-la-auditoría"/>
    <w:p>
      <w:pPr>
        <w:pStyle w:val="Heading3"/>
      </w:pPr>
      <w:r>
        <w:t xml:space="preserve">7.2 Preparación para la Auditoría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Verificar QMS</w:t>
      </w:r>
      <w:r>
        <w:t xml:space="preserve"> </w:t>
      </w:r>
      <w:r>
        <w:t xml:space="preserve">(ISO 13485) completamente implementado y funcional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Realizar auditoría interna</w:t>
      </w:r>
      <w:r>
        <w:t xml:space="preserve"> </w:t>
      </w:r>
      <w:r>
        <w:t xml:space="preserve">antes de la auditoría del NB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Corregir no conformidades</w:t>
      </w:r>
      <w:r>
        <w:t xml:space="preserve"> </w:t>
      </w:r>
      <w:r>
        <w:t xml:space="preserve">de auditoría interna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Management Review</w:t>
      </w:r>
      <w:r>
        <w:t xml:space="preserve"> </w:t>
      </w:r>
      <w:r>
        <w:t xml:space="preserve">actualizada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Capacitar al personal</w:t>
      </w:r>
      <w:r>
        <w:t xml:space="preserve"> </w:t>
      </w:r>
      <w:r>
        <w:t xml:space="preserve">sobre procedimientos y QMS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sala de auditoría</w:t>
      </w:r>
      <w:r>
        <w:t xml:space="preserve"> </w:t>
      </w:r>
      <w:r>
        <w:t xml:space="preserve">con documentación accesible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Designar guías</w:t>
      </w:r>
      <w:r>
        <w:t xml:space="preserve"> </w:t>
      </w:r>
      <w:r>
        <w:t xml:space="preserve">para el equipo auditor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Preparar apertura y cierre</w:t>
      </w:r>
      <w:r>
        <w:t xml:space="preserve"> </w:t>
      </w:r>
      <w:r>
        <w:t xml:space="preserve">de la auditoría</w:t>
      </w:r>
    </w:p>
    <w:bookmarkEnd w:id="46"/>
    <w:bookmarkStart w:id="47" w:name="áreas-típicas-de-enfoque-del-nb"/>
    <w:p>
      <w:pPr>
        <w:pStyle w:val="Heading3"/>
      </w:pPr>
      <w:r>
        <w:t xml:space="preserve">7.3 Áreas Típicas de Enfoque del NB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Revisan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DHF, design reviews, V&amp;V,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RMF, hazard analysis, risk controls, residual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62304 compliance, AI validation, cybersecurity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 quality, literature search, equivalence, PMCF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 plan, vigilance procedures, PSUR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qualification, incoming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system, effectiveness, trending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system, versioning, approvals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X34dc9a4ac67f639d4645f116a6097df38966b67"/>
    <w:p>
      <w:pPr>
        <w:pStyle w:val="Heading2"/>
      </w:pPr>
      <w:r>
        <w:t xml:space="preserve">Paso 8: Certificación y CE Marking (Mes 20–24)</w:t>
      </w:r>
    </w:p>
    <w:bookmarkStart w:id="49" w:name="acciones-post-certificación"/>
    <w:p>
      <w:pPr>
        <w:pStyle w:val="Heading3"/>
      </w:pPr>
      <w:r>
        <w:t xml:space="preserve">8.1 Acciones Post-Certificación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Recibir CE Certificate</w:t>
      </w:r>
      <w:r>
        <w:t xml:space="preserve"> </w:t>
      </w:r>
      <w:r>
        <w:t xml:space="preserve">del Organismo Notificado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Redactar EU Declaration of Conformity</w:t>
      </w:r>
      <w:r>
        <w:t xml:space="preserve"> </w:t>
      </w:r>
      <w:r>
        <w:t xml:space="preserve">(MDR Art. 19, Annex IV)</w:t>
      </w:r>
    </w:p>
    <w:p>
      <w:pPr>
        <w:numPr>
          <w:ilvl w:val="1"/>
          <w:numId w:val="1016"/>
        </w:numPr>
        <w:pStyle w:val="Compact"/>
      </w:pPr>
      <w:r>
        <w:t xml:space="preserve">Debe incluir: fabricante, EC REP, dispositivo, clasificación, NB, certificado, normas, fecha, firma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Aplicar CE marking</w:t>
      </w:r>
      <w:r>
        <w:t xml:space="preserve"> </w:t>
      </w:r>
      <w:r>
        <w:t xml:space="preserve">al dispositivo y empaque</w:t>
      </w:r>
    </w:p>
    <w:p>
      <w:pPr>
        <w:numPr>
          <w:ilvl w:val="1"/>
          <w:numId w:val="1017"/>
        </w:numPr>
        <w:pStyle w:val="Compact"/>
      </w:pPr>
      <w:r>
        <w:t xml:space="preserve">Incluir número del NB junto al CE mark (e.g., CE 0123)</w:t>
      </w:r>
    </w:p>
    <w:p>
      <w:pPr>
        <w:numPr>
          <w:ilvl w:val="1"/>
          <w:numId w:val="1017"/>
        </w:numPr>
        <w:pStyle w:val="Compact"/>
      </w:pPr>
      <w:r>
        <w:t xml:space="preserve">CE mark debe ser ≥5mm de altura, proporcional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Registrar certificado</w:t>
      </w:r>
      <w:r>
        <w:t xml:space="preserve"> </w:t>
      </w:r>
      <w:r>
        <w:t xml:space="preserve">en EUDAMED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Notificar a autoridades competentes</w:t>
      </w:r>
      <w:r>
        <w:t xml:space="preserve"> </w:t>
      </w:r>
      <w:r>
        <w:t xml:space="preserve">de los Estados Miembros donde se comercializará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Iniciar comercialización</w:t>
      </w:r>
      <w:r>
        <w:t xml:space="preserve"> </w:t>
      </w:r>
      <w:r>
        <w:t xml:space="preserve">en la UE</w:t>
      </w:r>
    </w:p>
    <w:bookmarkEnd w:id="49"/>
    <w:bookmarkStart w:id="50" w:name="eu-declaration-of-conformity-template"/>
    <w:p>
      <w:pPr>
        <w:pStyle w:val="Heading3"/>
      </w:pPr>
      <w:r>
        <w:t xml:space="preserve">8.2 EU Declaration of Conformity (Template)</w:t>
      </w:r>
    </w:p>
    <w:p>
      <w:pPr>
        <w:pStyle w:val="SourceCode"/>
      </w:pPr>
      <w:r>
        <w:rPr>
          <w:rStyle w:val="VerbatimChar"/>
        </w:rPr>
        <w:t xml:space="preserve">EU DECLARATION OF CONFORMITY</w:t>
      </w:r>
      <w:r>
        <w:br/>
      </w:r>
      <w:r>
        <w:br/>
      </w:r>
      <w:r>
        <w:rPr>
          <w:rStyle w:val="VerbatimChar"/>
        </w:rPr>
        <w:t xml:space="preserve">Manufacturer: [Company Name]</w:t>
      </w:r>
      <w:r>
        <w:br/>
      </w:r>
      <w:r>
        <w:rPr>
          <w:rStyle w:val="VerbatimChar"/>
        </w:rPr>
        <w:t xml:space="preserve">Address: [Full Address]</w:t>
      </w:r>
      <w:r>
        <w:br/>
      </w:r>
      <w:r>
        <w:br/>
      </w:r>
      <w:r>
        <w:rPr>
          <w:rStyle w:val="VerbatimChar"/>
        </w:rPr>
        <w:t xml:space="preserve">Authorized Representative: [EC REP Name]</w:t>
      </w:r>
      <w:r>
        <w:br/>
      </w:r>
      <w:r>
        <w:rPr>
          <w:rStyle w:val="VerbatimChar"/>
        </w:rPr>
        <w:t xml:space="preserve">Address: [EC REP Address]</w:t>
      </w:r>
      <w:r>
        <w:br/>
      </w:r>
      <w:r>
        <w:br/>
      </w:r>
      <w:r>
        <w:rPr>
          <w:rStyle w:val="VerbatimChar"/>
        </w:rPr>
        <w:t xml:space="preserve">This declaration of conformity is issued under the sole</w:t>
      </w:r>
      <w:r>
        <w:br/>
      </w:r>
      <w:r>
        <w:rPr>
          <w:rStyle w:val="VerbatimChar"/>
        </w:rPr>
        <w:t xml:space="preserve">responsibility of the manufacturer.</w:t>
      </w:r>
      <w:r>
        <w:br/>
      </w:r>
      <w:r>
        <w:br/>
      </w:r>
      <w:r>
        <w:rPr>
          <w:rStyle w:val="VerbatimChar"/>
        </w:rPr>
        <w:t xml:space="preserve">Device: Horizon Medical Holter ECG System</w:t>
      </w:r>
      <w:r>
        <w:br/>
      </w:r>
      <w:r>
        <w:rPr>
          <w:rStyle w:val="VerbatimChar"/>
        </w:rPr>
        <w:t xml:space="preserve">Model: HM-H100</w:t>
      </w:r>
      <w:r>
        <w:br/>
      </w:r>
      <w:r>
        <w:rPr>
          <w:rStyle w:val="VerbatimChar"/>
        </w:rPr>
        <w:t xml:space="preserve">Basic UDI-DI: [GTIN]</w:t>
      </w:r>
      <w:r>
        <w:br/>
      </w:r>
      <w:r>
        <w:rPr>
          <w:rStyle w:val="VerbatimChar"/>
        </w:rPr>
        <w:t xml:space="preserve">Classification: Class IIb, Rule 11</w:t>
      </w:r>
      <w:r>
        <w:br/>
      </w:r>
      <w:r>
        <w:br/>
      </w:r>
      <w:r>
        <w:rPr>
          <w:rStyle w:val="VerbatimChar"/>
        </w:rPr>
        <w:t xml:space="preserve">Notified Body: [NB Name], NB Number: [XXXX]</w:t>
      </w:r>
      <w:r>
        <w:br/>
      </w:r>
      <w:r>
        <w:rPr>
          <w:rStyle w:val="VerbatimChar"/>
        </w:rPr>
        <w:t xml:space="preserve">EC Certificate Number: [Certificate Number]</w:t>
      </w:r>
      <w:r>
        <w:br/>
      </w:r>
      <w:r>
        <w:rPr>
          <w:rStyle w:val="VerbatimChar"/>
        </w:rPr>
        <w:t xml:space="preserve">Date of Issue: [Date]</w:t>
      </w:r>
      <w:r>
        <w:br/>
      </w:r>
      <w:r>
        <w:br/>
      </w:r>
      <w:r>
        <w:rPr>
          <w:rStyle w:val="VerbatimChar"/>
        </w:rPr>
        <w:t xml:space="preserve">The device identified above conforms to the provisions of</w:t>
      </w:r>
      <w:r>
        <w:br/>
      </w:r>
      <w:r>
        <w:rPr>
          <w:rStyle w:val="VerbatimChar"/>
        </w:rPr>
        <w:t xml:space="preserve">Regulation (EU) 2017/745 on medical devices.</w:t>
      </w:r>
      <w:r>
        <w:br/>
      </w:r>
      <w:r>
        <w:br/>
      </w:r>
      <w:r>
        <w:rPr>
          <w:rStyle w:val="VerbatimChar"/>
        </w:rPr>
        <w:t xml:space="preserve">Applied harmonized standards:</w:t>
      </w:r>
      <w:r>
        <w:br/>
      </w:r>
      <w:r>
        <w:rPr>
          <w:rStyle w:val="VerbatimChar"/>
        </w:rPr>
        <w:t xml:space="preserve">- EN ISO 13485:2016</w:t>
      </w:r>
      <w:r>
        <w:br/>
      </w:r>
      <w:r>
        <w:rPr>
          <w:rStyle w:val="VerbatimChar"/>
        </w:rPr>
        <w:t xml:space="preserve">- EN ISO 14971:2019</w:t>
      </w:r>
      <w:r>
        <w:br/>
      </w:r>
      <w:r>
        <w:rPr>
          <w:rStyle w:val="VerbatimChar"/>
        </w:rPr>
        <w:t xml:space="preserve">- EN IEC 60601-1:2020</w:t>
      </w:r>
      <w:r>
        <w:br/>
      </w:r>
      <w:r>
        <w:rPr>
          <w:rStyle w:val="VerbatimChar"/>
        </w:rPr>
        <w:t xml:space="preserve">- EN IEC 60601-1-2:2014+A1:2020</w:t>
      </w:r>
      <w:r>
        <w:br/>
      </w:r>
      <w:r>
        <w:rPr>
          <w:rStyle w:val="VerbatimChar"/>
        </w:rPr>
        <w:t xml:space="preserve">- EN IEC 60601-2-47:2012+A1:2019</w:t>
      </w:r>
      <w:r>
        <w:br/>
      </w:r>
      <w:r>
        <w:rPr>
          <w:rStyle w:val="VerbatimChar"/>
        </w:rPr>
        <w:t xml:space="preserve">- EN IEC 62304:2006+A1:2015</w:t>
      </w:r>
      <w:r>
        <w:br/>
      </w:r>
      <w:r>
        <w:rPr>
          <w:rStyle w:val="VerbatimChar"/>
        </w:rPr>
        <w:t xml:space="preserve">- EN IEC 62366-1:2015+A1:2020</w:t>
      </w:r>
      <w:r>
        <w:br/>
      </w:r>
      <w:r>
        <w:rPr>
          <w:rStyle w:val="VerbatimChar"/>
        </w:rPr>
        <w:t xml:space="preserve">- EN ISO 10993-1:2020</w:t>
      </w:r>
      <w:r>
        <w:br/>
      </w:r>
      <w:r>
        <w:rPr>
          <w:rStyle w:val="VerbatimChar"/>
        </w:rPr>
        <w:t xml:space="preserve">- EN IEC 81001-5-1:2021</w:t>
      </w:r>
      <w:r>
        <w:br/>
      </w:r>
      <w:r>
        <w:br/>
      </w:r>
      <w:r>
        <w:rPr>
          <w:rStyle w:val="VerbatimChar"/>
        </w:rPr>
        <w:t xml:space="preserve">Place: [City, Country]</w:t>
      </w:r>
      <w:r>
        <w:br/>
      </w:r>
      <w:r>
        <w:rPr>
          <w:rStyle w:val="VerbatimChar"/>
        </w:rPr>
        <w:t xml:space="preserve">Date: [Date]</w:t>
      </w:r>
      <w:r>
        <w:br/>
      </w:r>
      <w:r>
        <w:br/>
      </w:r>
      <w:r>
        <w:rPr>
          <w:rStyle w:val="VerbatimChar"/>
        </w:rPr>
        <w:t xml:space="preserve">[Name, Title]</w:t>
      </w:r>
      <w:r>
        <w:br/>
      </w:r>
      <w:r>
        <w:rPr>
          <w:rStyle w:val="VerbatimChar"/>
        </w:rPr>
        <w:t xml:space="preserve">Signature: _________________________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aso-9-post-certificación-continuo"/>
    <w:p>
      <w:pPr>
        <w:pStyle w:val="Heading2"/>
      </w:pPr>
      <w:r>
        <w:t xml:space="preserve">Paso 9: Post-Certificación (Continuo)</w:t>
      </w:r>
    </w:p>
    <w:bookmarkStart w:id="52" w:name="obligaciones-continuas"/>
    <w:p>
      <w:pPr>
        <w:pStyle w:val="Heading3"/>
      </w:pPr>
      <w:r>
        <w:t xml:space="preserve">9.1 Obligaciones Continuas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 audit (NB)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Art. 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PSUR (Periodic Safety Update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 (mín. para IIb)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Art. 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PMCF data collection and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Annex XIV Part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anual (IIb) o con nuevos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Art. 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Vigilance reporting (serious incidents)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 días (≤2 días for threats)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Art. 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EUDAMED data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Art.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5-year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Art. 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PMS Report / PSUR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Art. 85, 86</w:t>
            </w:r>
          </w:p>
        </w:tc>
      </w:tr>
    </w:tbl>
    <w:bookmarkEnd w:id="52"/>
    <w:bookmarkStart w:id="53" w:name="renovación-del-certificado"/>
    <w:p>
      <w:pPr>
        <w:pStyle w:val="Heading3"/>
      </w:pPr>
      <w:r>
        <w:t xml:space="preserve">9.2 Renovación del Certificado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Iniciar proceso de renovación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meses antes de vencimiento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Actualizar 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Actualizar 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de renovación (NB)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meses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 certificado emitido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vencimiento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checklist-final-completo"/>
    <w:p>
      <w:pPr>
        <w:pStyle w:val="Heading2"/>
      </w:pPr>
      <w:r>
        <w:t xml:space="preserve">Checklist Final Completo</w:t>
      </w:r>
    </w:p>
    <w:bookmarkStart w:id="55" w:name="pre-certificación"/>
    <w:p>
      <w:pPr>
        <w:pStyle w:val="Heading3"/>
      </w:pPr>
      <w:r>
        <w:t xml:space="preserve">Pre-Certificación</w:t>
      </w:r>
    </w:p>
    <w:p>
      <w:pPr>
        <w:pStyle w:val="FirstParagraph"/>
      </w:pPr>
      <w:r>
        <w:rPr>
          <w:bCs/>
          <w:b/>
        </w:rPr>
        <w:t xml:space="preserve">Organización:</w:t>
      </w:r>
      <w:r>
        <w:t xml:space="preserve"> </w:t>
      </w:r>
      <w:r>
        <w:t xml:space="preserve">- [ ] EC REP designado y contrato firmado</w:t>
      </w:r>
      <w:r>
        <w:t xml:space="preserve"> </w:t>
      </w:r>
      <w:r>
        <w:t xml:space="preserve">- [ ] PRRC designado</w:t>
      </w:r>
      <w:r>
        <w:t xml:space="preserve"> </w:t>
      </w:r>
      <w:r>
        <w:t xml:space="preserve">- [ ] NB seleccionado y contrato firmado</w:t>
      </w:r>
      <w:r>
        <w:t xml:space="preserve"> </w:t>
      </w:r>
      <w:r>
        <w:t xml:space="preserve">- [ ] ISO 13485 certificado</w:t>
      </w:r>
      <w:r>
        <w:t xml:space="preserve"> </w:t>
      </w:r>
      <w:r>
        <w:t xml:space="preserve">- [ ] EUDAMED Actor Registration completado</w:t>
      </w:r>
    </w:p>
    <w:p>
      <w:pPr>
        <w:pStyle w:val="BodyText"/>
      </w:pPr>
      <w:r>
        <w:rPr>
          <w:bCs/>
          <w:b/>
        </w:rPr>
        <w:t xml:space="preserve">Technical Documentation:</w:t>
      </w:r>
      <w:r>
        <w:t xml:space="preserve"> </w:t>
      </w:r>
      <w:r>
        <w:t xml:space="preserve">- [ ] Device Description (Annex II, Sección 1)</w:t>
      </w:r>
      <w:r>
        <w:t xml:space="preserve"> </w:t>
      </w:r>
      <w:r>
        <w:t xml:space="preserve">- [ ] Labeling + IFU multiidioma (Sección 2)</w:t>
      </w:r>
      <w:r>
        <w:t xml:space="preserve"> </w:t>
      </w:r>
      <w:r>
        <w:t xml:space="preserve">- [ ] Design &amp; Manufacturing Information (Sección 3)</w:t>
      </w:r>
      <w:r>
        <w:t xml:space="preserve"> </w:t>
      </w:r>
      <w:r>
        <w:t xml:space="preserve">- [ ] GSPRs Checklist completo (Sección 4)</w:t>
      </w:r>
      <w:r>
        <w:t xml:space="preserve"> </w:t>
      </w:r>
      <w:r>
        <w:t xml:space="preserve">- [ ] Risk Management File + Benefit-Risk (Sección 5)</w:t>
      </w:r>
      <w:r>
        <w:t xml:space="preserve"> </w:t>
      </w:r>
      <w:r>
        <w:t xml:space="preserve">- [ ] V&amp;V — Safety testing (IEC 60601-1)</w:t>
      </w:r>
      <w:r>
        <w:t xml:space="preserve"> </w:t>
      </w:r>
      <w:r>
        <w:t xml:space="preserve">- [ ] V&amp;V — EMC testing (IEC 60601-1-2)</w:t>
      </w:r>
      <w:r>
        <w:t xml:space="preserve"> </w:t>
      </w:r>
      <w:r>
        <w:t xml:space="preserve">- [ ] V&amp;V — Holter ECG testing (IEC 60601-2-47)</w:t>
      </w:r>
      <w:r>
        <w:t xml:space="preserve"> </w:t>
      </w:r>
      <w:r>
        <w:t xml:space="preserve">- [ ] V&amp;V — Biocompatibility (ISO 10993)</w:t>
      </w:r>
      <w:r>
        <w:t xml:space="preserve"> </w:t>
      </w:r>
      <w:r>
        <w:t xml:space="preserve">- [ ] V&amp;V — Battery safety (IEC 62133-2)</w:t>
      </w:r>
      <w:r>
        <w:t xml:space="preserve"> </w:t>
      </w:r>
      <w:r>
        <w:t xml:space="preserve">- [ ] V&amp;V — Software (IEC 62304)</w:t>
      </w:r>
      <w:r>
        <w:t xml:space="preserve"> </w:t>
      </w:r>
      <w:r>
        <w:t xml:space="preserve">- [ ] V&amp;V — AI/ML validation</w:t>
      </w:r>
      <w:r>
        <w:t xml:space="preserve"> </w:t>
      </w:r>
      <w:r>
        <w:t xml:space="preserve">- [ ] V&amp;V — Cybersecurity (IEC 81001-5-1)</w:t>
      </w:r>
      <w:r>
        <w:t xml:space="preserve"> </w:t>
      </w:r>
      <w:r>
        <w:t xml:space="preserve">- [ ] V&amp;V — Usability (IEC 62366-1)</w:t>
      </w:r>
      <w:r>
        <w:t xml:space="preserve"> </w:t>
      </w:r>
      <w:r>
        <w:t xml:space="preserve">- [ ] Clinical Evaluation Report (CER)</w:t>
      </w:r>
      <w:r>
        <w:t xml:space="preserve"> </w:t>
      </w:r>
      <w:r>
        <w:t xml:space="preserve">- [ ] PMCF Plan</w:t>
      </w:r>
    </w:p>
    <w:p>
      <w:pPr>
        <w:pStyle w:val="BodyText"/>
      </w:pPr>
      <w:r>
        <w:rPr>
          <w:bCs/>
          <w:b/>
        </w:rPr>
        <w:t xml:space="preserve">Post-Market:</w:t>
      </w:r>
      <w:r>
        <w:t xml:space="preserve"> </w:t>
      </w:r>
      <w:r>
        <w:t xml:space="preserve">- [ ] PMS Plan</w:t>
      </w:r>
      <w:r>
        <w:t xml:space="preserve"> </w:t>
      </w:r>
      <w:r>
        <w:t xml:space="preserve">- [ ] PSUR template</w:t>
      </w:r>
      <w:r>
        <w:t xml:space="preserve"> </w:t>
      </w:r>
      <w:r>
        <w:t xml:space="preserve">- [ ] Vigilance reporting procedures</w:t>
      </w:r>
      <w:r>
        <w:t xml:space="preserve"> </w:t>
      </w:r>
      <w:r>
        <w:t xml:space="preserve">- [ ] Complaint handling procedures</w:t>
      </w:r>
    </w:p>
    <w:p>
      <w:pPr>
        <w:pStyle w:val="BodyText"/>
      </w:pPr>
      <w:r>
        <w:rPr>
          <w:bCs/>
          <w:b/>
        </w:rPr>
        <w:t xml:space="preserve">UDI/EUDAMED:</w:t>
      </w:r>
      <w:r>
        <w:t xml:space="preserve"> </w:t>
      </w:r>
      <w:r>
        <w:t xml:space="preserve">- [ ] GS1 membership</w:t>
      </w:r>
      <w:r>
        <w:t xml:space="preserve"> </w:t>
      </w:r>
      <w:r>
        <w:t xml:space="preserve">- [ ] UDI-DIs assigned</w:t>
      </w:r>
      <w:r>
        <w:t xml:space="preserve"> </w:t>
      </w:r>
      <w:r>
        <w:t xml:space="preserve">- [ ] UDI on labels</w:t>
      </w:r>
      <w:r>
        <w:t xml:space="preserve"> </w:t>
      </w:r>
      <w:r>
        <w:t xml:space="preserve">- [ ] EUDAMED UDI/Device registration</w:t>
      </w:r>
    </w:p>
    <w:p>
      <w:pPr>
        <w:pStyle w:val="BodyText"/>
      </w:pPr>
      <w:r>
        <w:rPr>
          <w:bCs/>
          <w:b/>
        </w:rPr>
        <w:t xml:space="preserve">Final:</w:t>
      </w:r>
      <w:r>
        <w:t xml:space="preserve"> </w:t>
      </w:r>
      <w:r>
        <w:t xml:space="preserve">- [ ] EU Declaration of Conformity drafted</w:t>
      </w:r>
      <w:r>
        <w:t xml:space="preserve"> </w:t>
      </w:r>
      <w:r>
        <w:t xml:space="preserve">- [ ] CE marking artwork ready</w:t>
      </w:r>
      <w:r>
        <w:t xml:space="preserve"> </w:t>
      </w:r>
      <w:r>
        <w:t xml:space="preserve">- [ ] NB certification decision positive</w:t>
      </w:r>
      <w:r>
        <w:t xml:space="preserve"> </w:t>
      </w:r>
      <w:r>
        <w:t xml:space="preserve">- [ ] CE Certificate received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cursos"/>
    <w:p>
      <w:pPr>
        <w:pStyle w:val="Heading2"/>
      </w:pPr>
      <w:r>
        <w:t xml:space="preserve">Recursos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MDR 2017/745 (texto 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https://eur-lex.europa.eu/eli/reg/2017/745/oj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EUDAMED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https://ec.europa.eu/tools/eudamed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NANDO (lista de NBs)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https://ec.europa.eu/growth/tools-databases/nando/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MDCG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https://health.ec.europa.eu/medical-devices-sector/new-regulations/guidance-mdcg-endorsed-documents-and-other-guidance_en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MEDDEV 2.7/1 Rev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https://ec.europa.eu/docsroom/documents/17522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https://www.gs1.org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2026-05-16T17:39:36Z</dcterms:created>
  <dcterms:modified xsi:type="dcterms:W3CDTF">2026-05-16T17:39:36Z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