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5109f15ce09a16b386dec821d4674e716824ee7"/>
    <w:p>
      <w:pPr>
        <w:pStyle w:val="Heading1"/>
      </w:pPr>
      <w:r>
        <w:t xml:space="preserve">HORIZON MEDICAL — 510(k) Premarket Notification</w:t>
      </w:r>
    </w:p>
    <w:p>
      <w:pPr>
        <w:pStyle w:val="FirstParagraph"/>
      </w:pPr>
      <w:r>
        <w:rPr>
          <w:bCs/>
          <w:b/>
        </w:rPr>
        <w:t xml:space="preserve">Documento:</w:t>
      </w:r>
      <w:r>
        <w:t xml:space="preserve"> </w:t>
      </w:r>
      <w:r>
        <w:t xml:space="preserve">HM-510K-001</w:t>
      </w:r>
      <w:r>
        <w:br/>
      </w:r>
      <w:r>
        <w:rPr>
          <w:bCs/>
          <w:b/>
        </w:rPr>
        <w:t xml:space="preserve">Versión:</w:t>
      </w:r>
      <w:r>
        <w:t xml:space="preserve"> </w:t>
      </w:r>
      <w:r>
        <w:t xml:space="preserve">1.0</w:t>
      </w:r>
      <w:r>
        <w:br/>
      </w:r>
      <w:r>
        <w:rPr>
          <w:bCs/>
          <w:b/>
        </w:rPr>
        <w:t xml:space="preserve">Fecha:</w:t>
      </w:r>
      <w:r>
        <w:t xml:space="preserve"> </w:t>
      </w:r>
      <w:r>
        <w:t xml:space="preserve">2026-05-16</w:t>
      </w:r>
      <w:r>
        <w:br/>
      </w:r>
      <w:r>
        <w:rPr>
          <w:bCs/>
          <w:b/>
        </w:rPr>
        <w:t xml:space="preserve">510(k) Number:</w:t>
      </w:r>
      <w:r>
        <w:t xml:space="preserve"> </w:t>
      </w:r>
      <w:r>
        <w:t xml:space="preserve">[To be assigned by FDA]</w:t>
      </w:r>
      <w:r>
        <w:br/>
      </w:r>
      <w:r>
        <w:rPr>
          <w:bCs/>
          <w:b/>
        </w:rPr>
        <w:t xml:space="preserve">Referencia:</w:t>
      </w:r>
      <w:r>
        <w:t xml:space="preserve"> </w:t>
      </w:r>
      <w:r>
        <w:t xml:space="preserve">21 CFR Part 807 Subpart E</w:t>
      </w:r>
    </w:p>
    <w:p>
      <w:r>
        <w:pict>
          <v:rect style="width:0;height:1.5pt" o:hralign="center" o:hrstd="t" o:hr="t"/>
        </w:pict>
      </w:r>
    </w:p>
    <w:bookmarkStart w:id="20" w:name="cover-letter"/>
    <w:p>
      <w:pPr>
        <w:pStyle w:val="Heading2"/>
      </w:pPr>
      <w:r>
        <w:t xml:space="preserve">Cover Letter</w:t>
      </w:r>
    </w:p>
    <w:p>
      <w:pPr>
        <w:pStyle w:val="FirstParagraph"/>
      </w:pPr>
      <w:r>
        <w:t xml:space="preserve">[Date]</w:t>
      </w:r>
    </w:p>
    <w:p>
      <w:pPr>
        <w:pStyle w:val="BodyText"/>
      </w:pPr>
      <w:r>
        <w:t xml:space="preserve">Document Mail Center (HFZ-401)</w:t>
      </w:r>
      <w:r>
        <w:br/>
      </w:r>
      <w:r>
        <w:t xml:space="preserve">Center for Devices and Radiological Health</w:t>
      </w:r>
      <w:r>
        <w:br/>
      </w:r>
      <w:r>
        <w:t xml:space="preserve">Food and Drug Administration</w:t>
      </w:r>
      <w:r>
        <w:br/>
      </w:r>
      <w:r>
        <w:t xml:space="preserve">10903 New Hampshire Avenue</w:t>
      </w:r>
      <w:r>
        <w:br/>
      </w:r>
      <w:r>
        <w:t xml:space="preserve">Silver Spring, MD 20993-0002</w:t>
      </w:r>
    </w:p>
    <w:p>
      <w:pPr>
        <w:pStyle w:val="BodyText"/>
      </w:pPr>
      <w:r>
        <w:rPr>
          <w:bCs/>
          <w:b/>
        </w:rPr>
        <w:t xml:space="preserve">Re: 510(k) Premarket Notification for Horizon Medical Holter ECG System (HM-H100)</w:t>
      </w:r>
    </w:p>
    <w:p>
      <w:pPr>
        <w:pStyle w:val="BodyText"/>
      </w:pPr>
      <w:r>
        <w:t xml:space="preserve">Dear Sir/Madam:</w:t>
      </w:r>
    </w:p>
    <w:p>
      <w:pPr>
        <w:pStyle w:val="BodyText"/>
      </w:pPr>
      <w:r>
        <w:t xml:space="preserve">Enclosed please find a 510(k) Premarket Notification for the Horizon Medical Holter ECG System (HM-H100), an ambulatory electrocardiographic monitoring system with AI-assisted arrhythmia detection, manufactured by [Manufacturer Name].</w:t>
      </w:r>
    </w:p>
    <w:p>
      <w:pPr>
        <w:pStyle w:val="BodyText"/>
      </w:pPr>
      <w:r>
        <w:t xml:space="preserve">This submission is being made pursuant to Section 510(k) of the Federal Food, Drug, and Cosmetic Act. The device is classified under 21 CFR 870.2340, Product Code DRX (Electrocardiograph, Ambulatory), as a Class II medical device.</w:t>
      </w:r>
    </w:p>
    <w:p>
      <w:pPr>
        <w:pStyle w:val="BodyText"/>
      </w:pPr>
      <w:r>
        <w:t xml:space="preserve">The predicate device is the iRhythm Zio XT Patch System (K142497). Additional reference devices include BioTelemetry MCOT (K162604) and Cardiac Insight Cardea SOLO (K173437).</w:t>
      </w:r>
    </w:p>
    <w:p>
      <w:pPr>
        <w:pStyle w:val="BodyText"/>
      </w:pPr>
      <w:r>
        <w:t xml:space="preserve">A User Fee has been submitted as required under MDUFA.</w:t>
      </w:r>
    </w:p>
    <w:p>
      <w:pPr>
        <w:pStyle w:val="BodyText"/>
      </w:pPr>
      <w:r>
        <w:t xml:space="preserve">We certify that the information provided in this submission is truthful and accurate, and that no material fact has been omitted.</w:t>
      </w:r>
    </w:p>
    <w:p>
      <w:pPr>
        <w:pStyle w:val="BodyText"/>
      </w:pPr>
      <w:r>
        <w:t xml:space="preserve">Please contact the undersigned with any questions regarding this submission.</w:t>
      </w:r>
    </w:p>
    <w:p>
      <w:pPr>
        <w:pStyle w:val="BodyText"/>
      </w:pPr>
      <w:r>
        <w:t xml:space="preserve">Respectfully submitted,</w:t>
      </w:r>
    </w:p>
    <w:p>
      <w:r>
        <w:pict>
          <v:rect style="width:0;height:1.5pt" o:hralign="center" o:hrstd="t" o:hr="t"/>
        </w:pict>
      </w:r>
    </w:p>
    <w:p>
      <w:pPr>
        <w:pStyle w:val="FirstParagraph"/>
      </w:pPr>
      <w:r>
        <w:t xml:space="preserve">[Name], [Title]</w:t>
      </w:r>
      <w:r>
        <w:br/>
      </w:r>
      <w:r>
        <w:t xml:space="preserve">[Company Name]</w:t>
      </w:r>
      <w:r>
        <w:br/>
      </w:r>
      <w:r>
        <w:t xml:space="preserve">[Address]</w:t>
      </w:r>
      <w:r>
        <w:br/>
      </w:r>
      <w:r>
        <w:t xml:space="preserve">[Phone] | [Email]</w:t>
      </w:r>
      <w:r>
        <w:br/>
      </w:r>
      <w:r>
        <w:t xml:space="preserve">Contact Person for FDA Communications: [Name], [Title]</w:t>
      </w:r>
    </w:p>
    <w:p>
      <w:r>
        <w:pict>
          <v:rect style="width:0;height:1.5pt" o:hralign="center" o:hrstd="t" o:hr="t"/>
        </w:pict>
      </w:r>
    </w:p>
    <w:bookmarkEnd w:id="20"/>
    <w:bookmarkStart w:id="26" w:name="section-1-510k-summary-21-cfr-807.92"/>
    <w:p>
      <w:pPr>
        <w:pStyle w:val="Heading2"/>
      </w:pPr>
      <w:r>
        <w:t xml:space="preserve">Section 1: 510(k) Summary (21 CFR 807.92)</w:t>
      </w:r>
    </w:p>
    <w:bookmarkStart w:id="21" w:name="submitter-information"/>
    <w:p>
      <w:pPr>
        <w:pStyle w:val="Heading3"/>
      </w:pPr>
      <w:r>
        <w:t xml:space="preserve">1.1 Submitter Information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Submitter</w:t>
            </w:r>
          </w:p>
        </w:tc>
        <w:tc>
          <w:tcPr/>
          <w:p>
            <w:pPr>
              <w:pStyle w:val="Compact"/>
              <w:jc w:val="left"/>
            </w:pPr>
            <w:r>
              <w:t xml:space="preserve">[Company Name]</w:t>
            </w:r>
          </w:p>
        </w:tc>
      </w:tr>
      <w:tr>
        <w:tc>
          <w:tcPr/>
          <w:p>
            <w:pPr>
              <w:pStyle w:val="Compact"/>
              <w:jc w:val="left"/>
            </w:pPr>
            <w:r>
              <w:t xml:space="preserve">Address</w:t>
            </w:r>
          </w:p>
        </w:tc>
        <w:tc>
          <w:tcPr/>
          <w:p>
            <w:pPr>
              <w:pStyle w:val="Compact"/>
              <w:jc w:val="left"/>
            </w:pPr>
            <w:r>
              <w:t xml:space="preserve">[Full Address]</w:t>
            </w:r>
          </w:p>
        </w:tc>
      </w:tr>
      <w:tr>
        <w:tc>
          <w:tcPr/>
          <w:p>
            <w:pPr>
              <w:pStyle w:val="Compact"/>
              <w:jc w:val="left"/>
            </w:pPr>
            <w:r>
              <w:t xml:space="preserve">Contact Person</w:t>
            </w:r>
          </w:p>
        </w:tc>
        <w:tc>
          <w:tcPr/>
          <w:p>
            <w:pPr>
              <w:pStyle w:val="Compact"/>
              <w:jc w:val="left"/>
            </w:pPr>
            <w:r>
              <w:t xml:space="preserve">[Name, Title]</w:t>
            </w:r>
          </w:p>
        </w:tc>
      </w:tr>
      <w:tr>
        <w:tc>
          <w:tcPr/>
          <w:p>
            <w:pPr>
              <w:pStyle w:val="Compact"/>
              <w:jc w:val="left"/>
            </w:pPr>
            <w:r>
              <w:t xml:space="preserve">Phone</w:t>
            </w:r>
          </w:p>
        </w:tc>
        <w:tc>
          <w:tcPr/>
          <w:p>
            <w:pPr>
              <w:pStyle w:val="Compact"/>
              <w:jc w:val="left"/>
            </w:pPr>
            <w:r>
              <w:t xml:space="preserve">[Phone Number]</w:t>
            </w:r>
          </w:p>
        </w:tc>
      </w:tr>
      <w:tr>
        <w:tc>
          <w:tcPr/>
          <w:p>
            <w:pPr>
              <w:pStyle w:val="Compact"/>
              <w:jc w:val="left"/>
            </w:pPr>
            <w:r>
              <w:t xml:space="preserve">Email</w:t>
            </w:r>
          </w:p>
        </w:tc>
        <w:tc>
          <w:tcPr/>
          <w:p>
            <w:pPr>
              <w:pStyle w:val="Compact"/>
              <w:jc w:val="left"/>
            </w:pPr>
            <w:r>
              <w:t xml:space="preserve">[Email Address]</w:t>
            </w:r>
          </w:p>
        </w:tc>
      </w:tr>
      <w:tr>
        <w:tc>
          <w:tcPr/>
          <w:p>
            <w:pPr>
              <w:pStyle w:val="Compact"/>
              <w:jc w:val="left"/>
            </w:pPr>
            <w:r>
              <w:t xml:space="preserve">Date Prepared</w:t>
            </w:r>
          </w:p>
        </w:tc>
        <w:tc>
          <w:tcPr/>
          <w:p>
            <w:pPr>
              <w:pStyle w:val="Compact"/>
              <w:jc w:val="left"/>
            </w:pPr>
            <w:r>
              <w:t xml:space="preserve">[Date]</w:t>
            </w:r>
          </w:p>
        </w:tc>
      </w:tr>
    </w:tbl>
    <w:bookmarkEnd w:id="21"/>
    <w:bookmarkStart w:id="22" w:name="device-information"/>
    <w:p>
      <w:pPr>
        <w:pStyle w:val="Heading3"/>
      </w:pPr>
      <w:r>
        <w:t xml:space="preserve">1.2 Device Information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Device Trade Name</w:t>
            </w:r>
          </w:p>
        </w:tc>
        <w:tc>
          <w:tcPr/>
          <w:p>
            <w:pPr>
              <w:pStyle w:val="Compact"/>
              <w:jc w:val="left"/>
            </w:pPr>
            <w:r>
              <w:t xml:space="preserve">Horizon Medical Holter ECG System</w:t>
            </w:r>
          </w:p>
        </w:tc>
      </w:tr>
      <w:tr>
        <w:tc>
          <w:tcPr/>
          <w:p>
            <w:pPr>
              <w:pStyle w:val="Compact"/>
              <w:jc w:val="left"/>
            </w:pPr>
            <w:r>
              <w:t xml:space="preserve">Device Common Name</w:t>
            </w:r>
          </w:p>
        </w:tc>
        <w:tc>
          <w:tcPr/>
          <w:p>
            <w:pPr>
              <w:pStyle w:val="Compact"/>
              <w:jc w:val="left"/>
            </w:pPr>
            <w:r>
              <w:t xml:space="preserve">Ambulatory Electrocardiographic Monitoring System</w:t>
            </w:r>
          </w:p>
        </w:tc>
      </w:tr>
      <w:tr>
        <w:tc>
          <w:tcPr/>
          <w:p>
            <w:pPr>
              <w:pStyle w:val="Compact"/>
              <w:jc w:val="left"/>
            </w:pPr>
            <w:r>
              <w:t xml:space="preserve">Device Model</w:t>
            </w:r>
          </w:p>
        </w:tc>
        <w:tc>
          <w:tcPr/>
          <w:p>
            <w:pPr>
              <w:pStyle w:val="Compact"/>
              <w:jc w:val="left"/>
            </w:pPr>
            <w:r>
              <w:t xml:space="preserve">HM-H100</w:t>
            </w:r>
          </w:p>
        </w:tc>
      </w:tr>
      <w:tr>
        <w:tc>
          <w:tcPr/>
          <w:p>
            <w:pPr>
              <w:pStyle w:val="Compact"/>
              <w:jc w:val="left"/>
            </w:pPr>
            <w:r>
              <w:t xml:space="preserve">Regulatory Class</w:t>
            </w:r>
          </w:p>
        </w:tc>
        <w:tc>
          <w:tcPr/>
          <w:p>
            <w:pPr>
              <w:pStyle w:val="Compact"/>
              <w:jc w:val="left"/>
            </w:pPr>
            <w:r>
              <w:t xml:space="preserve">Class II</w:t>
            </w:r>
          </w:p>
        </w:tc>
      </w:tr>
      <w:tr>
        <w:tc>
          <w:tcPr/>
          <w:p>
            <w:pPr>
              <w:pStyle w:val="Compact"/>
              <w:jc w:val="left"/>
            </w:pPr>
            <w:r>
              <w:t xml:space="preserve">Product Code</w:t>
            </w:r>
          </w:p>
        </w:tc>
        <w:tc>
          <w:tcPr/>
          <w:p>
            <w:pPr>
              <w:pStyle w:val="Compact"/>
              <w:jc w:val="left"/>
            </w:pPr>
            <w:r>
              <w:t xml:space="preserve">DRX</w:t>
            </w:r>
          </w:p>
        </w:tc>
      </w:tr>
      <w:tr>
        <w:tc>
          <w:tcPr/>
          <w:p>
            <w:pPr>
              <w:pStyle w:val="Compact"/>
              <w:jc w:val="left"/>
            </w:pPr>
            <w:r>
              <w:t xml:space="preserve">Regulation Number</w:t>
            </w:r>
          </w:p>
        </w:tc>
        <w:tc>
          <w:tcPr/>
          <w:p>
            <w:pPr>
              <w:pStyle w:val="Compact"/>
              <w:jc w:val="left"/>
            </w:pPr>
            <w:r>
              <w:t xml:space="preserve">21 CFR 870.2340</w:t>
            </w:r>
          </w:p>
        </w:tc>
      </w:tr>
      <w:tr>
        <w:tc>
          <w:tcPr/>
          <w:p>
            <w:pPr>
              <w:pStyle w:val="Compact"/>
              <w:jc w:val="left"/>
            </w:pPr>
            <w:r>
              <w:t xml:space="preserve">Panel</w:t>
            </w:r>
          </w:p>
        </w:tc>
        <w:tc>
          <w:tcPr/>
          <w:p>
            <w:pPr>
              <w:pStyle w:val="Compact"/>
              <w:jc w:val="left"/>
            </w:pPr>
            <w:r>
              <w:t xml:space="preserve">Cardiovascular</w:t>
            </w:r>
          </w:p>
        </w:tc>
      </w:tr>
    </w:tbl>
    <w:bookmarkEnd w:id="22"/>
    <w:bookmarkStart w:id="23" w:name="predicate-device"/>
    <w:p>
      <w:pPr>
        <w:pStyle w:val="Heading3"/>
      </w:pPr>
      <w:r>
        <w:t xml:space="preserve">1.3 Predicate Device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Predicate Trade Name</w:t>
            </w:r>
          </w:p>
        </w:tc>
        <w:tc>
          <w:tcPr/>
          <w:p>
            <w:pPr>
              <w:pStyle w:val="Compact"/>
              <w:jc w:val="left"/>
            </w:pPr>
            <w:r>
              <w:t xml:space="preserve">Zio XT Patch System</w:t>
            </w:r>
          </w:p>
        </w:tc>
      </w:tr>
      <w:tr>
        <w:tc>
          <w:tcPr/>
          <w:p>
            <w:pPr>
              <w:pStyle w:val="Compact"/>
              <w:jc w:val="left"/>
            </w:pPr>
            <w:r>
              <w:t xml:space="preserve">Predicate 510(k) Number</w:t>
            </w:r>
          </w:p>
        </w:tc>
        <w:tc>
          <w:tcPr/>
          <w:p>
            <w:pPr>
              <w:pStyle w:val="Compact"/>
              <w:jc w:val="left"/>
            </w:pPr>
            <w:r>
              <w:t xml:space="preserve">K142497</w:t>
            </w:r>
          </w:p>
        </w:tc>
      </w:tr>
      <w:tr>
        <w:tc>
          <w:tcPr/>
          <w:p>
            <w:pPr>
              <w:pStyle w:val="Compact"/>
              <w:jc w:val="left"/>
            </w:pPr>
            <w:r>
              <w:t xml:space="preserve">Predicate Manufacturer</w:t>
            </w:r>
          </w:p>
        </w:tc>
        <w:tc>
          <w:tcPr/>
          <w:p>
            <w:pPr>
              <w:pStyle w:val="Compact"/>
              <w:jc w:val="left"/>
            </w:pPr>
            <w:r>
              <w:t xml:space="preserve">iRhythm Technologies, Inc.</w:t>
            </w:r>
          </w:p>
        </w:tc>
      </w:tr>
    </w:tbl>
    <w:bookmarkEnd w:id="23"/>
    <w:bookmarkStart w:id="24" w:name="device-description-summary"/>
    <w:p>
      <w:pPr>
        <w:pStyle w:val="Heading3"/>
      </w:pPr>
      <w:r>
        <w:t xml:space="preserve">1.4 Device Description Summary</w:t>
      </w:r>
    </w:p>
    <w:p>
      <w:pPr>
        <w:pStyle w:val="FirstParagraph"/>
      </w:pPr>
      <w:r>
        <w:t xml:space="preserve">The Horizon Medical Holter ECG System is a prescription-use ambulatory electrocardiographic monitoring system intended for continuous recording and analysis of ECG signals for up to 48 hours. The system consists of a wearable ECG acquisition device (3-channel, Ag/AgCl surface electrodes), a mobile application (iOS/Android), a cloud-based analysis backend incorporating an AI/ML-based arrhythmia detection algorithm (CNN-LSTM), and a clinical web dashboard.</w:t>
      </w:r>
    </w:p>
    <w:bookmarkEnd w:id="24"/>
    <w:bookmarkStart w:id="25" w:name="substantial-equivalence-summary"/>
    <w:p>
      <w:pPr>
        <w:pStyle w:val="Heading3"/>
      </w:pPr>
      <w:r>
        <w:t xml:space="preserve">1.5 Substantial Equivalence Summary</w:t>
      </w:r>
    </w:p>
    <w:p>
      <w:pPr>
        <w:pStyle w:val="FirstParagraph"/>
      </w:pPr>
      <w:r>
        <w:t xml:space="preserve">The Horizon Medical Holter ECG System has the same intended use as the predicate device (ambulatory ECG monitoring with arrhythmia detection). Technological differences (3-channel vs. 1-channel ECG, real-time BLE connectivity, CNN-LSTM algorithm) do not raise new questions of safety or effectiveness, as demonstrated by bench testing, software verification and validation, AI algorithm validation, biocompatibility evaluation, and usability testing.</w:t>
      </w:r>
    </w:p>
    <w:p>
      <w:r>
        <w:pict>
          <v:rect style="width:0;height:1.5pt" o:hralign="center" o:hrstd="t" o:hr="t"/>
        </w:pict>
      </w:r>
    </w:p>
    <w:bookmarkEnd w:id="25"/>
    <w:bookmarkEnd w:id="26"/>
    <w:bookmarkStart w:id="28" w:name="X2dadd56bc0526370c8b2281833e765e8dbacab5"/>
    <w:p>
      <w:pPr>
        <w:pStyle w:val="Heading2"/>
      </w:pPr>
      <w:r>
        <w:t xml:space="preserve">Section 2: Indications for Use (FDA Form 3881)</w:t>
      </w:r>
    </w:p>
    <w:bookmarkStart w:id="27" w:name="indications-for-use-statement"/>
    <w:p>
      <w:pPr>
        <w:pStyle w:val="Heading3"/>
      </w:pPr>
      <w:r>
        <w:t xml:space="preserve">Indications for Use Statement</w:t>
      </w:r>
    </w:p>
    <w:p>
      <w:pPr>
        <w:pStyle w:val="FirstParagraph"/>
      </w:pPr>
      <w:r>
        <w:rPr>
          <w:bCs/>
          <w:b/>
        </w:rPr>
        <w:t xml:space="preserve">510(k) Number:</w:t>
      </w:r>
      <w:r>
        <w:t xml:space="preserve"> </w:t>
      </w:r>
      <w:r>
        <w:t xml:space="preserve">[To be assigned]</w:t>
      </w:r>
      <w:r>
        <w:br/>
      </w:r>
      <w:r>
        <w:rPr>
          <w:bCs/>
          <w:b/>
        </w:rPr>
        <w:t xml:space="preserve">Device Name:</w:t>
      </w:r>
      <w:r>
        <w:t xml:space="preserve"> </w:t>
      </w:r>
      <w:r>
        <w:t xml:space="preserve">Horizon Medical Holter ECG System</w:t>
      </w:r>
      <w:r>
        <w:br/>
      </w:r>
      <w:r>
        <w:rPr>
          <w:bCs/>
          <w:b/>
        </w:rPr>
        <w:t xml:space="preserve">Indications for Use:</w:t>
      </w:r>
    </w:p>
    <w:p>
      <w:pPr>
        <w:pStyle w:val="BodyText"/>
      </w:pPr>
      <w:r>
        <w:t xml:space="preserve">The Horizon Medical Holter ECG System is a prescription-use device intended for use by healthcare professionals for the continuous recording, storage, analysis, and display of ambulatory electrocardiographic (ECG) data from adult patients (≥18 years) for up to 48 hours.</w:t>
      </w:r>
    </w:p>
    <w:p>
      <w:pPr>
        <w:pStyle w:val="BodyText"/>
      </w:pPr>
      <w:r>
        <w:t xml:space="preserve">The device records 3-channel ECG signals using surface electrodes placed on the patient’s chest. The system includes an AI-based software function that provides automated detection and classification of cardiac arrhythmias, including atrial fibrillation, ventricular tachycardia, bradycardia, and premature complexes, as a clinical decision support tool.</w:t>
      </w:r>
    </w:p>
    <w:p>
      <w:pPr>
        <w:pStyle w:val="BodyText"/>
      </w:pPr>
      <w:r>
        <w:t xml:space="preserve">The AI-based arrhythmia detection results are intended to assist, not replace, the clinical judgment of a qualified healthcare professional. All AI-generated results must be reviewed and confirmed by a physician before any clinical action is taken.</w:t>
      </w:r>
    </w:p>
    <w:p>
      <w:pPr>
        <w:pStyle w:val="BodyText"/>
      </w:pPr>
      <w:r>
        <w:rPr>
          <w:bCs/>
          <w:b/>
        </w:rPr>
        <w:t xml:space="preserve">Prescription Use</w:t>
      </w:r>
      <w:r>
        <w:t xml:space="preserve"> </w:t>
      </w:r>
      <w:r>
        <w:t xml:space="preserve">☑</w:t>
      </w:r>
      <w:r>
        <w:br/>
      </w:r>
      <w:r>
        <w:rPr>
          <w:bCs/>
          <w:b/>
        </w:rPr>
        <w:t xml:space="preserve">Over-The-Counter Use</w:t>
      </w:r>
      <w:r>
        <w:t xml:space="preserve"> </w:t>
      </w:r>
      <w:r>
        <w:t xml:space="preserve">☐</w:t>
      </w:r>
    </w:p>
    <w:p>
      <w:r>
        <w:pict>
          <v:rect style="width:0;height:1.5pt" o:hralign="center" o:hrstd="t" o:hr="t"/>
        </w:pict>
      </w:r>
    </w:p>
    <w:bookmarkEnd w:id="27"/>
    <w:bookmarkEnd w:id="28"/>
    <w:bookmarkStart w:id="31" w:name="section-3-device-description"/>
    <w:p>
      <w:pPr>
        <w:pStyle w:val="Heading2"/>
      </w:pPr>
      <w:r>
        <w:t xml:space="preserve">Section 3: Device Description</w:t>
      </w:r>
    </w:p>
    <w:bookmarkStart w:id="29" w:name="system-overview"/>
    <w:p>
      <w:pPr>
        <w:pStyle w:val="Heading3"/>
      </w:pPr>
      <w:r>
        <w:t xml:space="preserve">3.1 System Overview</w:t>
      </w:r>
    </w:p>
    <w:p>
      <w:pPr>
        <w:pStyle w:val="FirstParagraph"/>
      </w:pPr>
      <w:r>
        <w:t xml:space="preserve">[See detailed description in 00-CLASIFICACION-DISPOSITIVO.md, Section 1]</w:t>
      </w:r>
    </w:p>
    <w:p>
      <w:pPr>
        <w:pStyle w:val="BodyText"/>
      </w:pPr>
      <w:r>
        <w:t xml:space="preserve">The system comprises:</w:t>
      </w:r>
      <w:r>
        <w:t xml:space="preserve"> </w:t>
      </w:r>
      <w:r>
        <w:t xml:space="preserve">1.</w:t>
      </w:r>
      <w:r>
        <w:t xml:space="preserve"> </w:t>
      </w:r>
      <w:r>
        <w:rPr>
          <w:bCs/>
          <w:b/>
        </w:rPr>
        <w:t xml:space="preserve">Wearable ECG Device (HM-H100):</w:t>
      </w:r>
      <w:r>
        <w:t xml:space="preserve"> </w:t>
      </w:r>
      <w:r>
        <w:t xml:space="preserve">Portable 3-channel ECG recorder with nRF52832 SoC, ADS1298 AFE, BLE 5.0 connectivity, LiPo battery (≥48h)</w:t>
      </w:r>
      <w:r>
        <w:t xml:space="preserve"> </w:t>
      </w:r>
      <w:r>
        <w:t xml:space="preserve">2.</w:t>
      </w:r>
      <w:r>
        <w:t xml:space="preserve"> </w:t>
      </w:r>
      <w:r>
        <w:rPr>
          <w:bCs/>
          <w:b/>
        </w:rPr>
        <w:t xml:space="preserve">Mobile Application:</w:t>
      </w:r>
      <w:r>
        <w:t xml:space="preserve"> </w:t>
      </w:r>
      <w:r>
        <w:t xml:space="preserve">iOS/Android app for real-time ECG display, data relay, symptom logging</w:t>
      </w:r>
      <w:r>
        <w:t xml:space="preserve"> </w:t>
      </w:r>
      <w:r>
        <w:t xml:space="preserve">3.</w:t>
      </w:r>
      <w:r>
        <w:t xml:space="preserve"> </w:t>
      </w:r>
      <w:r>
        <w:rPr>
          <w:bCs/>
          <w:b/>
        </w:rPr>
        <w:t xml:space="preserve">Cloud Backend:</w:t>
      </w:r>
      <w:r>
        <w:t xml:space="preserve"> </w:t>
      </w:r>
      <w:r>
        <w:t xml:space="preserve">Secure data processing, storage, AI/ML inference engine</w:t>
      </w:r>
      <w:r>
        <w:t xml:space="preserve"> </w:t>
      </w:r>
      <w:r>
        <w:t xml:space="preserve">4.</w:t>
      </w:r>
      <w:r>
        <w:t xml:space="preserve"> </w:t>
      </w:r>
      <w:r>
        <w:rPr>
          <w:bCs/>
          <w:b/>
        </w:rPr>
        <w:t xml:space="preserve">AI Module:</w:t>
      </w:r>
      <w:r>
        <w:t xml:space="preserve"> </w:t>
      </w:r>
      <w:r>
        <w:t xml:space="preserve">CNN-LSTM model for automated arrhythmia detection (11 classes)</w:t>
      </w:r>
      <w:r>
        <w:t xml:space="preserve"> </w:t>
      </w:r>
      <w:r>
        <w:t xml:space="preserve">5.</w:t>
      </w:r>
      <w:r>
        <w:t xml:space="preserve"> </w:t>
      </w:r>
      <w:r>
        <w:rPr>
          <w:bCs/>
          <w:b/>
        </w:rPr>
        <w:t xml:space="preserve">Clinical Dashboard:</w:t>
      </w:r>
      <w:r>
        <w:t xml:space="preserve"> </w:t>
      </w:r>
      <w:r>
        <w:t xml:space="preserve">Web-based interface for physician review and report generation</w:t>
      </w:r>
    </w:p>
    <w:bookmarkEnd w:id="29"/>
    <w:bookmarkStart w:id="30" w:name="principles-of-operation"/>
    <w:p>
      <w:pPr>
        <w:pStyle w:val="Heading3"/>
      </w:pPr>
      <w:r>
        <w:t xml:space="preserve">3.2 Principles of Operation</w:t>
      </w:r>
    </w:p>
    <w:p>
      <w:pPr>
        <w:pStyle w:val="FirstParagraph"/>
      </w:pPr>
      <w:r>
        <w:t xml:space="preserve">The device acquires surface ECG signals via Ag/AgCl electrodes, digitizes them at 500 Hz with 24-bit resolution, applies digital filtering, and transmits data via BLE to a mobile device. The mobile app relays data to the cloud backend via HTTPS/TLS 1.3. The AI module analyzes ECG segments using a CNN-LSTM architecture to detect and classify arrhythmias. Results are presented on the clinical dashboard for physician review.</w:t>
      </w:r>
    </w:p>
    <w:p>
      <w:r>
        <w:pict>
          <v:rect style="width:0;height:1.5pt" o:hralign="center" o:hrstd="t" o:hr="t"/>
        </w:pict>
      </w:r>
    </w:p>
    <w:bookmarkEnd w:id="30"/>
    <w:bookmarkEnd w:id="31"/>
    <w:bookmarkStart w:id="35" w:name="X5e78cd5e45d2d4bf32bbb74216a0733e82ccf35"/>
    <w:p>
      <w:pPr>
        <w:pStyle w:val="Heading2"/>
      </w:pPr>
      <w:r>
        <w:t xml:space="preserve">Section 4: Substantial Equivalence Discussion</w:t>
      </w:r>
    </w:p>
    <w:bookmarkStart w:id="32" w:name="comparison-table"/>
    <w:p>
      <w:pPr>
        <w:pStyle w:val="Heading3"/>
      </w:pPr>
      <w:r>
        <w:t xml:space="preserve">4.1 Comparison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Horizon HM-H100 (Subject)</w:t>
            </w:r>
          </w:p>
        </w:tc>
        <w:tc>
          <w:tcPr/>
          <w:p>
            <w:pPr>
              <w:pStyle w:val="Compact"/>
              <w:jc w:val="left"/>
            </w:pPr>
            <w:r>
              <w:t xml:space="preserve">Zio XT (Predicate K142497)</w:t>
            </w:r>
          </w:p>
        </w:tc>
        <w:tc>
          <w:tcPr/>
          <w:p>
            <w:pPr>
              <w:pStyle w:val="Compact"/>
              <w:jc w:val="left"/>
            </w:pPr>
            <w:r>
              <w:t xml:space="preserve">Difference Raises New Q?</w:t>
            </w:r>
          </w:p>
        </w:tc>
      </w:tr>
      <w:tr>
        <w:tc>
          <w:tcPr/>
          <w:p>
            <w:pPr>
              <w:pStyle w:val="Compact"/>
              <w:jc w:val="left"/>
            </w:pPr>
            <w:r>
              <w:rPr>
                <w:bCs/>
                <w:b/>
              </w:rPr>
              <w:t xml:space="preserve">Intended Use</w:t>
            </w:r>
          </w:p>
        </w:tc>
        <w:tc>
          <w:tcPr/>
          <w:p>
            <w:pPr>
              <w:pStyle w:val="Compact"/>
              <w:jc w:val="left"/>
            </w:pPr>
            <w:r>
              <w:t xml:space="preserve">Ambulatory ECG monitoring + arrhythmia detection</w:t>
            </w:r>
          </w:p>
        </w:tc>
        <w:tc>
          <w:tcPr/>
          <w:p>
            <w:pPr>
              <w:pStyle w:val="Compact"/>
              <w:jc w:val="left"/>
            </w:pPr>
            <w:r>
              <w:t xml:space="preserve">Ambulatory ECG monitoring + arrhythmia detection</w:t>
            </w:r>
          </w:p>
        </w:tc>
        <w:tc>
          <w:tcPr/>
          <w:p>
            <w:pPr>
              <w:pStyle w:val="Compact"/>
              <w:jc w:val="left"/>
            </w:pPr>
            <w:r>
              <w:t xml:space="preserve">No — Same</w:t>
            </w:r>
          </w:p>
        </w:tc>
      </w:tr>
      <w:tr>
        <w:tc>
          <w:tcPr/>
          <w:p>
            <w:pPr>
              <w:pStyle w:val="Compact"/>
              <w:jc w:val="left"/>
            </w:pPr>
            <w:r>
              <w:rPr>
                <w:bCs/>
                <w:b/>
              </w:rPr>
              <w:t xml:space="preserve">Patient Contact</w:t>
            </w:r>
          </w:p>
        </w:tc>
        <w:tc>
          <w:tcPr/>
          <w:p>
            <w:pPr>
              <w:pStyle w:val="Compact"/>
              <w:jc w:val="left"/>
            </w:pPr>
            <w:r>
              <w:t xml:space="preserve">Ag/AgCl electrodes on chest</w:t>
            </w:r>
          </w:p>
        </w:tc>
        <w:tc>
          <w:tcPr/>
          <w:p>
            <w:pPr>
              <w:pStyle w:val="Compact"/>
              <w:jc w:val="left"/>
            </w:pPr>
            <w:r>
              <w:t xml:space="preserve">Ag/AgCl electrodes on chest</w:t>
            </w:r>
          </w:p>
        </w:tc>
        <w:tc>
          <w:tcPr/>
          <w:p>
            <w:pPr>
              <w:pStyle w:val="Compact"/>
              <w:jc w:val="left"/>
            </w:pPr>
            <w:r>
              <w:t xml:space="preserve">No — Same</w:t>
            </w:r>
          </w:p>
        </w:tc>
      </w:tr>
      <w:tr>
        <w:tc>
          <w:tcPr/>
          <w:p>
            <w:pPr>
              <w:pStyle w:val="Compact"/>
              <w:jc w:val="left"/>
            </w:pPr>
            <w:r>
              <w:rPr>
                <w:bCs/>
                <w:b/>
              </w:rPr>
              <w:t xml:space="preserve">Number of Channels</w:t>
            </w:r>
          </w:p>
        </w:tc>
        <w:tc>
          <w:tcPr/>
          <w:p>
            <w:pPr>
              <w:pStyle w:val="Compact"/>
              <w:jc w:val="left"/>
            </w:pPr>
            <w:r>
              <w:t xml:space="preserve">3 channels</w:t>
            </w:r>
          </w:p>
        </w:tc>
        <w:tc>
          <w:tcPr/>
          <w:p>
            <w:pPr>
              <w:pStyle w:val="Compact"/>
              <w:jc w:val="left"/>
            </w:pPr>
            <w:r>
              <w:t xml:space="preserve">1 channel</w:t>
            </w:r>
          </w:p>
        </w:tc>
        <w:tc>
          <w:tcPr/>
          <w:p>
            <w:pPr>
              <w:pStyle w:val="Compact"/>
              <w:jc w:val="left"/>
            </w:pPr>
            <w:r>
              <w:t xml:space="preserve">No — More channels provide more diagnostic information</w:t>
            </w:r>
          </w:p>
        </w:tc>
      </w:tr>
      <w:tr>
        <w:tc>
          <w:tcPr/>
          <w:p>
            <w:pPr>
              <w:pStyle w:val="Compact"/>
              <w:jc w:val="left"/>
            </w:pPr>
            <w:r>
              <w:rPr>
                <w:bCs/>
                <w:b/>
              </w:rPr>
              <w:t xml:space="preserve">Recording Duration</w:t>
            </w:r>
          </w:p>
        </w:tc>
        <w:tc>
          <w:tcPr/>
          <w:p>
            <w:pPr>
              <w:pStyle w:val="Compact"/>
              <w:jc w:val="left"/>
            </w:pPr>
            <w:r>
              <w:t xml:space="preserve">Up to 48 hours</w:t>
            </w:r>
          </w:p>
        </w:tc>
        <w:tc>
          <w:tcPr/>
          <w:p>
            <w:pPr>
              <w:pStyle w:val="Compact"/>
              <w:jc w:val="left"/>
            </w:pPr>
            <w:r>
              <w:t xml:space="preserve">Up to 14 days</w:t>
            </w:r>
          </w:p>
        </w:tc>
        <w:tc>
          <w:tcPr/>
          <w:p>
            <w:pPr>
              <w:pStyle w:val="Compact"/>
              <w:jc w:val="left"/>
            </w:pPr>
            <w:r>
              <w:t xml:space="preserve">No — Shorter duration, same diagnostic purpose</w:t>
            </w:r>
          </w:p>
        </w:tc>
      </w:tr>
      <w:tr>
        <w:tc>
          <w:tcPr/>
          <w:p>
            <w:pPr>
              <w:pStyle w:val="Compact"/>
              <w:jc w:val="left"/>
            </w:pPr>
            <w:r>
              <w:rPr>
                <w:bCs/>
                <w:b/>
              </w:rPr>
              <w:t xml:space="preserve">Data Transmission</w:t>
            </w:r>
          </w:p>
        </w:tc>
        <w:tc>
          <w:tcPr/>
          <w:p>
            <w:pPr>
              <w:pStyle w:val="Compact"/>
              <w:jc w:val="left"/>
            </w:pPr>
            <w:r>
              <w:t xml:space="preserve">Real-time via BLE + cloud</w:t>
            </w:r>
          </w:p>
        </w:tc>
        <w:tc>
          <w:tcPr/>
          <w:p>
            <w:pPr>
              <w:pStyle w:val="Compact"/>
              <w:jc w:val="left"/>
            </w:pPr>
            <w:r>
              <w:t xml:space="preserve">Store and forward (mail-in device)</w:t>
            </w:r>
          </w:p>
        </w:tc>
        <w:tc>
          <w:tcPr/>
          <w:p>
            <w:pPr>
              <w:pStyle w:val="Compact"/>
              <w:jc w:val="left"/>
            </w:pPr>
            <w:r>
              <w:t xml:space="preserve">No — Real-time provides earlier detection</w:t>
            </w:r>
          </w:p>
        </w:tc>
      </w:tr>
      <w:tr>
        <w:tc>
          <w:tcPr/>
          <w:p>
            <w:pPr>
              <w:pStyle w:val="Compact"/>
              <w:jc w:val="left"/>
            </w:pPr>
            <w:r>
              <w:rPr>
                <w:bCs/>
                <w:b/>
              </w:rPr>
              <w:t xml:space="preserve">Arrhythmia Analysis</w:t>
            </w:r>
          </w:p>
        </w:tc>
        <w:tc>
          <w:tcPr/>
          <w:p>
            <w:pPr>
              <w:pStyle w:val="Compact"/>
              <w:jc w:val="left"/>
            </w:pPr>
            <w:r>
              <w:t xml:space="preserve">AI/ML (CNN-LSTM)</w:t>
            </w:r>
          </w:p>
        </w:tc>
        <w:tc>
          <w:tcPr/>
          <w:p>
            <w:pPr>
              <w:pStyle w:val="Compact"/>
              <w:jc w:val="left"/>
            </w:pPr>
            <w:r>
              <w:t xml:space="preserve">Proprietary algorithm</w:t>
            </w:r>
          </w:p>
        </w:tc>
        <w:tc>
          <w:tcPr/>
          <w:p>
            <w:pPr>
              <w:pStyle w:val="Compact"/>
              <w:jc w:val="left"/>
            </w:pPr>
            <w:r>
              <w:t xml:space="preserve">No — Both use computerized analysis</w:t>
            </w:r>
          </w:p>
        </w:tc>
      </w:tr>
      <w:tr>
        <w:tc>
          <w:tcPr/>
          <w:p>
            <w:pPr>
              <w:pStyle w:val="Compact"/>
              <w:jc w:val="left"/>
            </w:pPr>
            <w:r>
              <w:rPr>
                <w:bCs/>
                <w:b/>
              </w:rPr>
              <w:t xml:space="preserve">Power Source</w:t>
            </w:r>
          </w:p>
        </w:tc>
        <w:tc>
          <w:tcPr/>
          <w:p>
            <w:pPr>
              <w:pStyle w:val="Compact"/>
              <w:jc w:val="left"/>
            </w:pPr>
            <w:r>
              <w:t xml:space="preserve">Rechargeable LiPo</w:t>
            </w:r>
          </w:p>
        </w:tc>
        <w:tc>
          <w:tcPr/>
          <w:p>
            <w:pPr>
              <w:pStyle w:val="Compact"/>
              <w:jc w:val="left"/>
            </w:pPr>
            <w:r>
              <w:t xml:space="preserve">Non-rechargeable battery</w:t>
            </w:r>
          </w:p>
        </w:tc>
        <w:tc>
          <w:tcPr/>
          <w:p>
            <w:pPr>
              <w:pStyle w:val="Compact"/>
              <w:jc w:val="left"/>
            </w:pPr>
            <w:r>
              <w:t xml:space="preserve">No — Same function</w:t>
            </w:r>
          </w:p>
        </w:tc>
      </w:tr>
      <w:tr>
        <w:tc>
          <w:tcPr/>
          <w:p>
            <w:pPr>
              <w:pStyle w:val="Compact"/>
              <w:jc w:val="left"/>
            </w:pPr>
            <w:r>
              <w:rPr>
                <w:bCs/>
                <w:b/>
              </w:rPr>
              <w:t xml:space="preserve">Biocompatibility</w:t>
            </w:r>
          </w:p>
        </w:tc>
        <w:tc>
          <w:tcPr/>
          <w:p>
            <w:pPr>
              <w:pStyle w:val="Compact"/>
              <w:jc w:val="left"/>
            </w:pPr>
            <w:r>
              <w:t xml:space="preserve">Ag/AgCl, ABS/PC housing</w:t>
            </w:r>
          </w:p>
        </w:tc>
        <w:tc>
          <w:tcPr/>
          <w:p>
            <w:pPr>
              <w:pStyle w:val="Compact"/>
              <w:jc w:val="left"/>
            </w:pPr>
            <w:r>
              <w:t xml:space="preserve">Ag/AgCl, medical adhesive</w:t>
            </w:r>
          </w:p>
        </w:tc>
        <w:tc>
          <w:tcPr/>
          <w:p>
            <w:pPr>
              <w:pStyle w:val="Compact"/>
              <w:jc w:val="left"/>
            </w:pPr>
            <w:r>
              <w:t xml:space="preserve">No — Same material class</w:t>
            </w:r>
          </w:p>
        </w:tc>
      </w:tr>
      <w:tr>
        <w:tc>
          <w:tcPr/>
          <w:p>
            <w:pPr>
              <w:pStyle w:val="Compact"/>
              <w:jc w:val="left"/>
            </w:pPr>
            <w:r>
              <w:rPr>
                <w:bCs/>
                <w:b/>
              </w:rPr>
              <w:t xml:space="preserve">Prescription 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 Same</w:t>
            </w:r>
          </w:p>
        </w:tc>
      </w:tr>
      <w:tr>
        <w:tc>
          <w:tcPr/>
          <w:p>
            <w:pPr>
              <w:pStyle w:val="Compact"/>
              <w:jc w:val="left"/>
            </w:pPr>
            <w:r>
              <w:rPr>
                <w:bCs/>
                <w:b/>
              </w:rPr>
              <w:t xml:space="preserve">Patient Population</w:t>
            </w:r>
          </w:p>
        </w:tc>
        <w:tc>
          <w:tcPr/>
          <w:p>
            <w:pPr>
              <w:pStyle w:val="Compact"/>
              <w:jc w:val="left"/>
            </w:pPr>
            <w:r>
              <w:t xml:space="preserve">Adults ≥18 years</w:t>
            </w:r>
          </w:p>
        </w:tc>
        <w:tc>
          <w:tcPr/>
          <w:p>
            <w:pPr>
              <w:pStyle w:val="Compact"/>
              <w:jc w:val="left"/>
            </w:pPr>
            <w:r>
              <w:t xml:space="preserve">Adults ≥18 years</w:t>
            </w:r>
          </w:p>
        </w:tc>
        <w:tc>
          <w:tcPr/>
          <w:p>
            <w:pPr>
              <w:pStyle w:val="Compact"/>
              <w:jc w:val="left"/>
            </w:pPr>
            <w:r>
              <w:t xml:space="preserve">No — Same</w:t>
            </w:r>
          </w:p>
        </w:tc>
      </w:tr>
    </w:tbl>
    <w:bookmarkEnd w:id="32"/>
    <w:bookmarkStart w:id="33" w:name="X6a22a9e06f1c4697df48aab303eca111d0c3333"/>
    <w:p>
      <w:pPr>
        <w:pStyle w:val="Heading3"/>
      </w:pPr>
      <w:r>
        <w:t xml:space="preserve">4.2 Technological Differences and Justification</w:t>
      </w:r>
    </w:p>
    <w:p>
      <w:pPr>
        <w:pStyle w:val="FirstParagraph"/>
      </w:pPr>
      <w:r>
        <w:rPr>
          <w:bCs/>
          <w:b/>
        </w:rPr>
        <w:t xml:space="preserve">Difference 1: Real-time BLE connectivity (vs. store-and-forward)</w:t>
      </w:r>
      <w:r>
        <w:t xml:space="preserve"> </w:t>
      </w:r>
      <w:r>
        <w:t xml:space="preserve">- This represents an improvement that enables earlier detection of critical arrhythmias</w:t>
      </w:r>
      <w:r>
        <w:t xml:space="preserve"> </w:t>
      </w:r>
      <w:r>
        <w:t xml:space="preserve">- BLE communication is a well-established technology with known safety profile</w:t>
      </w:r>
      <w:r>
        <w:t xml:space="preserve"> </w:t>
      </w:r>
      <w:r>
        <w:t xml:space="preserve">- Does not raise new safety or effectiveness questions</w:t>
      </w:r>
    </w:p>
    <w:p>
      <w:pPr>
        <w:pStyle w:val="BodyText"/>
      </w:pPr>
      <w:r>
        <w:rPr>
          <w:bCs/>
          <w:b/>
        </w:rPr>
        <w:t xml:space="preserve">Difference 2: AI/ML algorithm (CNN-LSTM vs. proprietary)</w:t>
      </w:r>
      <w:r>
        <w:t xml:space="preserve"> </w:t>
      </w:r>
      <w:r>
        <w:t xml:space="preserve">- Both devices use computerized arrhythmia detection algorithms</w:t>
      </w:r>
      <w:r>
        <w:t xml:space="preserve"> </w:t>
      </w:r>
      <w:r>
        <w:t xml:space="preserve">- The CNN-LSTM architecture has been validated to achieve performance comparable to or exceeding the predicate’s algorithm (see Performance Data section)</w:t>
      </w:r>
      <w:r>
        <w:t xml:space="preserve"> </w:t>
      </w:r>
      <w:r>
        <w:t xml:space="preserve">- The AI module functions as a clinical decision support tool, same as the predicate</w:t>
      </w:r>
      <w:r>
        <w:t xml:space="preserve"> </w:t>
      </w:r>
      <w:r>
        <w:t xml:space="preserve">- Comprehensive AI/ML documentation provided per FDA guidance</w:t>
      </w:r>
    </w:p>
    <w:p>
      <w:pPr>
        <w:pStyle w:val="BodyText"/>
      </w:pPr>
      <w:r>
        <w:rPr>
          <w:bCs/>
          <w:b/>
        </w:rPr>
        <w:t xml:space="preserve">Difference 3: 3-channel ECG (vs. 1-channel)</w:t>
      </w:r>
      <w:r>
        <w:t xml:space="preserve"> </w:t>
      </w:r>
      <w:r>
        <w:t xml:space="preserve">- Additional channels provide more diagnostic information</w:t>
      </w:r>
      <w:r>
        <w:t xml:space="preserve"> </w:t>
      </w:r>
      <w:r>
        <w:t xml:space="preserve">- This is a clinical improvement, not a new safety concern</w:t>
      </w:r>
      <w:r>
        <w:t xml:space="preserve"> </w:t>
      </w:r>
      <w:r>
        <w:t xml:space="preserve">- 3-channel Holter is the traditional standard configuration</w:t>
      </w:r>
    </w:p>
    <w:bookmarkEnd w:id="33"/>
    <w:bookmarkStart w:id="34" w:name="conclusion"/>
    <w:p>
      <w:pPr>
        <w:pStyle w:val="Heading3"/>
      </w:pPr>
      <w:r>
        <w:t xml:space="preserve">4.3 Conclusion</w:t>
      </w:r>
    </w:p>
    <w:p>
      <w:pPr>
        <w:pStyle w:val="FirstParagraph"/>
      </w:pPr>
      <w:r>
        <w:t xml:space="preserve">The Horizon Medical Holter ECG System is</w:t>
      </w:r>
      <w:r>
        <w:t xml:space="preserve"> </w:t>
      </w:r>
      <w:r>
        <w:rPr>
          <w:bCs/>
          <w:b/>
        </w:rPr>
        <w:t xml:space="preserve">substantially equivalent</w:t>
      </w:r>
      <w:r>
        <w:t xml:space="preserve"> </w:t>
      </w:r>
      <w:r>
        <w:t xml:space="preserve">to the predicate device (Zio XT, K142497). The identified technological differences do not raise new questions of safety or effectiveness, as demonstrated by the non-clinical and clinical data presented in this submission.</w:t>
      </w:r>
    </w:p>
    <w:p>
      <w:r>
        <w:pict>
          <v:rect style="width:0;height:1.5pt" o:hralign="center" o:hrstd="t" o:hr="t"/>
        </w:pict>
      </w:r>
    </w:p>
    <w:bookmarkEnd w:id="34"/>
    <w:bookmarkEnd w:id="35"/>
    <w:bookmarkStart w:id="40" w:name="section-5-performance-data"/>
    <w:p>
      <w:pPr>
        <w:pStyle w:val="Heading2"/>
      </w:pPr>
      <w:r>
        <w:t xml:space="preserve">Section 5: Performance Data</w:t>
      </w:r>
    </w:p>
    <w:bookmarkStart w:id="36" w:name="non-clinical-bench-testing"/>
    <w:p>
      <w:pPr>
        <w:pStyle w:val="Heading3"/>
      </w:pPr>
      <w:r>
        <w:t xml:space="preserve">5.1 Non-Clinical (Bench) Testing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Standard</w:t>
            </w:r>
          </w:p>
        </w:tc>
        <w:tc>
          <w:tcPr/>
          <w:p>
            <w:pPr>
              <w:pStyle w:val="Compact"/>
              <w:jc w:val="left"/>
            </w:pPr>
            <w:r>
              <w:t xml:space="preserve">Result</w:t>
            </w:r>
          </w:p>
        </w:tc>
      </w:tr>
      <w:tr>
        <w:tc>
          <w:tcPr/>
          <w:p>
            <w:pPr>
              <w:pStyle w:val="Compact"/>
              <w:jc w:val="left"/>
            </w:pPr>
            <w:r>
              <w:t xml:space="preserve">Electrical Safety</w:t>
            </w:r>
          </w:p>
        </w:tc>
        <w:tc>
          <w:tcPr/>
          <w:p>
            <w:pPr>
              <w:pStyle w:val="Compact"/>
              <w:jc w:val="left"/>
            </w:pPr>
            <w:r>
              <w:t xml:space="preserve">IEC 60601-1:2020</w:t>
            </w:r>
          </w:p>
        </w:tc>
        <w:tc>
          <w:tcPr/>
          <w:p>
            <w:pPr>
              <w:pStyle w:val="Compact"/>
              <w:jc w:val="left"/>
            </w:pPr>
            <w:r>
              <w:t xml:space="preserve">PASS — Report #[XXX]</w:t>
            </w:r>
          </w:p>
        </w:tc>
      </w:tr>
      <w:tr>
        <w:tc>
          <w:tcPr/>
          <w:p>
            <w:pPr>
              <w:pStyle w:val="Compact"/>
              <w:jc w:val="left"/>
            </w:pPr>
            <w:r>
              <w:t xml:space="preserve">EMC</w:t>
            </w:r>
          </w:p>
        </w:tc>
        <w:tc>
          <w:tcPr/>
          <w:p>
            <w:pPr>
              <w:pStyle w:val="Compact"/>
              <w:jc w:val="left"/>
            </w:pPr>
            <w:r>
              <w:t xml:space="preserve">IEC 60601-1-2:2014+AMD1</w:t>
            </w:r>
          </w:p>
        </w:tc>
        <w:tc>
          <w:tcPr/>
          <w:p>
            <w:pPr>
              <w:pStyle w:val="Compact"/>
              <w:jc w:val="left"/>
            </w:pPr>
            <w:r>
              <w:t xml:space="preserve">PASS — Report #[XXX]</w:t>
            </w:r>
          </w:p>
        </w:tc>
      </w:tr>
      <w:tr>
        <w:tc>
          <w:tcPr/>
          <w:p>
            <w:pPr>
              <w:pStyle w:val="Compact"/>
              <w:jc w:val="left"/>
            </w:pPr>
            <w:r>
              <w:t xml:space="preserve">Holter-specific</w:t>
            </w:r>
          </w:p>
        </w:tc>
        <w:tc>
          <w:tcPr/>
          <w:p>
            <w:pPr>
              <w:pStyle w:val="Compact"/>
              <w:jc w:val="left"/>
            </w:pPr>
            <w:r>
              <w:t xml:space="preserve">IEC 60601-2-47:2012+AMD1</w:t>
            </w:r>
          </w:p>
        </w:tc>
        <w:tc>
          <w:tcPr/>
          <w:p>
            <w:pPr>
              <w:pStyle w:val="Compact"/>
              <w:jc w:val="left"/>
            </w:pPr>
            <w:r>
              <w:t xml:space="preserve">PASS — Report #[XXX]</w:t>
            </w:r>
          </w:p>
        </w:tc>
      </w:tr>
      <w:tr>
        <w:tc>
          <w:tcPr/>
          <w:p>
            <w:pPr>
              <w:pStyle w:val="Compact"/>
              <w:jc w:val="left"/>
            </w:pPr>
            <w:r>
              <w:t xml:space="preserve">ECG Accuracy</w:t>
            </w:r>
          </w:p>
        </w:tc>
        <w:tc>
          <w:tcPr/>
          <w:p>
            <w:pPr>
              <w:pStyle w:val="Compact"/>
              <w:jc w:val="left"/>
            </w:pPr>
            <w:r>
              <w:t xml:space="preserve">AHA/AAMI EC38</w:t>
            </w:r>
          </w:p>
        </w:tc>
        <w:tc>
          <w:tcPr/>
          <w:p>
            <w:pPr>
              <w:pStyle w:val="Compact"/>
              <w:jc w:val="left"/>
            </w:pPr>
            <w:r>
              <w:t xml:space="preserve">Meets all accuracy requirements</w:t>
            </w:r>
          </w:p>
        </w:tc>
      </w:tr>
      <w:tr>
        <w:tc>
          <w:tcPr/>
          <w:p>
            <w:pPr>
              <w:pStyle w:val="Compact"/>
              <w:jc w:val="left"/>
            </w:pPr>
            <w:r>
              <w:t xml:space="preserve">Battery Safety</w:t>
            </w:r>
          </w:p>
        </w:tc>
        <w:tc>
          <w:tcPr/>
          <w:p>
            <w:pPr>
              <w:pStyle w:val="Compact"/>
              <w:jc w:val="left"/>
            </w:pPr>
            <w:r>
              <w:t xml:space="preserve">IEC 62133-2:2017</w:t>
            </w:r>
          </w:p>
        </w:tc>
        <w:tc>
          <w:tcPr/>
          <w:p>
            <w:pPr>
              <w:pStyle w:val="Compact"/>
              <w:jc w:val="left"/>
            </w:pPr>
            <w:r>
              <w:t xml:space="preserve">PASS — Report #[XXX]</w:t>
            </w:r>
          </w:p>
        </w:tc>
      </w:tr>
      <w:tr>
        <w:tc>
          <w:tcPr/>
          <w:p>
            <w:pPr>
              <w:pStyle w:val="Compact"/>
              <w:jc w:val="left"/>
            </w:pPr>
            <w:r>
              <w:t xml:space="preserve">Biocompatibility</w:t>
            </w:r>
          </w:p>
        </w:tc>
        <w:tc>
          <w:tcPr/>
          <w:p>
            <w:pPr>
              <w:pStyle w:val="Compact"/>
              <w:jc w:val="left"/>
            </w:pPr>
            <w:r>
              <w:t xml:space="preserve">ISO 10993-5, -10</w:t>
            </w:r>
          </w:p>
        </w:tc>
        <w:tc>
          <w:tcPr/>
          <w:p>
            <w:pPr>
              <w:pStyle w:val="Compact"/>
              <w:jc w:val="left"/>
            </w:pPr>
            <w:r>
              <w:t xml:space="preserve">PASS — Report #[XXX]</w:t>
            </w:r>
          </w:p>
        </w:tc>
      </w:tr>
      <w:tr>
        <w:tc>
          <w:tcPr/>
          <w:p>
            <w:pPr>
              <w:pStyle w:val="Compact"/>
              <w:jc w:val="left"/>
            </w:pPr>
            <w:r>
              <w:t xml:space="preserve">BLE Performance</w:t>
            </w:r>
          </w:p>
        </w:tc>
        <w:tc>
          <w:tcPr/>
          <w:p>
            <w:pPr>
              <w:pStyle w:val="Compact"/>
              <w:jc w:val="left"/>
            </w:pPr>
            <w:r>
              <w:t xml:space="preserve">Bluetooth SIG</w:t>
            </w:r>
          </w:p>
        </w:tc>
        <w:tc>
          <w:tcPr/>
          <w:p>
            <w:pPr>
              <w:pStyle w:val="Compact"/>
              <w:jc w:val="left"/>
            </w:pPr>
            <w:r>
              <w:t xml:space="preserve">PASS — Range ≥10m, stable throughput</w:t>
            </w:r>
          </w:p>
        </w:tc>
      </w:tr>
    </w:tbl>
    <w:bookmarkEnd w:id="36"/>
    <w:bookmarkStart w:id="37" w:name="software-testing-summary"/>
    <w:p>
      <w:pPr>
        <w:pStyle w:val="Heading3"/>
      </w:pPr>
      <w:r>
        <w:t xml:space="preserve">5.2 Software Testing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Test Level</w:t>
            </w:r>
          </w:p>
        </w:tc>
        <w:tc>
          <w:tcPr/>
          <w:p>
            <w:pPr>
              <w:pStyle w:val="Compact"/>
              <w:jc w:val="left"/>
            </w:pPr>
            <w:r>
              <w:t xml:space="preserve">Test Cases</w:t>
            </w:r>
          </w:p>
        </w:tc>
        <w:tc>
          <w:tcPr/>
          <w:p>
            <w:pPr>
              <w:pStyle w:val="Compact"/>
              <w:jc w:val="left"/>
            </w:pPr>
            <w:r>
              <w:t xml:space="preserve">Pass</w:t>
            </w:r>
          </w:p>
        </w:tc>
        <w:tc>
          <w:tcPr/>
          <w:p>
            <w:pPr>
              <w:pStyle w:val="Compact"/>
              <w:jc w:val="left"/>
            </w:pPr>
            <w:r>
              <w:t xml:space="preserve">Fail</w:t>
            </w:r>
          </w:p>
        </w:tc>
        <w:tc>
          <w:tcPr/>
          <w:p>
            <w:pPr>
              <w:pStyle w:val="Compact"/>
              <w:jc w:val="left"/>
            </w:pPr>
            <w:r>
              <w:t xml:space="preserve">Coverage</w:t>
            </w:r>
          </w:p>
        </w:tc>
      </w:tr>
      <w:tr>
        <w:tc>
          <w:tcPr/>
          <w:p>
            <w:pPr>
              <w:pStyle w:val="Compact"/>
              <w:jc w:val="left"/>
            </w:pPr>
            <w:r>
              <w:t xml:space="preserve">Unit Testing</w:t>
            </w:r>
          </w:p>
        </w:tc>
        <w:tc>
          <w:tcPr/>
          <w:p>
            <w:pPr>
              <w:pStyle w:val="Compact"/>
              <w:jc w:val="left"/>
            </w:pPr>
            <w:r>
              <w:t xml:space="preserve">[N]</w:t>
            </w:r>
          </w:p>
        </w:tc>
        <w:tc>
          <w:tcPr/>
          <w:p>
            <w:pPr>
              <w:pStyle w:val="Compact"/>
              <w:jc w:val="left"/>
            </w:pPr>
            <w:r>
              <w:t xml:space="preserve">[N]</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Integration Testing</w:t>
            </w:r>
          </w:p>
        </w:tc>
        <w:tc>
          <w:tcPr/>
          <w:p>
            <w:pPr>
              <w:pStyle w:val="Compact"/>
              <w:jc w:val="left"/>
            </w:pPr>
            <w:r>
              <w:t xml:space="preserve">[N]</w:t>
            </w:r>
          </w:p>
        </w:tc>
        <w:tc>
          <w:tcPr/>
          <w:p>
            <w:pPr>
              <w:pStyle w:val="Compact"/>
              <w:jc w:val="left"/>
            </w:pPr>
            <w:r>
              <w:t xml:space="preserve">[N]</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System Testing</w:t>
            </w:r>
          </w:p>
        </w:tc>
        <w:tc>
          <w:tcPr/>
          <w:p>
            <w:pPr>
              <w:pStyle w:val="Compact"/>
              <w:jc w:val="left"/>
            </w:pPr>
            <w:r>
              <w:t xml:space="preserve">[N]</w:t>
            </w:r>
          </w:p>
        </w:tc>
        <w:tc>
          <w:tcPr/>
          <w:p>
            <w:pPr>
              <w:pStyle w:val="Compact"/>
              <w:jc w:val="left"/>
            </w:pPr>
            <w:r>
              <w:t xml:space="preserve">[N]</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Regression Testing</w:t>
            </w:r>
          </w:p>
        </w:tc>
        <w:tc>
          <w:tcPr/>
          <w:p>
            <w:pPr>
              <w:pStyle w:val="Compact"/>
              <w:jc w:val="left"/>
            </w:pPr>
            <w:r>
              <w:t xml:space="preserve">[N]</w:t>
            </w:r>
          </w:p>
        </w:tc>
        <w:tc>
          <w:tcPr/>
          <w:p>
            <w:pPr>
              <w:pStyle w:val="Compact"/>
              <w:jc w:val="left"/>
            </w:pPr>
            <w:r>
              <w:t xml:space="preserve">[N]</w:t>
            </w:r>
          </w:p>
        </w:tc>
        <w:tc>
          <w:tcPr/>
          <w:p>
            <w:pPr>
              <w:pStyle w:val="Compact"/>
              <w:jc w:val="left"/>
            </w:pPr>
            <w:r>
              <w:t xml:space="preserve">0</w:t>
            </w:r>
          </w:p>
        </w:tc>
        <w:tc>
          <w:tcPr/>
          <w:p>
            <w:pPr>
              <w:pStyle w:val="Compact"/>
              <w:jc w:val="left"/>
            </w:pPr>
            <w:r>
              <w:t xml:space="preserve">—</w:t>
            </w:r>
          </w:p>
        </w:tc>
      </w:tr>
    </w:tbl>
    <w:bookmarkEnd w:id="37"/>
    <w:bookmarkStart w:id="38" w:name="aiml-algorithm-performance"/>
    <w:p>
      <w:pPr>
        <w:pStyle w:val="Heading3"/>
      </w:pPr>
      <w:r>
        <w:t xml:space="preserve">5.3 AI/ML Algorithm Performance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Arrhythmia</w:t>
            </w:r>
          </w:p>
        </w:tc>
        <w:tc>
          <w:tcPr/>
          <w:p>
            <w:pPr>
              <w:pStyle w:val="Compact"/>
              <w:jc w:val="left"/>
            </w:pPr>
            <w:r>
              <w:t xml:space="preserve">Sensitivity</w:t>
            </w:r>
          </w:p>
        </w:tc>
        <w:tc>
          <w:tcPr/>
          <w:p>
            <w:pPr>
              <w:pStyle w:val="Compact"/>
              <w:jc w:val="left"/>
            </w:pPr>
            <w:r>
              <w:t xml:space="preserve">Specificity</w:t>
            </w:r>
          </w:p>
        </w:tc>
        <w:tc>
          <w:tcPr/>
          <w:p>
            <w:pPr>
              <w:pStyle w:val="Compact"/>
              <w:jc w:val="left"/>
            </w:pPr>
            <w:r>
              <w:t xml:space="preserve">AUC-ROC</w:t>
            </w:r>
          </w:p>
        </w:tc>
      </w:tr>
      <w:tr>
        <w:tc>
          <w:tcPr/>
          <w:p>
            <w:pPr>
              <w:pStyle w:val="Compact"/>
              <w:jc w:val="left"/>
            </w:pPr>
            <w:r>
              <w:t xml:space="preserve">Atrial Fibrillation</w:t>
            </w:r>
          </w:p>
        </w:tc>
        <w:tc>
          <w:tcPr/>
          <w:p>
            <w:pPr>
              <w:pStyle w:val="Compact"/>
              <w:jc w:val="left"/>
            </w:pPr>
            <w:r>
              <w:t xml:space="preserve">[≥95%]</w:t>
            </w:r>
          </w:p>
        </w:tc>
        <w:tc>
          <w:tcPr/>
          <w:p>
            <w:pPr>
              <w:pStyle w:val="Compact"/>
              <w:jc w:val="left"/>
            </w:pPr>
            <w:r>
              <w:t xml:space="preserve">[≥95%]</w:t>
            </w:r>
          </w:p>
        </w:tc>
        <w:tc>
          <w:tcPr/>
          <w:p>
            <w:pPr>
              <w:pStyle w:val="Compact"/>
              <w:jc w:val="left"/>
            </w:pPr>
            <w:r>
              <w:t xml:space="preserve">[≥0.97]</w:t>
            </w:r>
          </w:p>
        </w:tc>
      </w:tr>
      <w:tr>
        <w:tc>
          <w:tcPr/>
          <w:p>
            <w:pPr>
              <w:pStyle w:val="Compact"/>
              <w:jc w:val="left"/>
            </w:pPr>
            <w:r>
              <w:t xml:space="preserve">Ventricular Tachycardia</w:t>
            </w:r>
          </w:p>
        </w:tc>
        <w:tc>
          <w:tcPr/>
          <w:p>
            <w:pPr>
              <w:pStyle w:val="Compact"/>
              <w:jc w:val="left"/>
            </w:pPr>
            <w:r>
              <w:t xml:space="preserve">[≥95%]</w:t>
            </w:r>
          </w:p>
        </w:tc>
        <w:tc>
          <w:tcPr/>
          <w:p>
            <w:pPr>
              <w:pStyle w:val="Compact"/>
              <w:jc w:val="left"/>
            </w:pPr>
            <w:r>
              <w:t xml:space="preserve">[≥98%]</w:t>
            </w:r>
          </w:p>
        </w:tc>
        <w:tc>
          <w:tcPr/>
          <w:p>
            <w:pPr>
              <w:pStyle w:val="Compact"/>
              <w:jc w:val="left"/>
            </w:pPr>
            <w:r>
              <w:t xml:space="preserve">[≥0.98]</w:t>
            </w:r>
          </w:p>
        </w:tc>
      </w:tr>
      <w:tr>
        <w:tc>
          <w:tcPr/>
          <w:p>
            <w:pPr>
              <w:pStyle w:val="Compact"/>
              <w:jc w:val="left"/>
            </w:pPr>
            <w:r>
              <w:t xml:space="preserve">Bradycardia</w:t>
            </w:r>
          </w:p>
        </w:tc>
        <w:tc>
          <w:tcPr/>
          <w:p>
            <w:pPr>
              <w:pStyle w:val="Compact"/>
              <w:jc w:val="left"/>
            </w:pPr>
            <w:r>
              <w:t xml:space="preserve">[≥90%]</w:t>
            </w:r>
          </w:p>
        </w:tc>
        <w:tc>
          <w:tcPr/>
          <w:p>
            <w:pPr>
              <w:pStyle w:val="Compact"/>
              <w:jc w:val="left"/>
            </w:pPr>
            <w:r>
              <w:t xml:space="preserve">[≥95%]</w:t>
            </w:r>
          </w:p>
        </w:tc>
        <w:tc>
          <w:tcPr/>
          <w:p>
            <w:pPr>
              <w:pStyle w:val="Compact"/>
              <w:jc w:val="left"/>
            </w:pPr>
            <w:r>
              <w:t xml:space="preserve">[≥0.95]</w:t>
            </w:r>
          </w:p>
        </w:tc>
      </w:tr>
      <w:tr>
        <w:tc>
          <w:tcPr/>
          <w:p>
            <w:pPr>
              <w:pStyle w:val="Compact"/>
              <w:jc w:val="left"/>
            </w:pPr>
            <w:r>
              <w:t xml:space="preserve">PVC</w:t>
            </w:r>
          </w:p>
        </w:tc>
        <w:tc>
          <w:tcPr/>
          <w:p>
            <w:pPr>
              <w:pStyle w:val="Compact"/>
              <w:jc w:val="left"/>
            </w:pPr>
            <w:r>
              <w:t xml:space="preserve">[≥85%]</w:t>
            </w:r>
          </w:p>
        </w:tc>
        <w:tc>
          <w:tcPr/>
          <w:p>
            <w:pPr>
              <w:pStyle w:val="Compact"/>
              <w:jc w:val="left"/>
            </w:pPr>
            <w:r>
              <w:t xml:space="preserve">[≥95%]</w:t>
            </w:r>
          </w:p>
        </w:tc>
        <w:tc>
          <w:tcPr/>
          <w:p>
            <w:pPr>
              <w:pStyle w:val="Compact"/>
              <w:jc w:val="left"/>
            </w:pPr>
            <w:r>
              <w:t xml:space="preserve">[≥0.93]</w:t>
            </w:r>
          </w:p>
        </w:tc>
      </w:tr>
    </w:tbl>
    <w:p>
      <w:pPr>
        <w:pStyle w:val="BodyText"/>
      </w:pPr>
      <w:r>
        <w:t xml:space="preserve">[Full AI/ML documentation provided as separate exhibit]</w:t>
      </w:r>
    </w:p>
    <w:bookmarkEnd w:id="38"/>
    <w:bookmarkStart w:id="39" w:name="usability-testing-summary"/>
    <w:p>
      <w:pPr>
        <w:pStyle w:val="Heading3"/>
      </w:pPr>
      <w:r>
        <w:t xml:space="preserve">5.4 Usability Testing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Population</w:t>
            </w:r>
          </w:p>
        </w:tc>
        <w:tc>
          <w:tcPr/>
          <w:p>
            <w:pPr>
              <w:pStyle w:val="Compact"/>
              <w:jc w:val="left"/>
            </w:pPr>
            <w:r>
              <w:t xml:space="preserve">N</w:t>
            </w:r>
          </w:p>
        </w:tc>
        <w:tc>
          <w:tcPr/>
          <w:p>
            <w:pPr>
              <w:pStyle w:val="Compact"/>
              <w:jc w:val="left"/>
            </w:pPr>
            <w:r>
              <w:t xml:space="preserve">Critical Use Errors</w:t>
            </w:r>
          </w:p>
        </w:tc>
        <w:tc>
          <w:tcPr/>
          <w:p>
            <w:pPr>
              <w:pStyle w:val="Compact"/>
              <w:jc w:val="left"/>
            </w:pPr>
            <w:r>
              <w:t xml:space="preserve">Task Completion</w:t>
            </w:r>
          </w:p>
        </w:tc>
      </w:tr>
      <w:tr>
        <w:tc>
          <w:tcPr/>
          <w:p>
            <w:pPr>
              <w:pStyle w:val="Compact"/>
              <w:jc w:val="left"/>
            </w:pPr>
            <w:r>
              <w:t xml:space="preserve">Patients</w:t>
            </w:r>
          </w:p>
        </w:tc>
        <w:tc>
          <w:tcPr/>
          <w:p>
            <w:pPr>
              <w:pStyle w:val="Compact"/>
              <w:jc w:val="left"/>
            </w:pPr>
            <w:r>
              <w:t xml:space="preserve">[N]</w:t>
            </w:r>
          </w:p>
        </w:tc>
        <w:tc>
          <w:tcPr/>
          <w:p>
            <w:pPr>
              <w:pStyle w:val="Compact"/>
              <w:jc w:val="left"/>
            </w:pPr>
            <w:r>
              <w:t xml:space="preserve">0</w:t>
            </w:r>
          </w:p>
        </w:tc>
        <w:tc>
          <w:tcPr/>
          <w:p>
            <w:pPr>
              <w:pStyle w:val="Compact"/>
              <w:jc w:val="left"/>
            </w:pPr>
            <w:r>
              <w:t xml:space="preserve">[≥95%]</w:t>
            </w:r>
          </w:p>
        </w:tc>
      </w:tr>
      <w:tr>
        <w:tc>
          <w:tcPr/>
          <w:p>
            <w:pPr>
              <w:pStyle w:val="Compact"/>
              <w:jc w:val="left"/>
            </w:pPr>
            <w:r>
              <w:t xml:space="preserve">Clinicians (dashboard)</w:t>
            </w:r>
          </w:p>
        </w:tc>
        <w:tc>
          <w:tcPr/>
          <w:p>
            <w:pPr>
              <w:pStyle w:val="Compact"/>
              <w:jc w:val="left"/>
            </w:pPr>
            <w:r>
              <w:t xml:space="preserve">[N]</w:t>
            </w:r>
          </w:p>
        </w:tc>
        <w:tc>
          <w:tcPr/>
          <w:p>
            <w:pPr>
              <w:pStyle w:val="Compact"/>
              <w:jc w:val="left"/>
            </w:pPr>
            <w:r>
              <w:t xml:space="preserve">0</w:t>
            </w:r>
          </w:p>
        </w:tc>
        <w:tc>
          <w:tcPr/>
          <w:p>
            <w:pPr>
              <w:pStyle w:val="Compact"/>
              <w:jc w:val="left"/>
            </w:pPr>
            <w:r>
              <w:t xml:space="preserve">[≥95%]</w:t>
            </w:r>
          </w:p>
        </w:tc>
      </w:tr>
      <w:tr>
        <w:tc>
          <w:tcPr/>
          <w:p>
            <w:pPr>
              <w:pStyle w:val="Compact"/>
              <w:jc w:val="left"/>
            </w:pPr>
            <w:r>
              <w:t xml:space="preserve">Technicians (placement)</w:t>
            </w:r>
          </w:p>
        </w:tc>
        <w:tc>
          <w:tcPr/>
          <w:p>
            <w:pPr>
              <w:pStyle w:val="Compact"/>
              <w:jc w:val="left"/>
            </w:pPr>
            <w:r>
              <w:t xml:space="preserve">[N]</w:t>
            </w:r>
          </w:p>
        </w:tc>
        <w:tc>
          <w:tcPr/>
          <w:p>
            <w:pPr>
              <w:pStyle w:val="Compact"/>
              <w:jc w:val="left"/>
            </w:pPr>
            <w:r>
              <w:t xml:space="preserve">0</w:t>
            </w:r>
          </w:p>
        </w:tc>
        <w:tc>
          <w:tcPr/>
          <w:p>
            <w:pPr>
              <w:pStyle w:val="Compact"/>
              <w:jc w:val="left"/>
            </w:pPr>
            <w:r>
              <w:t xml:space="preserve">[100%]</w:t>
            </w:r>
          </w:p>
        </w:tc>
      </w:tr>
    </w:tbl>
    <w:p>
      <w:r>
        <w:pict>
          <v:rect style="width:0;height:1.5pt" o:hralign="center" o:hrstd="t" o:hr="t"/>
        </w:pict>
      </w:r>
    </w:p>
    <w:bookmarkEnd w:id="39"/>
    <w:bookmarkEnd w:id="40"/>
    <w:bookmarkStart w:id="43" w:name="section-6-labeling"/>
    <w:p>
      <w:pPr>
        <w:pStyle w:val="Heading2"/>
      </w:pPr>
      <w:r>
        <w:t xml:space="preserve">Section 6: Labeling</w:t>
      </w:r>
    </w:p>
    <w:bookmarkStart w:id="41" w:name="instructions-for-use-summary"/>
    <w:p>
      <w:pPr>
        <w:pStyle w:val="Heading3"/>
      </w:pPr>
      <w:r>
        <w:t xml:space="preserve">6.1 Instructions for Use (Summary)</w:t>
      </w:r>
    </w:p>
    <w:p>
      <w:pPr>
        <w:pStyle w:val="FirstParagraph"/>
      </w:pPr>
      <w:r>
        <w:t xml:space="preserve">The complete Instructions for Use (IFU) are provided as Exhibit [X] and include:</w:t>
      </w:r>
      <w:r>
        <w:t xml:space="preserve"> </w:t>
      </w:r>
      <w:r>
        <w:t xml:space="preserve">- Device description and components</w:t>
      </w:r>
      <w:r>
        <w:t xml:space="preserve"> </w:t>
      </w:r>
      <w:r>
        <w:t xml:space="preserve">- Indications for use and contraindications</w:t>
      </w:r>
      <w:r>
        <w:t xml:space="preserve"> </w:t>
      </w:r>
      <w:r>
        <w:t xml:space="preserve">- Warnings and precautions</w:t>
      </w:r>
      <w:r>
        <w:t xml:space="preserve"> </w:t>
      </w:r>
      <w:r>
        <w:t xml:space="preserve">- Patient preparation and electrode placement instructions</w:t>
      </w:r>
      <w:r>
        <w:t xml:space="preserve"> </w:t>
      </w:r>
      <w:r>
        <w:t xml:space="preserve">- Mobile app setup and operation</w:t>
      </w:r>
      <w:r>
        <w:t xml:space="preserve"> </w:t>
      </w:r>
      <w:r>
        <w:t xml:space="preserve">- Troubleshooting guide</w:t>
      </w:r>
      <w:r>
        <w:t xml:space="preserve"> </w:t>
      </w:r>
      <w:r>
        <w:t xml:space="preserve">- Technical specifications</w:t>
      </w:r>
      <w:r>
        <w:t xml:space="preserve"> </w:t>
      </w:r>
      <w:r>
        <w:t xml:space="preserve">- Explanation of AI/ML functionality and limitations</w:t>
      </w:r>
      <w:r>
        <w:t xml:space="preserve"> </w:t>
      </w:r>
      <w:r>
        <w:t xml:space="preserve">- Symbol glossary (ISO 15223-1)</w:t>
      </w:r>
      <w:r>
        <w:t xml:space="preserve"> </w:t>
      </w:r>
      <w:r>
        <w:t xml:space="preserve">- Maintenance and disposal instructions</w:t>
      </w:r>
    </w:p>
    <w:bookmarkEnd w:id="41"/>
    <w:bookmarkStart w:id="42" w:name="key-warnings-and-precautions"/>
    <w:p>
      <w:pPr>
        <w:pStyle w:val="Heading3"/>
      </w:pPr>
      <w:r>
        <w:t xml:space="preserve">6.2 Key Warnings and Precautions</w:t>
      </w:r>
    </w:p>
    <w:p>
      <w:pPr>
        <w:numPr>
          <w:ilvl w:val="0"/>
          <w:numId w:val="1001"/>
        </w:numPr>
        <w:pStyle w:val="Compact"/>
      </w:pPr>
      <w:r>
        <w:rPr>
          <w:bCs/>
          <w:b/>
        </w:rPr>
        <w:t xml:space="preserve">Rx Only</w:t>
      </w:r>
      <w:r>
        <w:t xml:space="preserve"> </w:t>
      </w:r>
      <w:r>
        <w:t xml:space="preserve">— Federal law restricts this device to sale by or on the order of a physician</w:t>
      </w:r>
    </w:p>
    <w:p>
      <w:pPr>
        <w:numPr>
          <w:ilvl w:val="0"/>
          <w:numId w:val="1001"/>
        </w:numPr>
        <w:pStyle w:val="Compact"/>
      </w:pPr>
      <w:r>
        <w:t xml:space="preserve">The AI-based arrhythmia detection is intended as a decision support tool only. All results must be reviewed and confirmed by a qualified healthcare professional.</w:t>
      </w:r>
    </w:p>
    <w:p>
      <w:pPr>
        <w:numPr>
          <w:ilvl w:val="0"/>
          <w:numId w:val="1001"/>
        </w:numPr>
        <w:pStyle w:val="Compact"/>
      </w:pPr>
      <w:r>
        <w:t xml:space="preserve">Not intended for real-time patient monitoring in acute care settings (ICU, ER)</w:t>
      </w:r>
    </w:p>
    <w:p>
      <w:pPr>
        <w:numPr>
          <w:ilvl w:val="0"/>
          <w:numId w:val="1001"/>
        </w:numPr>
        <w:pStyle w:val="Compact"/>
      </w:pPr>
      <w:r>
        <w:t xml:space="preserve">Not validated for pediatric patients (&lt;18 years)</w:t>
      </w:r>
    </w:p>
    <w:p>
      <w:pPr>
        <w:numPr>
          <w:ilvl w:val="0"/>
          <w:numId w:val="1001"/>
        </w:numPr>
        <w:pStyle w:val="Compact"/>
      </w:pPr>
      <w:r>
        <w:t xml:space="preserve">Patients with implanted electronic devices should consult their physician before use</w:t>
      </w:r>
    </w:p>
    <w:p>
      <w:r>
        <w:pict>
          <v:rect style="width:0;height:1.5pt" o:hralign="center" o:hrstd="t" o:hr="t"/>
        </w:pict>
      </w:r>
    </w:p>
    <w:bookmarkEnd w:id="42"/>
    <w:bookmarkEnd w:id="43"/>
    <w:bookmarkStart w:id="44" w:name="X30bfd84026e4158bddae5f3685c005db711b189"/>
    <w:p>
      <w:pPr>
        <w:pStyle w:val="Heading2"/>
      </w:pPr>
      <w:r>
        <w:t xml:space="preserve">Section 7: Standards and Declarations of Conformity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Standard</w:t>
            </w:r>
          </w:p>
        </w:tc>
        <w:tc>
          <w:tcPr/>
          <w:p>
            <w:pPr>
              <w:pStyle w:val="Compact"/>
              <w:jc w:val="left"/>
            </w:pPr>
            <w:r>
              <w:t xml:space="preserve">Title</w:t>
            </w:r>
          </w:p>
        </w:tc>
        <w:tc>
          <w:tcPr/>
          <w:p>
            <w:pPr>
              <w:pStyle w:val="Compact"/>
              <w:jc w:val="left"/>
            </w:pPr>
            <w:r>
              <w:t xml:space="preserve">Declaration</w:t>
            </w:r>
          </w:p>
        </w:tc>
      </w:tr>
      <w:tr>
        <w:tc>
          <w:tcPr/>
          <w:p>
            <w:pPr>
              <w:pStyle w:val="Compact"/>
              <w:jc w:val="left"/>
            </w:pPr>
            <w:r>
              <w:t xml:space="preserve">IEC 60601-1:2020</w:t>
            </w:r>
          </w:p>
        </w:tc>
        <w:tc>
          <w:tcPr/>
          <w:p>
            <w:pPr>
              <w:pStyle w:val="Compact"/>
              <w:jc w:val="left"/>
            </w:pPr>
            <w:r>
              <w:t xml:space="preserve">General safety and essential performance</w:t>
            </w:r>
          </w:p>
        </w:tc>
        <w:tc>
          <w:tcPr/>
          <w:p>
            <w:pPr>
              <w:pStyle w:val="Compact"/>
              <w:jc w:val="left"/>
            </w:pPr>
            <w:r>
              <w:t xml:space="preserve">Full conformity declared</w:t>
            </w:r>
          </w:p>
        </w:tc>
      </w:tr>
      <w:tr>
        <w:tc>
          <w:tcPr/>
          <w:p>
            <w:pPr>
              <w:pStyle w:val="Compact"/>
              <w:jc w:val="left"/>
            </w:pPr>
            <w:r>
              <w:t xml:space="preserve">IEC 60601-1-2:2014+AMD1</w:t>
            </w:r>
          </w:p>
        </w:tc>
        <w:tc>
          <w:tcPr/>
          <w:p>
            <w:pPr>
              <w:pStyle w:val="Compact"/>
              <w:jc w:val="left"/>
            </w:pPr>
            <w:r>
              <w:t xml:space="preserve">EMC requirements</w:t>
            </w:r>
          </w:p>
        </w:tc>
        <w:tc>
          <w:tcPr/>
          <w:p>
            <w:pPr>
              <w:pStyle w:val="Compact"/>
              <w:jc w:val="left"/>
            </w:pPr>
            <w:r>
              <w:t xml:space="preserve">Full conformity declared</w:t>
            </w:r>
          </w:p>
        </w:tc>
      </w:tr>
      <w:tr>
        <w:tc>
          <w:tcPr/>
          <w:p>
            <w:pPr>
              <w:pStyle w:val="Compact"/>
              <w:jc w:val="left"/>
            </w:pPr>
            <w:r>
              <w:t xml:space="preserve">IEC 60601-1-6:2010+AMD1+AMD2</w:t>
            </w:r>
          </w:p>
        </w:tc>
        <w:tc>
          <w:tcPr/>
          <w:p>
            <w:pPr>
              <w:pStyle w:val="Compact"/>
              <w:jc w:val="left"/>
            </w:pPr>
            <w:r>
              <w:t xml:space="preserve">Usability</w:t>
            </w:r>
          </w:p>
        </w:tc>
        <w:tc>
          <w:tcPr/>
          <w:p>
            <w:pPr>
              <w:pStyle w:val="Compact"/>
              <w:jc w:val="left"/>
            </w:pPr>
            <w:r>
              <w:t xml:space="preserve">Full conformity declared</w:t>
            </w:r>
          </w:p>
        </w:tc>
      </w:tr>
      <w:tr>
        <w:tc>
          <w:tcPr/>
          <w:p>
            <w:pPr>
              <w:pStyle w:val="Compact"/>
              <w:jc w:val="left"/>
            </w:pPr>
            <w:r>
              <w:t xml:space="preserve">IEC 60601-1-11:2015+AMD1</w:t>
            </w:r>
          </w:p>
        </w:tc>
        <w:tc>
          <w:tcPr/>
          <w:p>
            <w:pPr>
              <w:pStyle w:val="Compact"/>
              <w:jc w:val="left"/>
            </w:pPr>
            <w:r>
              <w:t xml:space="preserve">Home healthcare environment</w:t>
            </w:r>
          </w:p>
        </w:tc>
        <w:tc>
          <w:tcPr/>
          <w:p>
            <w:pPr>
              <w:pStyle w:val="Compact"/>
              <w:jc w:val="left"/>
            </w:pPr>
            <w:r>
              <w:t xml:space="preserve">Full conformity declared</w:t>
            </w:r>
          </w:p>
        </w:tc>
      </w:tr>
      <w:tr>
        <w:tc>
          <w:tcPr/>
          <w:p>
            <w:pPr>
              <w:pStyle w:val="Compact"/>
              <w:jc w:val="left"/>
            </w:pPr>
            <w:r>
              <w:t xml:space="preserve">IEC 60601-2-47:2012+AMD1</w:t>
            </w:r>
          </w:p>
        </w:tc>
        <w:tc>
          <w:tcPr/>
          <w:p>
            <w:pPr>
              <w:pStyle w:val="Compact"/>
              <w:jc w:val="left"/>
            </w:pPr>
            <w:r>
              <w:t xml:space="preserve">Ambulatory ECG</w:t>
            </w:r>
          </w:p>
        </w:tc>
        <w:tc>
          <w:tcPr/>
          <w:p>
            <w:pPr>
              <w:pStyle w:val="Compact"/>
              <w:jc w:val="left"/>
            </w:pPr>
            <w:r>
              <w:t xml:space="preserve">Full conformity declared</w:t>
            </w:r>
          </w:p>
        </w:tc>
      </w:tr>
      <w:tr>
        <w:tc>
          <w:tcPr/>
          <w:p>
            <w:pPr>
              <w:pStyle w:val="Compact"/>
              <w:jc w:val="left"/>
            </w:pPr>
            <w:r>
              <w:t xml:space="preserve">IEC 62304:2006+AMD1</w:t>
            </w:r>
          </w:p>
        </w:tc>
        <w:tc>
          <w:tcPr/>
          <w:p>
            <w:pPr>
              <w:pStyle w:val="Compact"/>
              <w:jc w:val="left"/>
            </w:pPr>
            <w:r>
              <w:t xml:space="preserve">Medical device software lifecycle</w:t>
            </w:r>
          </w:p>
        </w:tc>
        <w:tc>
          <w:tcPr/>
          <w:p>
            <w:pPr>
              <w:pStyle w:val="Compact"/>
              <w:jc w:val="left"/>
            </w:pPr>
            <w:r>
              <w:t xml:space="preserve">Full conformity declared</w:t>
            </w:r>
          </w:p>
        </w:tc>
      </w:tr>
      <w:tr>
        <w:tc>
          <w:tcPr/>
          <w:p>
            <w:pPr>
              <w:pStyle w:val="Compact"/>
              <w:jc w:val="left"/>
            </w:pPr>
            <w:r>
              <w:t xml:space="preserve">IEC 62366-1:2015+AMD1</w:t>
            </w:r>
          </w:p>
        </w:tc>
        <w:tc>
          <w:tcPr/>
          <w:p>
            <w:pPr>
              <w:pStyle w:val="Compact"/>
              <w:jc w:val="left"/>
            </w:pPr>
            <w:r>
              <w:t xml:space="preserve">Usability engineering</w:t>
            </w:r>
          </w:p>
        </w:tc>
        <w:tc>
          <w:tcPr/>
          <w:p>
            <w:pPr>
              <w:pStyle w:val="Compact"/>
              <w:jc w:val="left"/>
            </w:pPr>
            <w:r>
              <w:t xml:space="preserve">Full conformity declared</w:t>
            </w:r>
          </w:p>
        </w:tc>
      </w:tr>
      <w:tr>
        <w:tc>
          <w:tcPr/>
          <w:p>
            <w:pPr>
              <w:pStyle w:val="Compact"/>
              <w:jc w:val="left"/>
            </w:pPr>
            <w:r>
              <w:t xml:space="preserve">ISO 10993-1:2018</w:t>
            </w:r>
          </w:p>
        </w:tc>
        <w:tc>
          <w:tcPr/>
          <w:p>
            <w:pPr>
              <w:pStyle w:val="Compact"/>
              <w:jc w:val="left"/>
            </w:pPr>
            <w:r>
              <w:t xml:space="preserve">Biocompatibility evaluation</w:t>
            </w:r>
          </w:p>
        </w:tc>
        <w:tc>
          <w:tcPr/>
          <w:p>
            <w:pPr>
              <w:pStyle w:val="Compact"/>
              <w:jc w:val="left"/>
            </w:pPr>
            <w:r>
              <w:t xml:space="preserve">Full conformity declared</w:t>
            </w:r>
          </w:p>
        </w:tc>
      </w:tr>
      <w:tr>
        <w:tc>
          <w:tcPr/>
          <w:p>
            <w:pPr>
              <w:pStyle w:val="Compact"/>
              <w:jc w:val="left"/>
            </w:pPr>
            <w:r>
              <w:t xml:space="preserve">ISO 14971:2019</w:t>
            </w:r>
          </w:p>
        </w:tc>
        <w:tc>
          <w:tcPr/>
          <w:p>
            <w:pPr>
              <w:pStyle w:val="Compact"/>
              <w:jc w:val="left"/>
            </w:pPr>
            <w:r>
              <w:t xml:space="preserve">Risk management</w:t>
            </w:r>
          </w:p>
        </w:tc>
        <w:tc>
          <w:tcPr/>
          <w:p>
            <w:pPr>
              <w:pStyle w:val="Compact"/>
              <w:jc w:val="left"/>
            </w:pPr>
            <w:r>
              <w:t xml:space="preserve">Full conformity declared</w:t>
            </w:r>
          </w:p>
        </w:tc>
      </w:tr>
    </w:tbl>
    <w:p>
      <w:r>
        <w:pict>
          <v:rect style="width:0;height:1.5pt" o:hralign="center" o:hrstd="t" o:hr="t"/>
        </w:pict>
      </w:r>
    </w:p>
    <w:bookmarkEnd w:id="44"/>
    <w:bookmarkStart w:id="45" w:name="X453e470a0c0716ec021eea697bb7d7ee69d8b5b"/>
    <w:p>
      <w:pPr>
        <w:pStyle w:val="Heading2"/>
      </w:pPr>
      <w:r>
        <w:t xml:space="preserve">Section 8: Truthful and Accuracy Statement</w:t>
      </w:r>
    </w:p>
    <w:p>
      <w:pPr>
        <w:pStyle w:val="FirstParagraph"/>
      </w:pPr>
      <w:r>
        <w:t xml:space="preserve">I certify that, in my capacity as [Title] of [Company Name], this submission includes all information, published or known to me, that is relevant to the evaluation of safety and effectiveness of the device. I further certify that no material fact has been omitted, and that the information presented is truthful and accurate to the best of my knowledge.</w:t>
      </w:r>
    </w:p>
    <w:p>
      <w:pPr>
        <w:pStyle w:val="BodyText"/>
      </w:pPr>
      <w:r>
        <w:t xml:space="preserve">Signature: _________________________</w:t>
      </w:r>
      <w:r>
        <w:br/>
      </w:r>
      <w:r>
        <w:t xml:space="preserve">Name: [Name]</w:t>
      </w:r>
      <w:r>
        <w:br/>
      </w:r>
      <w:r>
        <w:t xml:space="preserve">Title: [Title]</w:t>
      </w:r>
      <w:r>
        <w:br/>
      </w:r>
      <w:r>
        <w:t xml:space="preserve">Date: [Date]</w:t>
      </w:r>
    </w:p>
    <w:p>
      <w:r>
        <w:pict>
          <v:rect style="width:0;height:1.5pt" o:hralign="center" o:hrstd="t" o:hr="t"/>
        </w:pict>
      </w:r>
    </w:p>
    <w:bookmarkEnd w:id="45"/>
    <w:bookmarkStart w:id="46" w:name="exhibits-list"/>
    <w:p>
      <w:pPr>
        <w:pStyle w:val="Heading2"/>
      </w:pPr>
      <w:r>
        <w:t xml:space="preserve">Exhibits 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Pages</w:t>
            </w:r>
          </w:p>
        </w:tc>
      </w:tr>
      <w:tr>
        <w:tc>
          <w:tcPr/>
          <w:p>
            <w:pPr>
              <w:pStyle w:val="Compact"/>
              <w:jc w:val="left"/>
            </w:pPr>
            <w:r>
              <w:t xml:space="preserve">A</w:t>
            </w:r>
          </w:p>
        </w:tc>
        <w:tc>
          <w:tcPr/>
          <w:p>
            <w:pPr>
              <w:pStyle w:val="Compact"/>
              <w:jc w:val="left"/>
            </w:pPr>
            <w:r>
              <w:t xml:space="preserve">Indications for Use (FDA Form 3881)</w:t>
            </w:r>
          </w:p>
        </w:tc>
        <w:tc>
          <w:tcPr/>
          <w:p>
            <w:pPr>
              <w:pStyle w:val="Compact"/>
              <w:jc w:val="left"/>
            </w:pPr>
            <w:r>
              <w:t xml:space="preserve">1</w:t>
            </w:r>
          </w:p>
        </w:tc>
      </w:tr>
      <w:tr>
        <w:tc>
          <w:tcPr/>
          <w:p>
            <w:pPr>
              <w:pStyle w:val="Compact"/>
              <w:jc w:val="left"/>
            </w:pPr>
            <w:r>
              <w:t xml:space="preserve">B</w:t>
            </w:r>
          </w:p>
        </w:tc>
        <w:tc>
          <w:tcPr/>
          <w:p>
            <w:pPr>
              <w:pStyle w:val="Compact"/>
              <w:jc w:val="left"/>
            </w:pPr>
            <w:r>
              <w:t xml:space="preserve">Device Description and Specifications</w:t>
            </w:r>
          </w:p>
        </w:tc>
        <w:tc>
          <w:tcPr/>
          <w:p>
            <w:pPr>
              <w:pStyle w:val="Compact"/>
              <w:jc w:val="left"/>
            </w:pPr>
            <w:r>
              <w:t xml:space="preserve">[N]</w:t>
            </w:r>
          </w:p>
        </w:tc>
      </w:tr>
      <w:tr>
        <w:tc>
          <w:tcPr/>
          <w:p>
            <w:pPr>
              <w:pStyle w:val="Compact"/>
              <w:jc w:val="left"/>
            </w:pPr>
            <w:r>
              <w:t xml:space="preserve">C</w:t>
            </w:r>
          </w:p>
        </w:tc>
        <w:tc>
          <w:tcPr/>
          <w:p>
            <w:pPr>
              <w:pStyle w:val="Compact"/>
              <w:jc w:val="left"/>
            </w:pPr>
            <w:r>
              <w:t xml:space="preserve">Substantial Equivalence Comparison</w:t>
            </w:r>
          </w:p>
        </w:tc>
        <w:tc>
          <w:tcPr/>
          <w:p>
            <w:pPr>
              <w:pStyle w:val="Compact"/>
              <w:jc w:val="left"/>
            </w:pPr>
            <w:r>
              <w:t xml:space="preserve">[N]</w:t>
            </w:r>
          </w:p>
        </w:tc>
      </w:tr>
      <w:tr>
        <w:tc>
          <w:tcPr/>
          <w:p>
            <w:pPr>
              <w:pStyle w:val="Compact"/>
              <w:jc w:val="left"/>
            </w:pPr>
            <w:r>
              <w:t xml:space="preserve">D</w:t>
            </w:r>
          </w:p>
        </w:tc>
        <w:tc>
          <w:tcPr/>
          <w:p>
            <w:pPr>
              <w:pStyle w:val="Compact"/>
              <w:jc w:val="left"/>
            </w:pPr>
            <w:r>
              <w:t xml:space="preserve">Electrical Safety Test Report (IEC 60601-1)</w:t>
            </w:r>
          </w:p>
        </w:tc>
        <w:tc>
          <w:tcPr/>
          <w:p>
            <w:pPr>
              <w:pStyle w:val="Compact"/>
              <w:jc w:val="left"/>
            </w:pPr>
            <w:r>
              <w:t xml:space="preserve">[N]</w:t>
            </w:r>
          </w:p>
        </w:tc>
      </w:tr>
      <w:tr>
        <w:tc>
          <w:tcPr/>
          <w:p>
            <w:pPr>
              <w:pStyle w:val="Compact"/>
              <w:jc w:val="left"/>
            </w:pPr>
            <w:r>
              <w:t xml:space="preserve">E</w:t>
            </w:r>
          </w:p>
        </w:tc>
        <w:tc>
          <w:tcPr/>
          <w:p>
            <w:pPr>
              <w:pStyle w:val="Compact"/>
              <w:jc w:val="left"/>
            </w:pPr>
            <w:r>
              <w:t xml:space="preserve">EMC Test Report (IEC 60601-1-2)</w:t>
            </w:r>
          </w:p>
        </w:tc>
        <w:tc>
          <w:tcPr/>
          <w:p>
            <w:pPr>
              <w:pStyle w:val="Compact"/>
              <w:jc w:val="left"/>
            </w:pPr>
            <w:r>
              <w:t xml:space="preserve">[N]</w:t>
            </w:r>
          </w:p>
        </w:tc>
      </w:tr>
      <w:tr>
        <w:tc>
          <w:tcPr/>
          <w:p>
            <w:pPr>
              <w:pStyle w:val="Compact"/>
              <w:jc w:val="left"/>
            </w:pPr>
            <w:r>
              <w:t xml:space="preserve">F</w:t>
            </w:r>
          </w:p>
        </w:tc>
        <w:tc>
          <w:tcPr/>
          <w:p>
            <w:pPr>
              <w:pStyle w:val="Compact"/>
              <w:jc w:val="left"/>
            </w:pPr>
            <w:r>
              <w:t xml:space="preserve">Holter ECG Test Report (IEC 60601-2-47)</w:t>
            </w:r>
          </w:p>
        </w:tc>
        <w:tc>
          <w:tcPr/>
          <w:p>
            <w:pPr>
              <w:pStyle w:val="Compact"/>
              <w:jc w:val="left"/>
            </w:pPr>
            <w:r>
              <w:t xml:space="preserve">[N]</w:t>
            </w:r>
          </w:p>
        </w:tc>
      </w:tr>
      <w:tr>
        <w:tc>
          <w:tcPr/>
          <w:p>
            <w:pPr>
              <w:pStyle w:val="Compact"/>
              <w:jc w:val="left"/>
            </w:pPr>
            <w:r>
              <w:t xml:space="preserve">G</w:t>
            </w:r>
          </w:p>
        </w:tc>
        <w:tc>
          <w:tcPr/>
          <w:p>
            <w:pPr>
              <w:pStyle w:val="Compact"/>
              <w:jc w:val="left"/>
            </w:pPr>
            <w:r>
              <w:t xml:space="preserve">Biocompatibility Evaluation (ISO 10993)</w:t>
            </w:r>
          </w:p>
        </w:tc>
        <w:tc>
          <w:tcPr/>
          <w:p>
            <w:pPr>
              <w:pStyle w:val="Compact"/>
              <w:jc w:val="left"/>
            </w:pPr>
            <w:r>
              <w:t xml:space="preserve">[N]</w:t>
            </w:r>
          </w:p>
        </w:tc>
      </w:tr>
      <w:tr>
        <w:tc>
          <w:tcPr/>
          <w:p>
            <w:pPr>
              <w:pStyle w:val="Compact"/>
              <w:jc w:val="left"/>
            </w:pPr>
            <w:r>
              <w:t xml:space="preserve">H</w:t>
            </w:r>
          </w:p>
        </w:tc>
        <w:tc>
          <w:tcPr/>
          <w:p>
            <w:pPr>
              <w:pStyle w:val="Compact"/>
              <w:jc w:val="left"/>
            </w:pPr>
            <w:r>
              <w:t xml:space="preserve">Battery Safety Test Report (IEC 62133-2)</w:t>
            </w:r>
          </w:p>
        </w:tc>
        <w:tc>
          <w:tcPr/>
          <w:p>
            <w:pPr>
              <w:pStyle w:val="Compact"/>
              <w:jc w:val="left"/>
            </w:pPr>
            <w:r>
              <w:t xml:space="preserve">[N]</w:t>
            </w:r>
          </w:p>
        </w:tc>
      </w:tr>
      <w:tr>
        <w:tc>
          <w:tcPr/>
          <w:p>
            <w:pPr>
              <w:pStyle w:val="Compact"/>
              <w:jc w:val="left"/>
            </w:pPr>
            <w:r>
              <w:t xml:space="preserve">I</w:t>
            </w:r>
          </w:p>
        </w:tc>
        <w:tc>
          <w:tcPr/>
          <w:p>
            <w:pPr>
              <w:pStyle w:val="Compact"/>
              <w:jc w:val="left"/>
            </w:pPr>
            <w:r>
              <w:t xml:space="preserve">Software Documentation (IEC 62304)</w:t>
            </w:r>
          </w:p>
        </w:tc>
        <w:tc>
          <w:tcPr/>
          <w:p>
            <w:pPr>
              <w:pStyle w:val="Compact"/>
              <w:jc w:val="left"/>
            </w:pPr>
            <w:r>
              <w:t xml:space="preserve">[N]</w:t>
            </w:r>
          </w:p>
        </w:tc>
      </w:tr>
      <w:tr>
        <w:tc>
          <w:tcPr/>
          <w:p>
            <w:pPr>
              <w:pStyle w:val="Compact"/>
              <w:jc w:val="left"/>
            </w:pPr>
            <w:r>
              <w:t xml:space="preserve">J</w:t>
            </w:r>
          </w:p>
        </w:tc>
        <w:tc>
          <w:tcPr/>
          <w:p>
            <w:pPr>
              <w:pStyle w:val="Compact"/>
              <w:jc w:val="left"/>
            </w:pPr>
            <w:r>
              <w:t xml:space="preserve">AI/ML Documentation</w:t>
            </w:r>
          </w:p>
        </w:tc>
        <w:tc>
          <w:tcPr/>
          <w:p>
            <w:pPr>
              <w:pStyle w:val="Compact"/>
              <w:jc w:val="left"/>
            </w:pPr>
            <w:r>
              <w:t xml:space="preserve">[N]</w:t>
            </w:r>
          </w:p>
        </w:tc>
      </w:tr>
      <w:tr>
        <w:tc>
          <w:tcPr/>
          <w:p>
            <w:pPr>
              <w:pStyle w:val="Compact"/>
              <w:jc w:val="left"/>
            </w:pPr>
            <w:r>
              <w:t xml:space="preserve">K</w:t>
            </w:r>
          </w:p>
        </w:tc>
        <w:tc>
          <w:tcPr/>
          <w:p>
            <w:pPr>
              <w:pStyle w:val="Compact"/>
              <w:jc w:val="left"/>
            </w:pPr>
            <w:r>
              <w:t xml:space="preserve">Cybersecurity Documentation</w:t>
            </w:r>
          </w:p>
        </w:tc>
        <w:tc>
          <w:tcPr/>
          <w:p>
            <w:pPr>
              <w:pStyle w:val="Compact"/>
              <w:jc w:val="left"/>
            </w:pPr>
            <w:r>
              <w:t xml:space="preserve">[N]</w:t>
            </w:r>
          </w:p>
        </w:tc>
      </w:tr>
      <w:tr>
        <w:tc>
          <w:tcPr/>
          <w:p>
            <w:pPr>
              <w:pStyle w:val="Compact"/>
              <w:jc w:val="left"/>
            </w:pPr>
            <w:r>
              <w:t xml:space="preserve">L</w:t>
            </w:r>
          </w:p>
        </w:tc>
        <w:tc>
          <w:tcPr/>
          <w:p>
            <w:pPr>
              <w:pStyle w:val="Compact"/>
              <w:jc w:val="left"/>
            </w:pPr>
            <w:r>
              <w:t xml:space="preserve">SBOM</w:t>
            </w:r>
          </w:p>
        </w:tc>
        <w:tc>
          <w:tcPr/>
          <w:p>
            <w:pPr>
              <w:pStyle w:val="Compact"/>
              <w:jc w:val="left"/>
            </w:pPr>
            <w:r>
              <w:t xml:space="preserve">[N]</w:t>
            </w:r>
          </w:p>
        </w:tc>
      </w:tr>
      <w:tr>
        <w:tc>
          <w:tcPr/>
          <w:p>
            <w:pPr>
              <w:pStyle w:val="Compact"/>
              <w:jc w:val="left"/>
            </w:pPr>
            <w:r>
              <w:t xml:space="preserve">M</w:t>
            </w:r>
          </w:p>
        </w:tc>
        <w:tc>
          <w:tcPr/>
          <w:p>
            <w:pPr>
              <w:pStyle w:val="Compact"/>
              <w:jc w:val="left"/>
            </w:pPr>
            <w:r>
              <w:t xml:space="preserve">Risk Management Summary (ISO 14971)</w:t>
            </w:r>
          </w:p>
        </w:tc>
        <w:tc>
          <w:tcPr/>
          <w:p>
            <w:pPr>
              <w:pStyle w:val="Compact"/>
              <w:jc w:val="left"/>
            </w:pPr>
            <w:r>
              <w:t xml:space="preserve">[N]</w:t>
            </w:r>
          </w:p>
        </w:tc>
      </w:tr>
      <w:tr>
        <w:tc>
          <w:tcPr/>
          <w:p>
            <w:pPr>
              <w:pStyle w:val="Compact"/>
              <w:jc w:val="left"/>
            </w:pPr>
            <w:r>
              <w:t xml:space="preserve">N</w:t>
            </w:r>
          </w:p>
        </w:tc>
        <w:tc>
          <w:tcPr/>
          <w:p>
            <w:pPr>
              <w:pStyle w:val="Compact"/>
              <w:jc w:val="left"/>
            </w:pPr>
            <w:r>
              <w:t xml:space="preserve">Usability Summary (IEC 62366-1)</w:t>
            </w:r>
          </w:p>
        </w:tc>
        <w:tc>
          <w:tcPr/>
          <w:p>
            <w:pPr>
              <w:pStyle w:val="Compact"/>
              <w:jc w:val="left"/>
            </w:pPr>
            <w:r>
              <w:t xml:space="preserve">[N]</w:t>
            </w:r>
          </w:p>
        </w:tc>
      </w:tr>
      <w:tr>
        <w:tc>
          <w:tcPr/>
          <w:p>
            <w:pPr>
              <w:pStyle w:val="Compact"/>
              <w:jc w:val="left"/>
            </w:pPr>
            <w:r>
              <w:t xml:space="preserve">O</w:t>
            </w:r>
          </w:p>
        </w:tc>
        <w:tc>
          <w:tcPr/>
          <w:p>
            <w:pPr>
              <w:pStyle w:val="Compact"/>
              <w:jc w:val="left"/>
            </w:pPr>
            <w:r>
              <w:t xml:space="preserve">Clinical Performance Data</w:t>
            </w:r>
          </w:p>
        </w:tc>
        <w:tc>
          <w:tcPr/>
          <w:p>
            <w:pPr>
              <w:pStyle w:val="Compact"/>
              <w:jc w:val="left"/>
            </w:pPr>
            <w:r>
              <w:t xml:space="preserve">[N]</w:t>
            </w:r>
          </w:p>
        </w:tc>
      </w:tr>
      <w:tr>
        <w:tc>
          <w:tcPr/>
          <w:p>
            <w:pPr>
              <w:pStyle w:val="Compact"/>
              <w:jc w:val="left"/>
            </w:pPr>
            <w:r>
              <w:t xml:space="preserve">P</w:t>
            </w:r>
          </w:p>
        </w:tc>
        <w:tc>
          <w:tcPr/>
          <w:p>
            <w:pPr>
              <w:pStyle w:val="Compact"/>
              <w:jc w:val="left"/>
            </w:pPr>
            <w:r>
              <w:t xml:space="preserve">Labeling (IFU)</w:t>
            </w:r>
          </w:p>
        </w:tc>
        <w:tc>
          <w:tcPr/>
          <w:p>
            <w:pPr>
              <w:pStyle w:val="Compact"/>
              <w:jc w:val="left"/>
            </w:pPr>
            <w:r>
              <w:t xml:space="preserve">[N]</w:t>
            </w:r>
          </w:p>
        </w:tc>
      </w:tr>
      <w:tr>
        <w:tc>
          <w:tcPr/>
          <w:p>
            <w:pPr>
              <w:pStyle w:val="Compact"/>
              <w:jc w:val="left"/>
            </w:pPr>
            <w:r>
              <w:t xml:space="preserve">Q</w:t>
            </w:r>
          </w:p>
        </w:tc>
        <w:tc>
          <w:tcPr/>
          <w:p>
            <w:pPr>
              <w:pStyle w:val="Compact"/>
              <w:jc w:val="left"/>
            </w:pPr>
            <w:r>
              <w:t xml:space="preserve">Standards Declarations of Conformity</w:t>
            </w:r>
          </w:p>
        </w:tc>
        <w:tc>
          <w:tcPr/>
          <w:p>
            <w:pPr>
              <w:pStyle w:val="Compact"/>
              <w:jc w:val="left"/>
            </w:pPr>
            <w:r>
              <w:t xml:space="preserve">[N]</w:t>
            </w:r>
          </w:p>
        </w:tc>
      </w:tr>
      <w:tr>
        <w:tc>
          <w:tcPr/>
          <w:p>
            <w:pPr>
              <w:pStyle w:val="Compact"/>
              <w:jc w:val="left"/>
            </w:pPr>
            <w:r>
              <w:t xml:space="preserve">R</w:t>
            </w:r>
          </w:p>
        </w:tc>
        <w:tc>
          <w:tcPr/>
          <w:p>
            <w:pPr>
              <w:pStyle w:val="Compact"/>
              <w:jc w:val="left"/>
            </w:pPr>
            <w:r>
              <w:t xml:space="preserve">Financial Certification (FDA Form 3674)</w:t>
            </w:r>
          </w:p>
        </w:tc>
        <w:tc>
          <w:tcPr/>
          <w:p>
            <w:pPr>
              <w:pStyle w:val="Compact"/>
              <w:jc w:val="left"/>
            </w:pPr>
            <w:r>
              <w:t xml:space="preserve">[N]</w:t>
            </w:r>
          </w:p>
        </w:tc>
      </w:tr>
    </w:tbl>
    <w:p>
      <w:r>
        <w:pict>
          <v:rect style="width:0;height:1.5pt" o:hralign="center" o:hrstd="t" o:hr="t"/>
        </w:pict>
      </w:r>
    </w:p>
    <w:p>
      <w:pPr>
        <w:pStyle w:val="FirstParagraph"/>
      </w:pPr>
      <w:r>
        <w:rPr>
          <w:bCs/>
          <w:b/>
        </w:rPr>
        <w:t xml:space="preserve">Control de Versiones: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w:t>
            </w:r>
          </w:p>
        </w:tc>
      </w:tr>
      <w:tr>
        <w:tc>
          <w:tcPr/>
          <w:p>
            <w:pPr>
              <w:pStyle w:val="Compact"/>
              <w:jc w:val="left"/>
            </w:pPr>
            <w:r>
              <w:t xml:space="preserve">1.0</w:t>
            </w:r>
          </w:p>
        </w:tc>
        <w:tc>
          <w:tcPr/>
          <w:p>
            <w:pPr>
              <w:pStyle w:val="Compact"/>
              <w:jc w:val="left"/>
            </w:pPr>
            <w:r>
              <w:t xml:space="preserve">2026-05-16</w:t>
            </w:r>
          </w:p>
        </w:tc>
        <w:tc>
          <w:tcPr/>
          <w:p>
            <w:pPr>
              <w:pStyle w:val="Compact"/>
              <w:jc w:val="left"/>
            </w:pPr>
            <w:r>
              <w:t xml:space="preserve">Regulatory Affairs</w:t>
            </w:r>
          </w:p>
        </w:tc>
        <w:tc>
          <w:tcPr/>
          <w:p>
            <w:pPr>
              <w:pStyle w:val="Compact"/>
              <w:jc w:val="left"/>
            </w:pPr>
            <w:r>
              <w:t xml:space="preserve">Creación inicial</w:t>
            </w:r>
          </w:p>
        </w:tc>
      </w:tr>
    </w:tbl>
    <w:p>
      <w:r>
        <w:pict>
          <v:rect style="width:0;height:1.5pt" o:hralign="center" o:hrstd="t" o:hr="t"/>
        </w:pict>
      </w:r>
    </w:p>
    <w:p>
      <w:pPr>
        <w:pStyle w:val="FirstParagraph"/>
      </w:pPr>
      <w:r>
        <w:rPr>
          <w:iCs/>
          <w:i/>
        </w:rPr>
        <w:t xml:space="preserve">Documento confidencial — Horizon Medical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2026-05-16T17:31:37Z</dcterms:created>
  <dcterms:modified xsi:type="dcterms:W3CDTF">2026-05-16T17:31:37Z</dcterms:modified>
</cp:coreProperties>
</file>

<file path=docProps/custom.xml><?xml version="1.0" encoding="utf-8"?>
<Properties xmlns="http://schemas.openxmlformats.org/officeDocument/2006/custom-properties" xmlns:vt="http://schemas.openxmlformats.org/officeDocument/2006/docPropsVTypes"/>
</file>