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87ba638707fa66c257bbbffaa0be5b627990661"/>
    <w:p>
      <w:pPr>
        <w:pStyle w:val="Heading1"/>
      </w:pPr>
      <w:r>
        <w:t xml:space="preserve">HORIZON MEDICAL — Cybersecurity Documentation</w:t>
      </w:r>
    </w:p>
    <w:p>
      <w:pPr>
        <w:pStyle w:val="FirstParagraph"/>
      </w:pPr>
      <w:r>
        <w:rPr>
          <w:bCs/>
          <w:b/>
        </w:rPr>
        <w:t xml:space="preserve">Documento:</w:t>
      </w:r>
      <w:r>
        <w:t xml:space="preserve"> </w:t>
      </w:r>
      <w:r>
        <w:t xml:space="preserve">HM-CYB-001</w:t>
      </w:r>
      <w:r>
        <w:br/>
      </w:r>
      <w:r>
        <w:rPr>
          <w:bCs/>
          <w:b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Fecha:</w:t>
      </w:r>
      <w:r>
        <w:t xml:space="preserve"> </w:t>
      </w:r>
      <w:r>
        <w:t xml:space="preserve">2026-05-16</w:t>
      </w:r>
      <w:r>
        <w:br/>
      </w:r>
      <w:r>
        <w:rPr>
          <w:bCs/>
          <w:b/>
        </w:rPr>
        <w:t xml:space="preserve">Referencia:</w:t>
      </w:r>
      <w:r>
        <w:t xml:space="preserve"> </w:t>
      </w:r>
      <w:r>
        <w:t xml:space="preserve">FDA Cybersecurity Guidance (2023), IEC 81001-5-1:2021, AAMI TIR57</w:t>
      </w:r>
    </w:p>
    <w:p>
      <w:r>
        <w:pict>
          <v:rect style="width:0;height:1.5pt" o:hralign="center" o:hrstd="t" o:hr="t"/>
        </w:pict>
      </w:r>
    </w:p>
    <w:bookmarkStart w:id="20" w:name="tabla-de-contenidos"/>
    <w:p>
      <w:pPr>
        <w:pStyle w:val="Heading2"/>
      </w:pPr>
      <w:r>
        <w:t xml:space="preserve">Tabla de Contenidos</w:t>
      </w:r>
    </w:p>
    <w:p>
      <w:pPr>
        <w:numPr>
          <w:ilvl w:val="0"/>
          <w:numId w:val="1001"/>
        </w:numPr>
        <w:pStyle w:val="Compact"/>
      </w:pPr>
      <w:hyperlink w:anchor="X54c71daaacfac0484cd7aea0164167bbc16b437">
        <w:r>
          <w:rPr>
            <w:rStyle w:val="Hyperlink"/>
          </w:rPr>
          <w:t xml:space="preserve">Regulatory Context</w:t>
        </w:r>
      </w:hyperlink>
    </w:p>
    <w:p>
      <w:pPr>
        <w:numPr>
          <w:ilvl w:val="0"/>
          <w:numId w:val="1001"/>
        </w:numPr>
        <w:pStyle w:val="Compact"/>
      </w:pPr>
      <w:hyperlink w:anchor="X10e013d8d07927589588e81de1ae5472d11bedd">
        <w:r>
          <w:rPr>
            <w:rStyle w:val="Hyperlink"/>
          </w:rPr>
          <w:t xml:space="preserve">Threat Modeling</w:t>
        </w:r>
      </w:hyperlink>
    </w:p>
    <w:p>
      <w:pPr>
        <w:numPr>
          <w:ilvl w:val="0"/>
          <w:numId w:val="1001"/>
        </w:numPr>
        <w:pStyle w:val="Compact"/>
      </w:pPr>
      <w:hyperlink w:anchor="X942eab19dd38e2a5b6037d78028a9e4fb745a4c">
        <w:r>
          <w:rPr>
            <w:rStyle w:val="Hyperlink"/>
          </w:rPr>
          <w:t xml:space="preserve">Security Risk Assessment</w:t>
        </w:r>
      </w:hyperlink>
    </w:p>
    <w:p>
      <w:pPr>
        <w:numPr>
          <w:ilvl w:val="0"/>
          <w:numId w:val="1001"/>
        </w:numPr>
        <w:pStyle w:val="Compact"/>
      </w:pPr>
      <w:hyperlink w:anchor="Xb4ddc2381500fb1de072b192e74c256562c886f">
        <w:r>
          <w:rPr>
            <w:rStyle w:val="Hyperlink"/>
          </w:rPr>
          <w:t xml:space="preserve">Security Controls</w:t>
        </w:r>
      </w:hyperlink>
    </w:p>
    <w:p>
      <w:pPr>
        <w:numPr>
          <w:ilvl w:val="0"/>
          <w:numId w:val="1001"/>
        </w:numPr>
        <w:pStyle w:val="Compact"/>
      </w:pPr>
      <w:hyperlink w:anchor="X4169d2f42e4c7e3ca68f88c7868168e025a7a4e">
        <w:r>
          <w:rPr>
            <w:rStyle w:val="Hyperlink"/>
          </w:rPr>
          <w:t xml:space="preserve">Vulnerability Management</w:t>
        </w:r>
      </w:hyperlink>
    </w:p>
    <w:p>
      <w:pPr>
        <w:numPr>
          <w:ilvl w:val="0"/>
          <w:numId w:val="1001"/>
        </w:numPr>
        <w:pStyle w:val="Compact"/>
      </w:pPr>
      <w:hyperlink w:anchor="X47d1ef6894a313cbdc845229a17bcbcb935039a">
        <w:r>
          <w:rPr>
            <w:rStyle w:val="Hyperlink"/>
          </w:rPr>
          <w:t xml:space="preserve">Software Bill of Materials (SBOM)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3" w:name="regulatory-context"/>
    <w:p>
      <w:pPr>
        <w:pStyle w:val="Heading2"/>
      </w:pPr>
      <w:r>
        <w:t xml:space="preserve">1. Regulatory Context</w:t>
      </w:r>
    </w:p>
    <w:bookmarkStart w:id="21" w:name="applicable-guidance-and-standards"/>
    <w:p>
      <w:pPr>
        <w:pStyle w:val="Heading3"/>
      </w:pPr>
      <w:r>
        <w:t xml:space="preserve">1.1 Applicable Guidance and Standards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FDA: Cybersecurity in Medical Devices (2023)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guidance for FDA 510(k)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IEC 81001-5-1:2021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software security — MDR harmonized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AAMI TIR57:2016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for medical device security — Risk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NIST Cybersecurity Framework (CSF)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HIPAA Security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PHI protection (US 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GDPR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data protection (EU market)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Ley 1581 de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 (Colombia)</w:t>
            </w:r>
          </w:p>
        </w:tc>
      </w:tr>
    </w:tbl>
    <w:bookmarkEnd w:id="21"/>
    <w:bookmarkStart w:id="22" w:name="device-cybersecurity-classification"/>
    <w:p>
      <w:pPr>
        <w:pStyle w:val="Heading3"/>
      </w:pPr>
      <w:r>
        <w:t xml:space="preserve">1.2 Device Cybersecurity Classification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BLE + Internet (WiFi/cellular via smartphone) + Cloud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sensitivity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— Protected Health Information (PHI)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 safety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 delayed/incorrect arrhythmia detection could impact safety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FDA Tier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Tier 1 — Higher Cybersecurity Risk</w:t>
            </w:r>
            <w:r>
              <w:t xml:space="preserve"> </w:t>
            </w:r>
            <w:r>
              <w:t xml:space="preserve">(can connect to another device/network AND could directly impact patient safety)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threat-modeling"/>
    <w:p>
      <w:pPr>
        <w:pStyle w:val="Heading2"/>
      </w:pPr>
      <w:r>
        <w:t xml:space="preserve">2. Threat Modeling</w:t>
      </w:r>
    </w:p>
    <w:bookmarkStart w:id="24" w:name="system-boundaries-and-attack-surface"/>
    <w:p>
      <w:pPr>
        <w:pStyle w:val="Heading3"/>
      </w:pPr>
      <w:r>
        <w:t xml:space="preserve">2.1 System Boundaries and Attack Surface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ATTACK SURFACE MAP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┌──────────┐  BLE   ┌──────────┐  HTTPS  ┌─────────────────┐   │</w:t>
      </w:r>
      <w:r>
        <w:br/>
      </w:r>
      <w:r>
        <w:rPr>
          <w:rStyle w:val="VerbatimChar"/>
        </w:rPr>
        <w:t xml:space="preserve">│  │ HOLTER   │◄──────▶│ MOBILE   │◄───────▶│ CLOUD BACKEND   │   │</w:t>
      </w:r>
      <w:r>
        <w:br/>
      </w:r>
      <w:r>
        <w:rPr>
          <w:rStyle w:val="VerbatimChar"/>
        </w:rPr>
        <w:t xml:space="preserve">│  │ DEVICE   │  [A1]  │ APP      │  [A3]   │                 │   │</w:t>
      </w:r>
      <w:r>
        <w:br/>
      </w:r>
      <w:r>
        <w:rPr>
          <w:rStyle w:val="VerbatimChar"/>
        </w:rPr>
        <w:t xml:space="preserve">│  │          │        │          │         │ ┌─────────────┐ │   │</w:t>
      </w:r>
      <w:r>
        <w:br/>
      </w:r>
      <w:r>
        <w:rPr>
          <w:rStyle w:val="VerbatimChar"/>
        </w:rPr>
        <w:t xml:space="preserve">│  │ [A0]     │        │ [A2]     │         │ │ AI ENGINE   │ │   │</w:t>
      </w:r>
      <w:r>
        <w:br/>
      </w:r>
      <w:r>
        <w:rPr>
          <w:rStyle w:val="VerbatimChar"/>
        </w:rPr>
        <w:t xml:space="preserve">│  │ Firmware │        │ Local    │         │ │ [A5]        │ │   │</w:t>
      </w:r>
      <w:r>
        <w:br/>
      </w:r>
      <w:r>
        <w:rPr>
          <w:rStyle w:val="VerbatimChar"/>
        </w:rPr>
        <w:t xml:space="preserve">│  │ BLE stack│        │ Storage  │         │ └─────────────┘ │   │</w:t>
      </w:r>
      <w:r>
        <w:br/>
      </w:r>
      <w:r>
        <w:rPr>
          <w:rStyle w:val="VerbatimChar"/>
        </w:rPr>
        <w:t xml:space="preserve">│  └──────────┘        └──────────┘         │ ┌─────────────┐ │   │</w:t>
      </w:r>
      <w:r>
        <w:br/>
      </w:r>
      <w:r>
        <w:rPr>
          <w:rStyle w:val="VerbatimChar"/>
        </w:rPr>
        <w:t xml:space="preserve">│                                            │ │ DATABASE    │ │   │</w:t>
      </w:r>
      <w:r>
        <w:br/>
      </w:r>
      <w:r>
        <w:rPr>
          <w:rStyle w:val="VerbatimChar"/>
        </w:rPr>
        <w:t xml:space="preserve">│                                            │ │ [A6]        │ │   │</w:t>
      </w:r>
      <w:r>
        <w:br/>
      </w:r>
      <w:r>
        <w:rPr>
          <w:rStyle w:val="VerbatimChar"/>
        </w:rPr>
        <w:t xml:space="preserve">│                                            │ └─────────────┘ │   │</w:t>
      </w:r>
      <w:r>
        <w:br/>
      </w:r>
      <w:r>
        <w:rPr>
          <w:rStyle w:val="VerbatimChar"/>
        </w:rPr>
        <w:t xml:space="preserve">│                                            └────────┬────────┘   │</w:t>
      </w:r>
      <w:r>
        <w:br/>
      </w:r>
      <w:r>
        <w:rPr>
          <w:rStyle w:val="VerbatimChar"/>
        </w:rPr>
        <w:t xml:space="preserve">│                                                     │ HTTPS [A4] │</w:t>
      </w:r>
      <w:r>
        <w:br/>
      </w:r>
      <w:r>
        <w:rPr>
          <w:rStyle w:val="VerbatimChar"/>
        </w:rPr>
        <w:t xml:space="preserve">│                                            ┌────────▼────────┐   │</w:t>
      </w:r>
      <w:r>
        <w:br/>
      </w:r>
      <w:r>
        <w:rPr>
          <w:rStyle w:val="VerbatimChar"/>
        </w:rPr>
        <w:t xml:space="preserve">│                                            │ WEB DASHBOARD   │   │</w:t>
      </w:r>
      <w:r>
        <w:br/>
      </w:r>
      <w:r>
        <w:rPr>
          <w:rStyle w:val="VerbatimChar"/>
        </w:rPr>
        <w:t xml:space="preserve">│                                            │ [A7]            │   │</w:t>
      </w:r>
      <w:r>
        <w:br/>
      </w:r>
      <w:r>
        <w:rPr>
          <w:rStyle w:val="VerbatimChar"/>
        </w:rPr>
        <w:t xml:space="preserve">│                                            └─────────────────┘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Attack Vectors: [A0]–[A7]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└───────────────────────────────────────────────────────────────────┘</w:t>
      </w:r>
    </w:p>
    <w:bookmarkEnd w:id="24"/>
    <w:bookmarkStart w:id="25" w:name="stride-threat-analysis"/>
    <w:p>
      <w:pPr>
        <w:pStyle w:val="Heading3"/>
      </w:pPr>
      <w:r>
        <w:t xml:space="preserve">2.2 STRIDE Threat Analysis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 (STRIDE)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[A1] 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Attacker impersonates the Holter 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[A1] 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MITM attack modifies ECG data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[A1] 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Eavesdropping on BLE traffic captures ECG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[A2]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Malware on phone accesses local ECG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[A2]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Unencrypted local storage exposes patient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[A3] HTTPS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Fake server intercepts app traffic (MITM)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[A3] HTTPS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Denial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endpoint flooded, preventing data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[A4]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Stolen credentials access clinical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[A4]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Elevation of Privilege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Non-admin user gains admin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[A5] AI 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Adversarial inputs fool arrhythmia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[A6]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Information Disclosure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breach exposes all patient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[A6]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Unauthorized modification of clinical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[A0] Firmware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Tampering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Malicious firmware installed via compromised 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[A0] Firmware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Denial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Firmware crash causes device to stop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security-risk-assessment"/>
    <w:p>
      <w:pPr>
        <w:pStyle w:val="Heading2"/>
      </w:pPr>
      <w:r>
        <w:t xml:space="preserve">3. Security Risk Assessment</w:t>
      </w:r>
    </w:p>
    <w:bookmarkStart w:id="27" w:name="risk-evaluation-pre-mitigation"/>
    <w:p>
      <w:pPr>
        <w:pStyle w:val="Heading3"/>
      </w:pPr>
      <w:r>
        <w:t xml:space="preserve">3.1 Risk Evaluation (Pre-Mitigation)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 Base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Exploitability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Confidentiality,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(patient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(patient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Confidentiality,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(patient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 (patient safety)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</w:tr>
    </w:tbl>
    <w:bookmarkEnd w:id="27"/>
    <w:bookmarkStart w:id="28" w:name="risk-evaluation-post-mitigation"/>
    <w:p>
      <w:pPr>
        <w:pStyle w:val="Heading3"/>
      </w:pPr>
      <w:r>
        <w:t xml:space="preserve">3.2 Risk Evaluation (Post-Mitigation)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CVSS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Secure Connections, device bonding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AES-128-CCM encryption, integrity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encryption (AES-128-CCM)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1.3, certificate pinning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MFA, session management,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validation, confidence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(acceptable)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AES-256, RBAC, audit, backups,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boot, signed OTA, dual-bank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2" w:name="security-controls"/>
    <w:p>
      <w:pPr>
        <w:pStyle w:val="Heading2"/>
      </w:pPr>
      <w:r>
        <w:t xml:space="preserve">4. Security Controls</w:t>
      </w:r>
    </w:p>
    <w:bookmarkStart w:id="30" w:name="security-architecture"/>
    <w:p>
      <w:pPr>
        <w:pStyle w:val="Heading3"/>
      </w:pPr>
      <w:r>
        <w:t xml:space="preserve">4.1 Security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(BLE)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BLE Secure Connections (LE SC), AES-128-CCM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(BLE)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Device bonding with passkey (6-digit)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(Firmware)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boot chain, signed firmware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Device (OTA)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Dual-bank OTA, signature verification (ECDSA-P256), rollback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 (App→Backend)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 (minimum), strong cipher suites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Transport (App→Backend)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pinning in mobile 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(Local)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encrypted local database, keychain storage for credentials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 (Auth)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Biometric + PIN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2.0 with JWT tokens, token expiration (1h access, 7d refresh)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Role-Based Access Control (RBAC): admin, clinician, 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requests/minute per user, DDoS protection (WAF)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(API)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validation, parameterized queries, sanitization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(Storage)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 for database and file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(Storage)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RBAC, principle of least privilege, MFA for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(Logging)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Immutable audit logs for all data access, retention ≥6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MFA (TOTP), session timeout (30 min), secure cookies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(Web)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CSP, CORS, anti-CSRF tokens, XSS protection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checks, anomaly detection, signal quality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 verification of model weights at startup</w:t>
            </w:r>
          </w:p>
        </w:tc>
      </w:tr>
    </w:tbl>
    <w:bookmarkEnd w:id="30"/>
    <w:bookmarkStart w:id="31" w:name="cryptographic-standards"/>
    <w:p>
      <w:pPr>
        <w:pStyle w:val="Heading3"/>
      </w:pPr>
      <w:r>
        <w:t xml:space="preserve">4.2 Cryptographic Standards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encryption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AES-CCM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Core Spec 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in transit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 (AES-256-GCM)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IETF RFC 8446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AES-GCM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NIST SP 800-38D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ECDSA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P-256 (256-bit)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FIPS 186-4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 factor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OpenBSD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RS256 (JWT)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2048-bit 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7519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6" w:name="vulnerability-management"/>
    <w:p>
      <w:pPr>
        <w:pStyle w:val="Heading2"/>
      </w:pPr>
      <w:r>
        <w:t xml:space="preserve">5. Vulnerability Management</w:t>
      </w:r>
    </w:p>
    <w:bookmarkStart w:id="33" w:name="vulnerability-monitoring"/>
    <w:p>
      <w:pPr>
        <w:pStyle w:val="Heading3"/>
      </w:pPr>
      <w:r>
        <w:t xml:space="preserve">5.1 Vulnerability Monitoring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SBOM-based vulnerability scanning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(automated)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Penetration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Annually + after major releases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security 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code analysis (SAST)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commit (CI/CD)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Dynamic application security testing (DAST)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Dependency vulnerability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 (Dependabot/Snyk)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CVE monitoring for SOUP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</w:tr>
    </w:tbl>
    <w:bookmarkEnd w:id="33"/>
    <w:bookmarkStart w:id="34" w:name="patch-management-policy"/>
    <w:p>
      <w:pPr>
        <w:pStyle w:val="Heading3"/>
      </w:pPr>
      <w:r>
        <w:t xml:space="preserve">5.2 Patch Management Policy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 (CVSS)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Critical (9.0–10.0)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hours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(7.0–8.9)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 hours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 (4.0–6.9)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planned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Low (0.1–3.9)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weeks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Future release</w:t>
            </w:r>
          </w:p>
        </w:tc>
      </w:tr>
    </w:tbl>
    <w:bookmarkEnd w:id="34"/>
    <w:bookmarkStart w:id="35" w:name="end-of-life-end-of-support-plan"/>
    <w:p>
      <w:pPr>
        <w:pStyle w:val="Heading3"/>
      </w:pPr>
      <w:r>
        <w:t xml:space="preserve">5.3 End-of-Life / End-of-Support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of support announcement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≥12 months before EOS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security 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EOS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 upgrade/replacement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Tools provided for data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Device decommissioning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Instructions for secure device wipe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4" w:name="software-bill-of-materials-sbom"/>
    <w:p>
      <w:pPr>
        <w:pStyle w:val="Heading2"/>
      </w:pPr>
      <w:r>
        <w:t xml:space="preserve">6. Software Bill of Materials (SBOM)</w:t>
      </w:r>
    </w:p>
    <w:bookmarkStart w:id="37" w:name="sbom-format"/>
    <w:p>
      <w:pPr>
        <w:pStyle w:val="Heading3"/>
      </w:pPr>
      <w:r>
        <w:t xml:space="preserve">6.1 SBOM Format</w:t>
      </w:r>
    </w:p>
    <w:p>
      <w:pPr>
        <w:pStyle w:val="FirstParagraph"/>
      </w:pPr>
      <w:r>
        <w:t xml:space="preserve">The SBOM is provided in</w:t>
      </w:r>
      <w:r>
        <w:t xml:space="preserve"> </w:t>
      </w:r>
      <w:r>
        <w:rPr>
          <w:bCs/>
          <w:b/>
        </w:rPr>
        <w:t xml:space="preserve">CycloneDX</w:t>
      </w:r>
      <w:r>
        <w:t xml:space="preserve"> </w:t>
      </w:r>
      <w:r>
        <w:t xml:space="preserve">format (JSON) and</w:t>
      </w:r>
      <w:r>
        <w:t xml:space="preserve"> </w:t>
      </w:r>
      <w:r>
        <w:rPr>
          <w:bCs/>
          <w:b/>
        </w:rPr>
        <w:t xml:space="preserve">SPDX</w:t>
      </w:r>
      <w:r>
        <w:t xml:space="preserve"> </w:t>
      </w:r>
      <w:r>
        <w:t xml:space="preserve">format, as recommended by FDA.</w:t>
      </w:r>
    </w:p>
    <w:bookmarkEnd w:id="37"/>
    <w:bookmarkStart w:id="42" w:name="sbom-summary"/>
    <w:p>
      <w:pPr>
        <w:pStyle w:val="Heading3"/>
      </w:pPr>
      <w:r>
        <w:t xml:space="preserve">6.2 SBOM Summary</w:t>
      </w:r>
    </w:p>
    <w:bookmarkStart w:id="38" w:name="firmware-components"/>
    <w:p>
      <w:pPr>
        <w:pStyle w:val="Heading4"/>
      </w:pPr>
      <w:r>
        <w:t xml:space="preserve">Firmware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Zephyr 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Zephyr 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cpe:2.3:o:zephyrproject:zephyr:*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Nordic nRF5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BSD-5-Clause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Nordic Semiconductor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mbed TLS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cpe:2.3:a:arm:mbed_tls:*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CMSIS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ADS1298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Medical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8"/>
    <w:bookmarkStart w:id="39" w:name="backend-components"/>
    <w:p>
      <w:pPr>
        <w:pStyle w:val="Heading4"/>
      </w:pPr>
      <w:r>
        <w:t xml:space="preserve">Backend Components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Node.js / 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/ PSF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OpenJS / PSF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cpe:2.3:a:nodejs:node.js:*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Express / 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/ 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cpe:2.3:a:postgresql:postgresql:*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Ltd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cpe:2.3:a:redis:redis:*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PyTorch / TensorFlow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 / Apache 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/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bookmarkEnd w:id="39"/>
    <w:bookmarkStart w:id="40" w:name="mobile-app-components"/>
    <w:p>
      <w:pPr>
        <w:pStyle w:val="Heading4"/>
      </w:pPr>
      <w:r>
        <w:t xml:space="preserve">Mobile App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react-native-ble-plx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Polidea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react-native-encrypted-storage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</w:tr>
    </w:tbl>
    <w:bookmarkEnd w:id="40"/>
    <w:bookmarkStart w:id="41" w:name="dashboard-components"/>
    <w:p>
      <w:pPr>
        <w:pStyle w:val="Heading4"/>
      </w:pPr>
      <w:r>
        <w:t xml:space="preserve">Dashboard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Material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MUI</w:t>
            </w:r>
          </w:p>
        </w:tc>
      </w:tr>
    </w:tbl>
    <w:bookmarkEnd w:id="41"/>
    <w:bookmarkEnd w:id="42"/>
    <w:bookmarkStart w:id="43" w:name="known-vulnerabilities"/>
    <w:p>
      <w:pPr>
        <w:pStyle w:val="Heading3"/>
      </w:pPr>
      <w:r>
        <w:t xml:space="preserve">6.3 Known Vulnerabilities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[To be populated from vulnerability scan]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Full SBOM in machine-readable format (CycloneDX JSON) is provided as a separate file:</w:t>
      </w:r>
      <w:r>
        <w:t xml:space="preserve"> </w:t>
      </w:r>
      <w:r>
        <w:rPr>
          <w:rStyle w:val="VerbatimChar"/>
        </w:rPr>
        <w:t xml:space="preserve">SBOM-Horizon-Medical-v1.0.json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ppendix-penetration-testing-summary"/>
    <w:p>
      <w:pPr>
        <w:pStyle w:val="Heading2"/>
      </w:pPr>
      <w:r>
        <w:t xml:space="preserve">Appendix: Penetration Testing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BLE 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Bluetooth sniffing, MITM attempt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[Results]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[Remediated/Accepted]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MASTG, static/dynamic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[Results]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[Remediated/Accepted]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Top 10, fuzzing, auth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[Results]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[Remediated/Accepted]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 Web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 Top 10, XSS, CSRF,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[Results]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[Remediated/Accepted]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security review, config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[Results]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[Remediated/Accepted]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Control de Versiones: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confidencial — Horizon Medical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2026-05-16T17:30:22Z</dcterms:created>
  <dcterms:modified xsi:type="dcterms:W3CDTF">2026-05-16T17:30:22Z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