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horizon-medical-design-history-file-dhf"/>
    <w:p>
      <w:pPr>
        <w:pStyle w:val="Heading1"/>
      </w:pPr>
      <w:r>
        <w:t xml:space="preserve">HORIZON MEDICAL — Design History File (DHF)</w:t>
      </w:r>
    </w:p>
    <w:p>
      <w:pPr>
        <w:pStyle w:val="FirstParagraph"/>
      </w:pPr>
      <w:r>
        <w:rPr>
          <w:bCs/>
          <w:b/>
        </w:rPr>
        <w:t xml:space="preserve">Documento:</w:t>
      </w:r>
      <w:r>
        <w:t xml:space="preserve"> </w:t>
      </w:r>
      <w:r>
        <w:t xml:space="preserve">HM-DHF-001</w:t>
      </w:r>
      <w:r>
        <w:br/>
      </w:r>
      <w:r>
        <w:rPr>
          <w:bCs/>
          <w:b/>
        </w:rPr>
        <w:t xml:space="preserve">Versión: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Fecha:</w:t>
      </w:r>
      <w:r>
        <w:t xml:space="preserve"> </w:t>
      </w:r>
      <w:r>
        <w:t xml:space="preserve">2026-05-16</w:t>
      </w:r>
      <w:r>
        <w:br/>
      </w:r>
      <w:r>
        <w:rPr>
          <w:bCs/>
          <w:b/>
        </w:rPr>
        <w:t xml:space="preserve">Referencia:</w:t>
      </w:r>
      <w:r>
        <w:t xml:space="preserve"> </w:t>
      </w:r>
      <w:r>
        <w:t xml:space="preserve">21 CFR 820.30, ISO 13485:2016 Sección 7.3</w:t>
      </w:r>
    </w:p>
    <w:p>
      <w:r>
        <w:pict>
          <v:rect style="width:0;height:1.5pt" o:hralign="center" o:hrstd="t" o:hr="t"/>
        </w:pict>
      </w:r>
    </w:p>
    <w:bookmarkStart w:id="20" w:name="tabla-de-contenidos"/>
    <w:p>
      <w:pPr>
        <w:pStyle w:val="Heading2"/>
      </w:pPr>
      <w:r>
        <w:t xml:space="preserve">Tabla de Contenidos</w:t>
      </w:r>
    </w:p>
    <w:p>
      <w:pPr>
        <w:numPr>
          <w:ilvl w:val="0"/>
          <w:numId w:val="1001"/>
        </w:numPr>
        <w:pStyle w:val="Compact"/>
      </w:pPr>
      <w:hyperlink w:anchor="X39d693e555a73b15399bbbcaf90f332c94898dd">
        <w:r>
          <w:rPr>
            <w:rStyle w:val="Hyperlink"/>
          </w:rPr>
          <w:t xml:space="preserve">Design and Development Planning</w:t>
        </w:r>
      </w:hyperlink>
    </w:p>
    <w:p>
      <w:pPr>
        <w:numPr>
          <w:ilvl w:val="0"/>
          <w:numId w:val="1001"/>
        </w:numPr>
        <w:pStyle w:val="Compact"/>
      </w:pPr>
      <w:hyperlink w:anchor="X13b74503993dbc03804e8be8093ef320915a6ef">
        <w:r>
          <w:rPr>
            <w:rStyle w:val="Hyperlink"/>
          </w:rPr>
          <w:t xml:space="preserve">Design Inputs</w:t>
        </w:r>
      </w:hyperlink>
    </w:p>
    <w:p>
      <w:pPr>
        <w:numPr>
          <w:ilvl w:val="0"/>
          <w:numId w:val="1001"/>
        </w:numPr>
        <w:pStyle w:val="Compact"/>
      </w:pPr>
      <w:hyperlink w:anchor="X521e89b52b8577fff3bbc7abaa62af91b9fd0d5">
        <w:r>
          <w:rPr>
            <w:rStyle w:val="Hyperlink"/>
          </w:rPr>
          <w:t xml:space="preserve">Design Outputs</w:t>
        </w:r>
      </w:hyperlink>
    </w:p>
    <w:p>
      <w:pPr>
        <w:numPr>
          <w:ilvl w:val="0"/>
          <w:numId w:val="1001"/>
        </w:numPr>
        <w:pStyle w:val="Compact"/>
      </w:pPr>
      <w:hyperlink w:anchor="Xdf3eb0db1069bd2deb1bef9512ec9f49f3a1e8d">
        <w:r>
          <w:rPr>
            <w:rStyle w:val="Hyperlink"/>
          </w:rPr>
          <w:t xml:space="preserve">Design Reviews</w:t>
        </w:r>
      </w:hyperlink>
    </w:p>
    <w:p>
      <w:pPr>
        <w:numPr>
          <w:ilvl w:val="0"/>
          <w:numId w:val="1001"/>
        </w:numPr>
        <w:pStyle w:val="Compact"/>
      </w:pPr>
      <w:hyperlink w:anchor="X1c53a77bef6793efbf2266f88c4d3ecf2613265">
        <w:r>
          <w:rPr>
            <w:rStyle w:val="Hyperlink"/>
          </w:rPr>
          <w:t xml:space="preserve">Design Verification</w:t>
        </w:r>
      </w:hyperlink>
    </w:p>
    <w:p>
      <w:pPr>
        <w:numPr>
          <w:ilvl w:val="0"/>
          <w:numId w:val="1001"/>
        </w:numPr>
        <w:pStyle w:val="Compact"/>
      </w:pPr>
      <w:hyperlink w:anchor="X3fdcc089157f55dac5c95e5e16001a4b78b1e9c">
        <w:r>
          <w:rPr>
            <w:rStyle w:val="Hyperlink"/>
          </w:rPr>
          <w:t xml:space="preserve">Design Validation</w:t>
        </w:r>
      </w:hyperlink>
    </w:p>
    <w:p>
      <w:pPr>
        <w:numPr>
          <w:ilvl w:val="0"/>
          <w:numId w:val="1001"/>
        </w:numPr>
        <w:pStyle w:val="Compact"/>
      </w:pPr>
      <w:hyperlink w:anchor="X0fcc7d44443f00ec6b0370b126524736fec9d1f">
        <w:r>
          <w:rPr>
            <w:rStyle w:val="Hyperlink"/>
          </w:rPr>
          <w:t xml:space="preserve">Design Transfer</w:t>
        </w:r>
      </w:hyperlink>
    </w:p>
    <w:p>
      <w:pPr>
        <w:numPr>
          <w:ilvl w:val="0"/>
          <w:numId w:val="1001"/>
        </w:numPr>
        <w:pStyle w:val="Compact"/>
      </w:pPr>
      <w:hyperlink w:anchor="Xe61149d10f3138ed6a6e71ee51ae2b9509ae65e">
        <w:r>
          <w:rPr>
            <w:rStyle w:val="Hyperlink"/>
          </w:rPr>
          <w:t xml:space="preserve">Design Changes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4" w:name="design-and-development-planning"/>
    <w:p>
      <w:pPr>
        <w:pStyle w:val="Heading2"/>
      </w:pPr>
      <w:r>
        <w:t xml:space="preserve">1. Design and Development Planning</w:t>
      </w:r>
    </w:p>
    <w:bookmarkStart w:id="21" w:name="información-del-proyecto"/>
    <w:p>
      <w:pPr>
        <w:pStyle w:val="Heading3"/>
      </w:pPr>
      <w:r>
        <w:t xml:space="preserve">1.1 Información del Proyecto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Nombre del proyecto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Horizon Medical Holter ECG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Código del proyecto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HM-H100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Project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[Nombre]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Design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[Nombre]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Inicio del diseño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[Fecha]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Design Freeze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[Fecha]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Design 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[Fecha]</w:t>
            </w:r>
          </w:p>
        </w:tc>
      </w:tr>
    </w:tbl>
    <w:bookmarkEnd w:id="21"/>
    <w:bookmarkStart w:id="22" w:name="fases-del-diseño"/>
    <w:p>
      <w:pPr>
        <w:pStyle w:val="Heading3"/>
      </w:pPr>
      <w:r>
        <w:t xml:space="preserve">1.2 Fases del Diseño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Fase 0 — Concept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Definición del concepto, estudio de factibilidad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 document, feasibility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DR-0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Fase 1 — 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de diseño, requisitos iniciales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Plan, initial 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Fase 2 —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Requisitos completos, normas aplicables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SRS, HRS, risk assessment preliminar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Fase 3 —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Diseño detallado, prototipos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Specifications, schematics, SW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Fase 4 —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Testing y verificación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reports, V&amp;V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DR-4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Fase 5 —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Validación clínica y usabilidad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Clinical data, usability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DR-5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Fase 6 — 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Transferencia a producción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DMR, manufacturing procedures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DR-6</w:t>
            </w:r>
          </w:p>
        </w:tc>
      </w:tr>
    </w:tbl>
    <w:bookmarkEnd w:id="22"/>
    <w:bookmarkStart w:id="23" w:name="equipo-de-diseño"/>
    <w:p>
      <w:pPr>
        <w:pStyle w:val="Heading3"/>
      </w:pPr>
      <w:r>
        <w:t xml:space="preserve">1.3 Equipo de Diseño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del proyecto, timeline, recursos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Hardware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Diseño electrónico, PCB, selección de componentes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Firmware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Desarrollo de firmware nRF52832, drivers, BLE stack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Software Engineer (Backend)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Arquitectura cloud, API, base de datos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AI/ML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 CNN-LSTM, entrenamiento, validación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Mobile Developer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iOS/Android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 Developer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web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Quality/Regulatory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QMS, risk management, regulatory submissions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Clinical Specialist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Evaluación clínica, requisitos clínicos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Industrial Designer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Diseño mecánico, ergonomía, carcasa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30" w:name="design-inputs"/>
    <w:p>
      <w:pPr>
        <w:pStyle w:val="Heading2"/>
      </w:pPr>
      <w:r>
        <w:t xml:space="preserve">2. Design Inputs</w:t>
      </w:r>
    </w:p>
    <w:bookmarkStart w:id="25" w:name="user-needs-necesidades-del-usuario"/>
    <w:p>
      <w:pPr>
        <w:pStyle w:val="Heading3"/>
      </w:pPr>
      <w:r>
        <w:t xml:space="preserve">2.1 User Needs (Necesidades del Usuario)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Need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paciente debe poder usar el dispositivo cómodamente durante 24–48 horas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Entrevistas con pacientes y cardiólogos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cardiólogo debe poder revisar el ECG y recibir alertas de arritmias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Entrevistas con cardiólogos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detectar automáticamente arritmias clínicamente significativas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 clínico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dispositivo debe ser fácil de colocar y operar para personal no especializado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Entrevistas con enfermeros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datos del paciente deben estar protegidos y ser confidenciales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 regulatorio (HIPAA/GDPR)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funcionar sin conexión a Internet temporal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Feedback clínico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cardiólogo debe poder generar informes clínicos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Entrevistas con cardiólogos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dispositivo debe ser liviano y discreto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Entrevistas con pacientes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batería debe durar al menos 48 horas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 clínico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permitir correlación de síntomas del paciente con ECG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Práctica clínica estándar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</w:tr>
    </w:tbl>
    <w:bookmarkEnd w:id="25"/>
    <w:bookmarkStart w:id="29" w:name="X7e8b3518658be411ef98b74a9a8e6036b15ce78"/>
    <w:p>
      <w:pPr>
        <w:pStyle w:val="Heading3"/>
      </w:pPr>
      <w:r>
        <w:t xml:space="preserve">2.2 Product Requirements (Requisitos del Producto)</w:t>
      </w:r>
    </w:p>
    <w:bookmarkStart w:id="26" w:name="requisitos-de-hardware"/>
    <w:p>
      <w:pPr>
        <w:pStyle w:val="Heading4"/>
      </w:pPr>
      <w:r>
        <w:t xml:space="preserve">2.2.1 Requisitos de Hardware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Derivado 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 de Aceptación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HW-001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dispositivo debe adquirir ECG de 3 canales simultáneamente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canales funcionales verificados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HW-002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Frecuencia de muestreo ≥ 500 Hz por canal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IEC 60601-2-47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Medición con osciloscopio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HW-003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Resolución ADC ≥ 24 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 de calidad de señal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Verificación de especificación ADS1298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HW-004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Autonomía de batería ≥ 48 horas en monitoreo continuo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de duración de batería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HW-005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 del dispositivo &lt; 50 g (sin electrodos)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Pesaje en balanza calibrada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HW-006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Dimensiones ≤ 65 × 40 × 12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Medición con calibrador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HW-007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Conectividad BLE 5.0 con alcance ≥ 10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 de conectividad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de alcance 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HW-008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Corriente de fuga del paciente &lt; 10 µA (condición normal)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IEC 60601-1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de seguridad eléctrica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HW-009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CMRR ≥ 100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IEC 60601-2-47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de laboratorio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HW-010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Ruido referido a entrada ≤ 30 µV 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IEC 60601-2-47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de laboratorio</w:t>
            </w:r>
          </w:p>
        </w:tc>
      </w:tr>
    </w:tbl>
    <w:bookmarkEnd w:id="26"/>
    <w:bookmarkStart w:id="27" w:name="requisitos-de-software"/>
    <w:p>
      <w:pPr>
        <w:pStyle w:val="Heading4"/>
      </w:pPr>
      <w:r>
        <w:t xml:space="preserve">2.2.2 Requisitos de Software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Derivado 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 de Aceptación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firmware debe filtrar la señal ECG (0.05–150 Hz paso-banda + notch 50/60 Hz)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Calidad de señal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Respuesta en frecuencia medida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backend debe almacenar datos ECG de forma segura (encryption at rest)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Auditoría de seguridad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módulo IA debe detectar FA con sensibilidad ≥ 95% y especificidad ≥ 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Validación con dataset anotado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módulo IA debe detectar TV con sensibilidad ≥ 95% y especificidad ≥ 98%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Validación con dataset anotado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app móvil debe mostrar ECG en tiempo real con latencia &lt; 2 segundos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de latencia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dashboard debe permitir generación de informes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funcional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almacenar datos localmente si no hay conexión a Internet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de offline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 los datos en tránsito deben estar cifrados con TLS 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Verificación de protocolo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app debe soportar registro de síntomas del paciente con 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funcional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tiempo de respuesta de alertas críticas (TV/FV) debe ser &lt; 30 segundos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 clínico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de latencia end-to-end</w:t>
            </w:r>
          </w:p>
        </w:tc>
      </w:tr>
    </w:tbl>
    <w:bookmarkEnd w:id="27"/>
    <w:bookmarkStart w:id="28" w:name="requisitos-regulatorios-y-de-normas"/>
    <w:p>
      <w:pPr>
        <w:pStyle w:val="Heading4"/>
      </w:pPr>
      <w:r>
        <w:t xml:space="preserve">2.2.3 Requisitos Regulatorios y de Normas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Cumplimiento con IEC 60601-1:2020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IEC 60601-1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 de lab acreditado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Cumplimiento con IEC 60601-1-2:2014+AMD1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IEC 60601-1-2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 de lab acreditado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Cumplimiento con IEC 60601-2-47:2012+AMD1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IEC 60601-2-47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 de lab acreditado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 desarrollado según IEC 62304:2006+AMD1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IEC 62304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 de software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Biocompatibilidad según ISO 10993-1, -5, 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10993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Reportes de lab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de riesgos según ISO 14971:2019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14971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Management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Usabilidad según IEC 62366-1:2015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IEC 62366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Usability Engineering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Seguridad de batería según IEC 62133-2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IEC 62133-2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 de lab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34" w:name="design-outputs"/>
    <w:p>
      <w:pPr>
        <w:pStyle w:val="Heading2"/>
      </w:pPr>
      <w:r>
        <w:t xml:space="preserve">3. Design Outputs</w:t>
      </w:r>
    </w:p>
    <w:bookmarkStart w:id="31" w:name="documentos-de-diseño-de-hardware"/>
    <w:p>
      <w:pPr>
        <w:pStyle w:val="Heading3"/>
      </w:pPr>
      <w:r>
        <w:t xml:space="preserve">3.1 Documentos de Diseño de Hardware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DO-HW-001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Esquemático electrónico (PCB)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[Rev]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[Estado]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DO-HW-002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Layout PCB (Gerber files)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[Rev]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[Estado]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DO-HW-003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 of Materials (BOM)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[Rev]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[Estado]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DO-HW-004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Mechanical drawings (carcasa, enclosure)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[Rev]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[Estado]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DO-HW-005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 model (STEP/IGES)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[Rev]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[Estado]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DO-HW-006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instructions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[Rev]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[Estado]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DO-HW-007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fixtures specifications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[Rev]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[Estado]</w:t>
            </w:r>
          </w:p>
        </w:tc>
      </w:tr>
    </w:tbl>
    <w:bookmarkEnd w:id="31"/>
    <w:bookmarkStart w:id="32" w:name="documentos-de-diseño-de-software"/>
    <w:p>
      <w:pPr>
        <w:pStyle w:val="Heading3"/>
      </w:pPr>
      <w:r>
        <w:t xml:space="preserve">3.2 Documentos de Diseño de Software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DO-SW-001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 Requirements Specification (SRS)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[Rev]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[Estado]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DO-SW-002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 Architecture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[Rev]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[Estado]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DO-SW-003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 Detailed Design — Firmware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[Rev]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[Estado]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DO-SW-004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 Detailed Design —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[Rev]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[Estado]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DO-SW-005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 Detailed Design — AI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[Rev]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[Estado]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DO-SW-006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 Detailed Design — Mobile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[Rev]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[Estado]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DO-SW-007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 Detailed Design —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[Rev]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[Estado]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DO-SW-008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[Rev]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[Estado]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DO-SW-009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Specification (OpenAPI/Swagger)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[Rev]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[Estado]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DO-SW-010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Model Architecture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[Rev]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[Estado]</w:t>
            </w:r>
          </w:p>
        </w:tc>
      </w:tr>
    </w:tbl>
    <w:bookmarkEnd w:id="32"/>
    <w:bookmarkStart w:id="33" w:name="etiquetado-y-empaque"/>
    <w:p>
      <w:pPr>
        <w:pStyle w:val="Heading3"/>
      </w:pPr>
      <w:r>
        <w:t xml:space="preserve">3.3 Etiquetado y Empaque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DO-LBL-001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 labeling artwork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[Rev]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[Estado]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DO-LBL-002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Instructions for Use (IFU) — English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[Rev]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[Estado]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DO-LBL-003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Instructions for Use (IFU) — Español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[Rev]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[Estado]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DO-LBL-004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 Start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[Rev]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[Estado]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DO-LBL-005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Packaging specification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[Rev]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[Estado]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6" w:name="design-reviews"/>
    <w:p>
      <w:pPr>
        <w:pStyle w:val="Heading2"/>
      </w:pPr>
      <w:r>
        <w:t xml:space="preserve">4. Design Reviews</w:t>
      </w:r>
    </w:p>
    <w:bookmarkStart w:id="35" w:name="registro-de-design-reviews"/>
    <w:p>
      <w:pPr>
        <w:pStyle w:val="Heading3"/>
      </w:pPr>
      <w:r>
        <w:t xml:space="preserve">4.1 Registro de Design Reviews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Review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Participantes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DR-0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[Fecha]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[Lista]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Aprobado / ☐ Aprobado con condiciones / ☐ Rechazado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[Acciones]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[Fecha]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[Lista]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Aprobado / ☐ Aprobado con condiciones / ☐ Rechazado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[Acciones]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[Fecha]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[Lista]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Aprobado / ☐ Aprobado con condiciones / ☐ Rechazado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[Acciones]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[Fecha]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[Lista]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Aprobado / ☐ Aprobado con condiciones / ☐ Rechazado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[Acciones]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[Fecha]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[Lista]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Aprobado / ☐ Aprobado con condiciones / ☐ Rechazado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[Acciones]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[Fecha]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[Lista]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Aprobado / ☐ Aprobado con condiciones / ☐ Rechazado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[Acciones]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[Fecha]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[Lista]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Aprobado / ☐ Aprobado con condiciones / ☐ Rechazado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[Acciones]</w:t>
            </w:r>
          </w:p>
        </w:tc>
      </w:tr>
    </w:tbl>
    <w:p>
      <w:pPr>
        <w:pStyle w:val="BlockText"/>
      </w:pPr>
      <w:r>
        <w:rPr>
          <w:bCs/>
          <w:b/>
        </w:rPr>
        <w:t xml:space="preserve">Nota:</w:t>
      </w:r>
      <w:r>
        <w:t xml:space="preserve"> </w:t>
      </w:r>
      <w:r>
        <w:t xml:space="preserve">Cada acta de Design Review debe incluir: fecha, participantes (con roles), items revisados, decisiones tomadas, action items con responsables y fechas, y firma del chairman.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design-verification"/>
    <w:p>
      <w:pPr>
        <w:pStyle w:val="Heading2"/>
      </w:pPr>
      <w:r>
        <w:t xml:space="preserve">5. Design Verification</w:t>
      </w:r>
    </w:p>
    <w:bookmarkStart w:id="37" w:name="matriz-de-trazabilidad-de-verificación"/>
    <w:p>
      <w:pPr>
        <w:pStyle w:val="Heading3"/>
      </w:pPr>
      <w:r>
        <w:t xml:space="preserve">5.1 Matriz de Trazabilidad de Verificación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Protocol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Report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HW-001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canales ECG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TP-HW-001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TR-HW-001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PASS / ☐ 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[Estado]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HW-002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Fs ≥ 500 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TP-HW-002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TR-HW-002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PASS / ☐ 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[Estado]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HW-004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Batería ≥ 48h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TP-HW-004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TR-HW-004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PASS / ☐ 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[Estado]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HW-005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 &lt; 50g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TP-HW-005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TR-HW-005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PASS / ☐ 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[Estado]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HW-008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Leakage &lt; 10µA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TP-HW-008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TR-HW-008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PASS / ☐ 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[Estado]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HW-009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CMRR ≥ 100dB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TP-HW-009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TR-HW-009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PASS / ☐ 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[Estado]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Filtrado ECG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TP-SW-001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TR-SW-001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PASS / ☐ 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[Estado]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 FA Se≥95%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TP-SW-003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TR-SW-003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PASS / ☐ 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[Estado]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 TV Se≥95%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TP-SW-004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TR-SW-004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PASS / ☐ 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[Estado]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Latencia &lt; 2s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TP-SW-005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TR-SW-005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PASS / ☐ 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[Estado]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IEC 60601-1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TP-REG-001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TR-REG-001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PASS / ☐ 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[Estado]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IEC 60601-1-2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TP-REG-002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TR-REG-002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PASS / ☐ 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[Estado]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10993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TP-REG-005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TR-REG-005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PASS / ☐ 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[Estado]</w:t>
            </w:r>
          </w:p>
        </w:tc>
      </w:tr>
    </w:tbl>
    <w:bookmarkEnd w:id="37"/>
    <w:bookmarkStart w:id="38" w:name="resumen-de-resultados-de-verificación"/>
    <w:p>
      <w:pPr>
        <w:pStyle w:val="Heading3"/>
      </w:pPr>
      <w:r>
        <w:t xml:space="preserve">5.2 Resumen de Resultados de Verificación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[%]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[%]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Regulatory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[%]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[N]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[N]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[N]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[N]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[%]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2" w:name="design-validation"/>
    <w:p>
      <w:pPr>
        <w:pStyle w:val="Heading2"/>
      </w:pPr>
      <w:r>
        <w:t xml:space="preserve">6. Design Validation</w:t>
      </w:r>
    </w:p>
    <w:bookmarkStart w:id="40" w:name="actividades-de-validación"/>
    <w:p>
      <w:pPr>
        <w:pStyle w:val="Heading3"/>
      </w:pPr>
      <w:r>
        <w:t xml:space="preserve">6.1 Actividades de Validación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Clinical validation study (Holter vs. gold standard)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VP-001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VR-001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 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algorithm clinical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VP-002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VR-002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 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Summative usability study — patients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VP-003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VR-003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 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Summative usability study — clinicians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VP-004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VR-004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 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 use environment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VP-005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VR-005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 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 system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VP-006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VR-006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 Pendiente</w:t>
            </w:r>
          </w:p>
        </w:tc>
      </w:tr>
    </w:tbl>
    <w:bookmarkEnd w:id="40"/>
    <w:bookmarkStart w:id="41" w:name="clinical-validation-protocol-resumen"/>
    <w:p>
      <w:pPr>
        <w:pStyle w:val="Heading3"/>
      </w:pPr>
      <w:r>
        <w:t xml:space="preserve">6.2 Clinical Validation Protocol (Resumen)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Parámetro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Demostrar que Horizon HM-H100 proporciona ECG de calidad diagnóstica equivalente a un Holter estándar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Diseño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Prospectivo, comparativo, evaluador cegado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Comparador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Holter ECG de 12 derivaciones (gold standard)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Endpoints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Sensibilidad/especificidad de detección de arritmias, calidad de señal, concordancia diagnóstica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Muestra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= 100–200 pacientes adultos con indicación de Holter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Criterio de éxito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Concordancia diagnóstica ≥ 90%, sensibilidad FA ≥ 95%, sensibilidad TV ≥ 95%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5" w:name="design-transfer"/>
    <w:p>
      <w:pPr>
        <w:pStyle w:val="Heading2"/>
      </w:pPr>
      <w:r>
        <w:t xml:space="preserve">7. Design Transfer</w:t>
      </w:r>
    </w:p>
    <w:bookmarkStart w:id="43" w:name="checklist-de-transferencia"/>
    <w:p>
      <w:pPr>
        <w:pStyle w:val="Heading3"/>
      </w:pPr>
      <w:r>
        <w:t xml:space="preserve">7.1 Checklist de Transferencia</w:t>
      </w:r>
    </w:p>
    <w:p>
      <w:pPr>
        <w:numPr>
          <w:ilvl w:val="0"/>
          <w:numId w:val="1002"/>
        </w:numPr>
        <w:pStyle w:val="Compact"/>
      </w:pPr>
      <w:r>
        <w:t xml:space="preserve">☐ Device Master Record (DMR) completo y aprobado</w:t>
      </w:r>
    </w:p>
    <w:p>
      <w:pPr>
        <w:numPr>
          <w:ilvl w:val="0"/>
          <w:numId w:val="1002"/>
        </w:numPr>
        <w:pStyle w:val="Compact"/>
      </w:pPr>
      <w:r>
        <w:t xml:space="preserve">☐ Manufacturing procedures documentados y validados</w:t>
      </w:r>
    </w:p>
    <w:p>
      <w:pPr>
        <w:numPr>
          <w:ilvl w:val="0"/>
          <w:numId w:val="1002"/>
        </w:numPr>
        <w:pStyle w:val="Compact"/>
      </w:pPr>
      <w:r>
        <w:t xml:space="preserve">☐ Incoming inspection procedures para todos los componentes</w:t>
      </w:r>
    </w:p>
    <w:p>
      <w:pPr>
        <w:numPr>
          <w:ilvl w:val="0"/>
          <w:numId w:val="1002"/>
        </w:numPr>
        <w:pStyle w:val="Compact"/>
      </w:pPr>
      <w:r>
        <w:t xml:space="preserve">☐ In-process inspection procedures</w:t>
      </w:r>
    </w:p>
    <w:p>
      <w:pPr>
        <w:numPr>
          <w:ilvl w:val="0"/>
          <w:numId w:val="1002"/>
        </w:numPr>
        <w:pStyle w:val="Compact"/>
      </w:pPr>
      <w:r>
        <w:t xml:space="preserve">☐ Final inspection and testing procedures</w:t>
      </w:r>
    </w:p>
    <w:p>
      <w:pPr>
        <w:numPr>
          <w:ilvl w:val="0"/>
          <w:numId w:val="1002"/>
        </w:numPr>
        <w:pStyle w:val="Compact"/>
      </w:pPr>
      <w:r>
        <w:t xml:space="preserve">☐ Packaging and labeling procedures</w:t>
      </w:r>
    </w:p>
    <w:p>
      <w:pPr>
        <w:numPr>
          <w:ilvl w:val="0"/>
          <w:numId w:val="1002"/>
        </w:numPr>
        <w:pStyle w:val="Compact"/>
      </w:pPr>
      <w:r>
        <w:t xml:space="preserve">☐ Equipment calibration procedures</w:t>
      </w:r>
    </w:p>
    <w:p>
      <w:pPr>
        <w:numPr>
          <w:ilvl w:val="0"/>
          <w:numId w:val="1002"/>
        </w:numPr>
        <w:pStyle w:val="Compact"/>
      </w:pPr>
      <w:r>
        <w:t xml:space="preserve">☐ Supplier qualification completada</w:t>
      </w:r>
    </w:p>
    <w:p>
      <w:pPr>
        <w:numPr>
          <w:ilvl w:val="0"/>
          <w:numId w:val="1002"/>
        </w:numPr>
        <w:pStyle w:val="Compact"/>
      </w:pPr>
      <w:r>
        <w:t xml:space="preserve">☐ Training del personal de manufactura completada</w:t>
      </w:r>
    </w:p>
    <w:p>
      <w:pPr>
        <w:numPr>
          <w:ilvl w:val="0"/>
          <w:numId w:val="1002"/>
        </w:numPr>
        <w:pStyle w:val="Compact"/>
      </w:pPr>
      <w:r>
        <w:t xml:space="preserve">☐ Pilot production run ejecutada y aprobada</w:t>
      </w:r>
    </w:p>
    <w:p>
      <w:pPr>
        <w:numPr>
          <w:ilvl w:val="0"/>
          <w:numId w:val="1002"/>
        </w:numPr>
        <w:pStyle w:val="Compact"/>
      </w:pPr>
      <w:r>
        <w:t xml:space="preserve">☐ Process validation completada (IQ/OQ/PQ)</w:t>
      </w:r>
    </w:p>
    <w:bookmarkEnd w:id="43"/>
    <w:bookmarkStart w:id="44" w:name="device-master-record-dmr-contenido"/>
    <w:p>
      <w:pPr>
        <w:pStyle w:val="Heading3"/>
      </w:pPr>
      <w:r>
        <w:t xml:space="preserve">7.2 Device Master Record (DMR) — Contenido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Elemento DMR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 specifications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Especificaciones del producto terminado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DO-HW-001 a DO-HW-007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 of Materials completa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DO-HW-003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Manufacturing procedures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Instrucciones de ensamblaje, soldadura, programación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MFG-001 a MFG-xxx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Quality procedures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Inspección, testing, criterios de aceptación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QP-001 a QP-xxx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Packaging specifications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Materiales, configuración, etiquetado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DO-LBL-005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Labeling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IFU, etiquetas, Quick Start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DO-LBL-001 a DO-LBL-005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48" w:name="design-changes"/>
    <w:p>
      <w:pPr>
        <w:pStyle w:val="Heading2"/>
      </w:pPr>
      <w:r>
        <w:t xml:space="preserve">8. Design Changes</w:t>
      </w:r>
    </w:p>
    <w:bookmarkStart w:id="46" w:name="registro-de-cambios-de-diseño"/>
    <w:p>
      <w:pPr>
        <w:pStyle w:val="Heading3"/>
      </w:pPr>
      <w:r>
        <w:t xml:space="preserve">8.1 Registro de Cambios de Diseño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Change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Aprobado por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V&amp;V Requerida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DCR-001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[Fecha]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[Descripción del cambio]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[Justificación]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[Hardware/Software/Labeling]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[Nombre]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[Sí/No — detalle]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DCR-002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[Fecha]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[Descripción]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[Justificación]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[Impacto]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[Nombre]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[Sí/No]</w:t>
            </w:r>
          </w:p>
        </w:tc>
      </w:tr>
    </w:tbl>
    <w:bookmarkEnd w:id="46"/>
    <w:bookmarkStart w:id="47" w:name="proceso-de-control-de-cambios"/>
    <w:p>
      <w:pPr>
        <w:pStyle w:val="Heading3"/>
      </w:pPr>
      <w:r>
        <w:t xml:space="preserve">8.2 Proceso de Control de Cambios</w:t>
      </w:r>
    </w:p>
    <w:p>
      <w:pPr>
        <w:pStyle w:val="SourceCode"/>
      </w:pPr>
      <w:r>
        <w:rPr>
          <w:rStyle w:val="VerbatimChar"/>
        </w:rPr>
        <w:t xml:space="preserve">┌──────────────┐     ┌──────────────┐     ┌──────────────┐</w:t>
      </w:r>
      <w:r>
        <w:br/>
      </w:r>
      <w:r>
        <w:rPr>
          <w:rStyle w:val="VerbatimChar"/>
        </w:rPr>
        <w:t xml:space="preserve">│  Change       │────▶│  Impact      │────▶│  Risk        │</w:t>
      </w:r>
      <w:r>
        <w:br/>
      </w:r>
      <w:r>
        <w:rPr>
          <w:rStyle w:val="VerbatimChar"/>
        </w:rPr>
        <w:t xml:space="preserve">│  Request      │     │  Assessment  │     │  Assessment  │</w:t>
      </w:r>
      <w:r>
        <w:br/>
      </w:r>
      <w:r>
        <w:rPr>
          <w:rStyle w:val="VerbatimChar"/>
        </w:rPr>
        <w:t xml:space="preserve">└──────────────┘     └──────────────┘     └──────┬───────┘</w:t>
      </w:r>
      <w:r>
        <w:br/>
      </w:r>
      <w:r>
        <w:rPr>
          <w:rStyle w:val="VerbatimChar"/>
        </w:rPr>
        <w:t xml:space="preserve">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▼</w:t>
      </w:r>
      <w:r>
        <w:br/>
      </w:r>
      <w:r>
        <w:rPr>
          <w:rStyle w:val="VerbatimChar"/>
        </w:rPr>
        <w:t xml:space="preserve">┌──────────────┐     ┌──────────────┐     ┌──────────────┐</w:t>
      </w:r>
      <w:r>
        <w:br/>
      </w:r>
      <w:r>
        <w:rPr>
          <w:rStyle w:val="VerbatimChar"/>
        </w:rPr>
        <w:t xml:space="preserve">│  Implement   │◄────│  Approval    │◄────│  V&amp;V Plan    │</w:t>
      </w:r>
      <w:r>
        <w:br/>
      </w:r>
      <w:r>
        <w:rPr>
          <w:rStyle w:val="VerbatimChar"/>
        </w:rPr>
        <w:t xml:space="preserve">│  Change      │     │  (CCB)       │     │  Update      │</w:t>
      </w:r>
      <w:r>
        <w:br/>
      </w:r>
      <w:r>
        <w:rPr>
          <w:rStyle w:val="VerbatimChar"/>
        </w:rPr>
        <w:t xml:space="preserve">└──────┬───────┘     └──────────────┘     └──────────────┘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┌──────────────┐     ┌──────────────┐</w:t>
      </w:r>
      <w:r>
        <w:br/>
      </w:r>
      <w:r>
        <w:rPr>
          <w:rStyle w:val="VerbatimChar"/>
        </w:rPr>
        <w:t xml:space="preserve">│  V&amp;V of      │────▶│  DHF/DMR     │</w:t>
      </w:r>
      <w:r>
        <w:br/>
      </w:r>
      <w:r>
        <w:rPr>
          <w:rStyle w:val="VerbatimChar"/>
        </w:rPr>
        <w:t xml:space="preserve">│  Change      │     │  Update      │</w:t>
      </w:r>
      <w:r>
        <w:br/>
      </w:r>
      <w:r>
        <w:rPr>
          <w:rStyle w:val="VerbatimChar"/>
        </w:rPr>
        <w:t xml:space="preserve">└──────────────┘     └──────────────┘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0" w:name="apéndices"/>
    <w:p>
      <w:pPr>
        <w:pStyle w:val="Heading2"/>
      </w:pPr>
      <w:r>
        <w:t xml:space="preserve">Apéndices</w:t>
      </w:r>
    </w:p>
    <w:bookmarkStart w:id="49" w:name="apéndice-a-lista-de-documentos-del-dhf"/>
    <w:p>
      <w:pPr>
        <w:pStyle w:val="Heading3"/>
      </w:pPr>
      <w:r>
        <w:t xml:space="preserve">Apéndice A — Lista de Documentos del DHF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and Development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HM-DDP-001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[Rev]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[Fecha]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Needs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HM-UND-001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[Rev]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[Fecha]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Requirements Specification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HM-PRS-001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[Rev]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[Fecha]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 Requirements Specification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HM-SRS-001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[Rev]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[Fecha]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Management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HM-RMF-001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[Rev]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[Fecha]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 Design Specifications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HM-HDS-001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[Rev]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[Fecha]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 Architecture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HM-SAD-001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[Rev]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[Fecha]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 Test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HM-VTR-xxx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[Rev]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[Fecha]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Protocols &amp;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HM-VAL-xxx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[Rev]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[Fecha]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Review 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HM-DRM-xxx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[Rev]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[Fecha]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Change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HM-DCR-xxx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[Rev]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[Fecha]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Transfer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HM-DTR-001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[Rev]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[Fecha]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Usability Engineering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HM-UEF-001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[Rev]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[Fecha]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Control de Versiones: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Asuntos Regulatorios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Creación inicial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Documento confidencial — Horizon Medical</w:t>
      </w:r>
    </w:p>
    <w:bookmarkEnd w:id="49"/>
    <w:bookmarkEnd w:id="50"/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2026-05-16T17:22:18Z</dcterms:created>
  <dcterms:modified xsi:type="dcterms:W3CDTF">2026-05-16T17:22:18Z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