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svg" ContentType="image/svg+xml;charset=utf-8"/>
  <Override PartName="/word/media/rId50.svg" ContentType="image/svg+xml;charset=utf-8"/>
  <Override PartName="/word/media/rId56.svg" ContentType="image/svg+xml;charset=utf-8"/>
  <Override PartName="/word/media/rId59.svg" ContentType="image/svg+xml;charset=utf-8"/>
  <Override PartName="/word/media/rId53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cicd-pipeline---horizon-medical-wss"/>
    <w:p>
      <w:pPr>
        <w:pStyle w:val="Heading1"/>
      </w:pPr>
      <w:r>
        <w:t xml:space="preserve">CI/CD Pipeline - Horizon Medical WSS</w:t>
      </w:r>
    </w:p>
    <w:bookmarkStart w:id="20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El proyecto</w:t>
      </w:r>
      <w:r>
        <w:t xml:space="preserve"> </w:t>
      </w:r>
      <w:r>
        <w:rPr>
          <w:bCs/>
          <w:b/>
        </w:rPr>
        <w:t xml:space="preserve">hrzmed_wss</w:t>
      </w:r>
      <w:r>
        <w:t xml:space="preserve"> </w:t>
      </w:r>
      <w:r>
        <w:t xml:space="preserve">implementa un pipeline de Integración Continua / Entrega Continua (CI/CD) usando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. Este pipeline asegura la calidad del código, ejecuta tests automáticamente y construye imágenes Docker listas para despliegue.</w:t>
      </w:r>
    </w:p>
    <w:p>
      <w:r>
        <w:pict>
          <v:rect style="width:0;height:1.5pt" o:hralign="center" o:hrstd="t" o:hr="t"/>
        </w:pict>
      </w:r>
    </w:p>
    <w:bookmarkEnd w:id="20"/>
    <w:bookmarkStart w:id="22" w:name="arquitectura-del-pipeline"/>
    <w:p>
      <w:pPr>
        <w:pStyle w:val="Heading2"/>
      </w:pPr>
      <w:r>
        <w:t xml:space="preserve">Arquitectura del Pipeline</w:t>
      </w:r>
    </w:p>
    <w:p>
      <w:pPr>
        <w:pStyle w:val="SourceCode"/>
      </w:pPr>
      <w:r>
        <w:rPr>
          <w:rStyle w:val="VerbatimChar"/>
        </w:rPr>
        <w:t xml:space="preserve">Push/PR → Lint → Unit Tests (Node 18/20/22) → Integration Tests (MongoDB) → Coverage → Docker Build</w:t>
      </w:r>
    </w:p>
    <w:bookmarkStart w:id="21" w:name="workflows"/>
    <w:p>
      <w:pPr>
        <w:pStyle w:val="Heading3"/>
      </w:pPr>
      <w:r>
        <w:t xml:space="preserve">Workflows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1"/>
        <w:gridCol w:w="1738"/>
        <w:gridCol w:w="1738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 - Tests &amp; Linting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Push/PR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Linting, tests unitarios, integración y 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Build &amp; 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.github/workflows/docker.yml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, tags</w:t>
            </w:r>
            <w:r>
              <w:t xml:space="preserve"> </w:t>
            </w:r>
            <w:r>
              <w:rPr>
                <w:rStyle w:val="VerbatimChar"/>
              </w:rPr>
              <w:t xml:space="preserve">v*.*.*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Docker, health check, push a GHCR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workflow-1-ci---tests-linting"/>
    <w:p>
      <w:pPr>
        <w:pStyle w:val="Heading2"/>
      </w:pPr>
      <w:r>
        <w:t xml:space="preserve">Workflow 1: CI - Tests &amp; Linting</w:t>
      </w:r>
    </w:p>
    <w:bookmarkStart w:id="27" w:name="jobs"/>
    <w:p>
      <w:pPr>
        <w:pStyle w:val="Heading3"/>
      </w:pPr>
      <w:r>
        <w:t xml:space="preserve">Jobs</w:t>
      </w:r>
    </w:p>
    <w:bookmarkStart w:id="23" w:name="lint-eslint"/>
    <w:p>
      <w:pPr>
        <w:pStyle w:val="Heading4"/>
      </w:pPr>
      <w:r>
        <w:t xml:space="preserve">🔍 Lint (ESLint)</w:t>
      </w:r>
    </w:p>
    <w:p>
      <w:pPr>
        <w:numPr>
          <w:ilvl w:val="0"/>
          <w:numId w:val="1001"/>
        </w:numPr>
        <w:pStyle w:val="Compact"/>
      </w:pPr>
      <w:r>
        <w:t xml:space="preserve">Ejecuta ESLint con la configuración del proyecto (</w:t>
      </w:r>
      <w:r>
        <w:rPr>
          <w:rStyle w:val="VerbatimChar"/>
        </w:rPr>
        <w:t xml:space="preserve">.eslintrc.json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Genera un reporte JSON en</w:t>
      </w:r>
      <w:r>
        <w:t xml:space="preserve"> </w:t>
      </w:r>
      <w:r>
        <w:rPr>
          <w:rStyle w:val="VerbatimChar"/>
        </w:rPr>
        <w:t xml:space="preserve">reports/eslint-report.json</w:t>
      </w:r>
    </w:p>
    <w:p>
      <w:pPr>
        <w:numPr>
          <w:ilvl w:val="0"/>
          <w:numId w:val="1001"/>
        </w:numPr>
        <w:pStyle w:val="Compact"/>
      </w:pPr>
      <w:r>
        <w:t xml:space="preserve">El reporte se sube como artifact de GitHub Actions</w:t>
      </w:r>
    </w:p>
    <w:bookmarkEnd w:id="23"/>
    <w:bookmarkStart w:id="24" w:name="unit-tests"/>
    <w:p>
      <w:pPr>
        <w:pStyle w:val="Heading4"/>
      </w:pPr>
      <w:r>
        <w:t xml:space="preserve">🧪 Unit Tests</w:t>
      </w:r>
    </w:p>
    <w:p>
      <w:pPr>
        <w:numPr>
          <w:ilvl w:val="0"/>
          <w:numId w:val="1002"/>
        </w:numPr>
        <w:pStyle w:val="Compact"/>
      </w:pPr>
      <w:r>
        <w:t xml:space="preserve">Se ejecutan en una</w:t>
      </w:r>
      <w:r>
        <w:t xml:space="preserve"> </w:t>
      </w:r>
      <w:r>
        <w:rPr>
          <w:bCs/>
          <w:b/>
        </w:rPr>
        <w:t xml:space="preserve">matrix</w:t>
      </w:r>
      <w:r>
        <w:t xml:space="preserve"> </w:t>
      </w:r>
      <w:r>
        <w:t xml:space="preserve">de Node.js:</w:t>
      </w:r>
      <w:r>
        <w:t xml:space="preserve"> </w:t>
      </w:r>
      <w:r>
        <w:rPr>
          <w:rStyle w:val="VerbatimChar"/>
        </w:rPr>
        <w:t xml:space="preserve">18</w:t>
      </w:r>
      <w:r>
        <w:t xml:space="preserve">,</w:t>
      </w:r>
      <w:r>
        <w:t xml:space="preserve"> </w:t>
      </w:r>
      <w:r>
        <w:rPr>
          <w:rStyle w:val="VerbatimChar"/>
        </w:rPr>
        <w:t xml:space="preserve">20</w:t>
      </w:r>
      <w:r>
        <w:t xml:space="preserve">,</w:t>
      </w:r>
      <w:r>
        <w:t xml:space="preserve"> </w:t>
      </w:r>
      <w:r>
        <w:rPr>
          <w:rStyle w:val="VerbatimChar"/>
        </w:rPr>
        <w:t xml:space="preserve">22</w:t>
      </w:r>
    </w:p>
    <w:p>
      <w:pPr>
        <w:numPr>
          <w:ilvl w:val="0"/>
          <w:numId w:val="1002"/>
        </w:numPr>
        <w:pStyle w:val="Compact"/>
      </w:pPr>
      <w:r>
        <w:t xml:space="preserve">Garantiza compatibilidad multi-versión</w:t>
      </w:r>
    </w:p>
    <w:p>
      <w:pPr>
        <w:numPr>
          <w:ilvl w:val="0"/>
          <w:numId w:val="1002"/>
        </w:numPr>
        <w:pStyle w:val="Compact"/>
      </w:pPr>
      <w:r>
        <w:t xml:space="preserve">Incluye tests de: autenticación, validación ECG, compresión de señales, persistencia</w:t>
      </w:r>
    </w:p>
    <w:bookmarkEnd w:id="24"/>
    <w:bookmarkStart w:id="25" w:name="integration-tests"/>
    <w:p>
      <w:pPr>
        <w:pStyle w:val="Heading4"/>
      </w:pPr>
      <w:r>
        <w:t xml:space="preserve">🔗 Integration Tests</w:t>
      </w:r>
    </w:p>
    <w:p>
      <w:pPr>
        <w:numPr>
          <w:ilvl w:val="0"/>
          <w:numId w:val="1003"/>
        </w:numPr>
        <w:pStyle w:val="Compact"/>
      </w:pPr>
      <w:r>
        <w:t xml:space="preserve">Levanta un servicio MongoDB 7 como</w:t>
      </w:r>
      <w:r>
        <w:t xml:space="preserve"> </w:t>
      </w:r>
      <w:r>
        <w:rPr>
          <w:bCs/>
          <w:b/>
        </w:rPr>
        <w:t xml:space="preserve">service container</w:t>
      </w:r>
    </w:p>
    <w:p>
      <w:pPr>
        <w:numPr>
          <w:ilvl w:val="0"/>
          <w:numId w:val="1003"/>
        </w:numPr>
        <w:pStyle w:val="Compact"/>
      </w:pPr>
      <w:r>
        <w:t xml:space="preserve">Ejecuta tests end-to-end con conexiones WebSocket reales</w:t>
      </w:r>
    </w:p>
    <w:p>
      <w:pPr>
        <w:numPr>
          <w:ilvl w:val="0"/>
          <w:numId w:val="1003"/>
        </w:numPr>
        <w:pStyle w:val="Compact"/>
      </w:pPr>
      <w:r>
        <w:t xml:space="preserve">Valida flujos completos: conexión → envío de datos → persistencia → consulta API</w:t>
      </w:r>
    </w:p>
    <w:bookmarkEnd w:id="25"/>
    <w:bookmarkStart w:id="26" w:name="coverage-report"/>
    <w:p>
      <w:pPr>
        <w:pStyle w:val="Heading4"/>
      </w:pPr>
      <w:r>
        <w:t xml:space="preserve">📊 Coverage Report</w:t>
      </w:r>
    </w:p>
    <w:p>
      <w:pPr>
        <w:numPr>
          <w:ilvl w:val="0"/>
          <w:numId w:val="1004"/>
        </w:numPr>
        <w:pStyle w:val="Compact"/>
      </w:pPr>
      <w:r>
        <w:t xml:space="preserve">Genera reporte de cobertura con</w:t>
      </w:r>
      <w:r>
        <w:t xml:space="preserve"> </w:t>
      </w:r>
      <w:r>
        <w:rPr>
          <w:bCs/>
          <w:b/>
        </w:rPr>
        <w:t xml:space="preserve">c8</w:t>
      </w:r>
    </w:p>
    <w:p>
      <w:pPr>
        <w:numPr>
          <w:ilvl w:val="0"/>
          <w:numId w:val="1004"/>
        </w:numPr>
        <w:pStyle w:val="Compact"/>
      </w:pPr>
      <w:r>
        <w:t xml:space="preserve">Formatos: texto (consola), LCOV (para herramientas de cobertura), JSON summary</w:t>
      </w:r>
    </w:p>
    <w:p>
      <w:pPr>
        <w:numPr>
          <w:ilvl w:val="0"/>
          <w:numId w:val="1004"/>
        </w:numPr>
        <w:pStyle w:val="Compact"/>
      </w:pPr>
      <w:r>
        <w:t xml:space="preserve">Se sube como artifact para descarga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workflow-2-docker-build-push"/>
    <w:p>
      <w:pPr>
        <w:pStyle w:val="Heading2"/>
      </w:pPr>
      <w:r>
        <w:t xml:space="preserve">Workflow 2: Docker Build &amp; Push</w:t>
      </w:r>
    </w:p>
    <w:bookmarkStart w:id="31" w:name="jobs-1"/>
    <w:p>
      <w:pPr>
        <w:pStyle w:val="Heading3"/>
      </w:pPr>
      <w:r>
        <w:t xml:space="preserve">Jobs</w:t>
      </w:r>
    </w:p>
    <w:bookmarkStart w:id="29" w:name="docker-build"/>
    <w:p>
      <w:pPr>
        <w:pStyle w:val="Heading4"/>
      </w:pPr>
      <w:r>
        <w:t xml:space="preserve">🐳 Docker Build</w:t>
      </w:r>
    </w:p>
    <w:p>
      <w:pPr>
        <w:numPr>
          <w:ilvl w:val="0"/>
          <w:numId w:val="1005"/>
        </w:numPr>
        <w:pStyle w:val="Compact"/>
      </w:pPr>
      <w:r>
        <w:t xml:space="preserve">Configura Docker Buildx para builds optimizados</w:t>
      </w:r>
    </w:p>
    <w:p>
      <w:pPr>
        <w:numPr>
          <w:ilvl w:val="0"/>
          <w:numId w:val="1005"/>
        </w:numPr>
        <w:pStyle w:val="Compact"/>
      </w:pPr>
      <w:r>
        <w:t xml:space="preserve">Login a GitHub Container Registry (GHCR)</w:t>
      </w:r>
    </w:p>
    <w:p>
      <w:pPr>
        <w:numPr>
          <w:ilvl w:val="0"/>
          <w:numId w:val="1005"/>
        </w:numPr>
        <w:pStyle w:val="Compact"/>
      </w:pPr>
      <w:r>
        <w:t xml:space="preserve">Extrae metadata para tags automáticos (branch, PR, semver, SHA)</w:t>
      </w:r>
    </w:p>
    <w:p>
      <w:pPr>
        <w:numPr>
          <w:ilvl w:val="0"/>
          <w:numId w:val="1005"/>
        </w:numPr>
        <w:pStyle w:val="Compact"/>
      </w:pPr>
      <w:r>
        <w:t xml:space="preserve">Construye la imagen Docker</w:t>
      </w:r>
    </w:p>
    <w:p>
      <w:pPr>
        <w:numPr>
          <w:ilvl w:val="0"/>
          <w:numId w:val="1005"/>
        </w:numPr>
        <w:pStyle w:val="Compact"/>
      </w:pPr>
      <w:r>
        <w:t xml:space="preserve">Ejecuta un</w:t>
      </w:r>
      <w:r>
        <w:t xml:space="preserve"> </w:t>
      </w:r>
      <w:r>
        <w:rPr>
          <w:bCs/>
          <w:b/>
        </w:rPr>
        <w:t xml:space="preserve">health check</w:t>
      </w:r>
      <w:r>
        <w:t xml:space="preserve"> </w:t>
      </w:r>
      <w:r>
        <w:t xml:space="preserve">del contenedor:</w:t>
      </w:r>
    </w:p>
    <w:p>
      <w:pPr>
        <w:numPr>
          <w:ilvl w:val="1"/>
          <w:numId w:val="1006"/>
        </w:numPr>
        <w:pStyle w:val="Compact"/>
      </w:pPr>
      <w:r>
        <w:t xml:space="preserve">Inicia el contenedor en modo test</w:t>
      </w:r>
    </w:p>
    <w:p>
      <w:pPr>
        <w:numPr>
          <w:ilvl w:val="1"/>
          <w:numId w:val="1006"/>
        </w:numPr>
        <w:pStyle w:val="Compact"/>
      </w:pPr>
      <w:r>
        <w:t xml:space="preserve">Verifica el 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responda HTTP 200</w:t>
      </w:r>
    </w:p>
    <w:p>
      <w:pPr>
        <w:numPr>
          <w:ilvl w:val="1"/>
          <w:numId w:val="1006"/>
        </w:numPr>
        <w:pStyle w:val="Compact"/>
      </w:pPr>
      <w:r>
        <w:t xml:space="preserve">Falla el pipeline si el health check no pasa</w:t>
      </w:r>
    </w:p>
    <w:p>
      <w:pPr>
        <w:numPr>
          <w:ilvl w:val="0"/>
          <w:numId w:val="1005"/>
        </w:numPr>
        <w:pStyle w:val="Compact"/>
      </w:pPr>
      <w:r>
        <w:t xml:space="preserve">Push de la imagen a GHCR (solo en push, no en PRs)</w:t>
      </w:r>
    </w:p>
    <w:bookmarkEnd w:id="29"/>
    <w:bookmarkStart w:id="30" w:name="docker-compose-validation"/>
    <w:p>
      <w:pPr>
        <w:pStyle w:val="Heading4"/>
      </w:pPr>
      <w:r>
        <w:t xml:space="preserve">🐳 Docker Compose Validation</w:t>
      </w:r>
    </w:p>
    <w:p>
      <w:pPr>
        <w:numPr>
          <w:ilvl w:val="0"/>
          <w:numId w:val="1007"/>
        </w:numPr>
        <w:pStyle w:val="Compact"/>
      </w:pPr>
      <w:r>
        <w:t xml:space="preserve">Valida la sintaxis de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numPr>
          <w:ilvl w:val="0"/>
          <w:numId w:val="1007"/>
        </w:numPr>
        <w:pStyle w:val="Compact"/>
      </w:pPr>
      <w:r>
        <w:t xml:space="preserve">Ejecuta</w:t>
      </w:r>
      <w:r>
        <w:t xml:space="preserve"> </w:t>
      </w:r>
      <w:r>
        <w:rPr>
          <w:bCs/>
          <w:b/>
        </w:rPr>
        <w:t xml:space="preserve">Hadolint</w:t>
      </w:r>
      <w:r>
        <w:t xml:space="preserve"> </w:t>
      </w:r>
      <w:r>
        <w:t xml:space="preserve">para lint del Dockerfile</w:t>
      </w:r>
    </w:p>
    <w:bookmarkEnd w:id="30"/>
    <w:bookmarkEnd w:id="31"/>
    <w:bookmarkStart w:id="32" w:name="tags-de-imágenes-docker"/>
    <w:p>
      <w:pPr>
        <w:pStyle w:val="Heading3"/>
      </w:pPr>
      <w:r>
        <w:t xml:space="preserve">Tags de Imágenes Docker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generados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sha-abc1234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a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sha-abc1234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v1.2.3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1.2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sha-abc1234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pr-42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linting-eslint"/>
    <w:p>
      <w:pPr>
        <w:pStyle w:val="Heading2"/>
      </w:pPr>
      <w:r>
        <w:t xml:space="preserve">Linting (ESLint)</w:t>
      </w:r>
    </w:p>
    <w:bookmarkStart w:id="34" w:name="configuración"/>
    <w:p>
      <w:pPr>
        <w:pStyle w:val="Heading3"/>
      </w:pPr>
      <w:r>
        <w:t xml:space="preserve">Configuración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.eslintrc.json</w:t>
      </w:r>
      <w:r>
        <w:t xml:space="preserve"> </w:t>
      </w:r>
      <w:r>
        <w:t xml:space="preserve">define las reglas de calidad del código: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eslint:recommended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Entorno</w:t>
      </w:r>
      <w:r>
        <w:t xml:space="preserve">: Node.js, ES2022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Reglas principales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no-eval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no-implied-eval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no-new-func</w:t>
      </w:r>
      <w:r>
        <w:t xml:space="preserve">: Seguridad contra inyección de código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eqeqeq</w:t>
      </w:r>
      <w:r>
        <w:t xml:space="preserve">: Comparaciones estrictas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prefer-const</w:t>
      </w:r>
      <w:r>
        <w:t xml:space="preserve">,</w:t>
      </w:r>
      <w:r>
        <w:t xml:space="preserve"> </w:t>
      </w:r>
      <w:r>
        <w:rPr>
          <w:rStyle w:val="VerbatimChar"/>
        </w:rPr>
        <w:t xml:space="preserve">no-var</w:t>
      </w:r>
      <w:r>
        <w:t xml:space="preserve">: Mejores prácticas ES6+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semi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indent</w:t>
      </w:r>
      <w:r>
        <w:t xml:space="preserve">: Consistencia de estilo</w:t>
      </w:r>
    </w:p>
    <w:p>
      <w:pPr>
        <w:numPr>
          <w:ilvl w:val="1"/>
          <w:numId w:val="1009"/>
        </w:numPr>
        <w:pStyle w:val="Compact"/>
      </w:pPr>
      <w:r>
        <w:t xml:space="preserve">Tests tienen reglas más relajadas (archivos en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)</w:t>
      </w:r>
    </w:p>
    <w:bookmarkEnd w:id="34"/>
    <w:bookmarkStart w:id="35" w:name="comandos"/>
    <w:p>
      <w:pPr>
        <w:pStyle w:val="Heading3"/>
      </w:pPr>
      <w:r>
        <w:t xml:space="preserve">Comandos</w:t>
      </w:r>
    </w:p>
    <w:p>
      <w:pPr>
        <w:pStyle w:val="SourceCode"/>
      </w:pPr>
      <w:r>
        <w:rPr>
          <w:rStyle w:val="CommentTok"/>
        </w:rPr>
        <w:t xml:space="preserve"># Ejecutar linting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Ejecutar linting y auto-corregir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lint:fix</w:t>
      </w:r>
      <w:r>
        <w:br/>
      </w:r>
      <w:r>
        <w:br/>
      </w:r>
      <w:r>
        <w:rPr>
          <w:rStyle w:val="CommentTok"/>
        </w:rPr>
        <w:t xml:space="preserve"># Generar reporte 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lint:report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obertura-de-tests"/>
    <w:p>
      <w:pPr>
        <w:pStyle w:val="Heading2"/>
      </w:pPr>
      <w:r>
        <w:t xml:space="preserve">Cobertura de Tests</w:t>
      </w:r>
    </w:p>
    <w:bookmarkStart w:id="37" w:name="herramienta-c8"/>
    <w:p>
      <w:pPr>
        <w:pStyle w:val="Heading3"/>
      </w:pPr>
      <w:r>
        <w:t xml:space="preserve">Herramienta: c8</w:t>
      </w:r>
    </w:p>
    <w:p>
      <w:pPr>
        <w:pStyle w:val="FirstParagraph"/>
      </w:pPr>
      <w:r>
        <w:t xml:space="preserve">Se usa</w:t>
      </w:r>
      <w:r>
        <w:t xml:space="preserve"> </w:t>
      </w:r>
      <w:r>
        <w:rPr>
          <w:bCs/>
          <w:b/>
        </w:rPr>
        <w:t xml:space="preserve">c8</w:t>
      </w:r>
      <w:r>
        <w:t xml:space="preserve"> </w:t>
      </w:r>
      <w:r>
        <w:t xml:space="preserve">(built-in V8 coverage) para generar reportes de cobertura sin necesidad de instrumentación.</w:t>
      </w:r>
    </w:p>
    <w:bookmarkEnd w:id="37"/>
    <w:bookmarkStart w:id="38" w:name="comandos-1"/>
    <w:p>
      <w:pPr>
        <w:pStyle w:val="Heading3"/>
      </w:pPr>
      <w:r>
        <w:t xml:space="preserve">Comandos</w:t>
      </w:r>
    </w:p>
    <w:p>
      <w:pPr>
        <w:pStyle w:val="SourceCode"/>
      </w:pPr>
      <w:r>
        <w:rPr>
          <w:rStyle w:val="CommentTok"/>
        </w:rPr>
        <w:t xml:space="preserve"># Todos los tests con cobertura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  <w:r>
        <w:br/>
      </w:r>
      <w:r>
        <w:br/>
      </w:r>
      <w:r>
        <w:rPr>
          <w:rStyle w:val="CommentTok"/>
        </w:rPr>
        <w:t xml:space="preserve"># Solo tests unitarios con cobertura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test:coverage:unit</w:t>
      </w:r>
    </w:p>
    <w:bookmarkEnd w:id="38"/>
    <w:bookmarkStart w:id="39" w:name="reportes-generados"/>
    <w:p>
      <w:pPr>
        <w:pStyle w:val="Heading3"/>
      </w:pPr>
      <w:r>
        <w:t xml:space="preserve">Reportes Generados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1"/>
        <w:gridCol w:w="34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Consola (stdout)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rápida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coverage/lcov.info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con herramientas (Codecov, SonarQube)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coverage/coverage-summary.json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dinámicos, CI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coverage/lcov-report/index.html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Navegación visual detallada</w:t>
            </w:r>
          </w:p>
        </w:tc>
      </w:tr>
    </w:tbl>
    <w:bookmarkEnd w:id="39"/>
    <w:bookmarkStart w:id="40" w:name="cobertura-actual"/>
    <w:p>
      <w:pPr>
        <w:pStyle w:val="Heading3"/>
      </w:pPr>
      <w:r>
        <w:t xml:space="preserve">Cobertura Actual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75.91%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90.86%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ejecución-local"/>
    <w:p>
      <w:pPr>
        <w:pStyle w:val="Heading2"/>
      </w:pPr>
      <w:r>
        <w:t xml:space="preserve">Ejecución Local</w:t>
      </w:r>
    </w:p>
    <w:bookmarkStart w:id="42" w:name="pre-requisitos"/>
    <w:p>
      <w:pPr>
        <w:pStyle w:val="Heading3"/>
      </w:pPr>
      <w:r>
        <w:t xml:space="preserve">Pre-requisitos</w:t>
      </w:r>
    </w:p>
    <w:p>
      <w:pPr>
        <w:numPr>
          <w:ilvl w:val="0"/>
          <w:numId w:val="1010"/>
        </w:numPr>
        <w:pStyle w:val="Compact"/>
      </w:pPr>
      <w:r>
        <w:t xml:space="preserve">Node.js &gt;= 18</w:t>
      </w:r>
    </w:p>
    <w:p>
      <w:pPr>
        <w:numPr>
          <w:ilvl w:val="0"/>
          <w:numId w:val="1010"/>
        </w:numPr>
        <w:pStyle w:val="Compact"/>
      </w:pPr>
      <w:r>
        <w:t xml:space="preserve">npm &gt;= 8</w:t>
      </w:r>
    </w:p>
    <w:p>
      <w:pPr>
        <w:numPr>
          <w:ilvl w:val="0"/>
          <w:numId w:val="1010"/>
        </w:numPr>
        <w:pStyle w:val="Compact"/>
      </w:pPr>
      <w:r>
        <w:t xml:space="preserve">Docker y Docker Compose (para tests de integración con MongoDB real)</w:t>
      </w:r>
    </w:p>
    <w:bookmarkEnd w:id="42"/>
    <w:bookmarkStart w:id="43" w:name="comandos-rápidos"/>
    <w:p>
      <w:pPr>
        <w:pStyle w:val="Heading3"/>
      </w:pPr>
      <w:r>
        <w:t xml:space="preserve">Comandos Rápidos</w:t>
      </w:r>
    </w:p>
    <w:p>
      <w:pPr>
        <w:pStyle w:val="SourceCode"/>
      </w:pP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Ejecutar linting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Ejecutar todos los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Ejecutar tests con cobertura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  <w:r>
        <w:br/>
      </w:r>
      <w:r>
        <w:br/>
      </w:r>
      <w:r>
        <w:rPr>
          <w:rStyle w:val="CommentTok"/>
        </w:rPr>
        <w:t xml:space="preserve"># Pipeline CI completo (lint + tests)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ci</w:t>
      </w:r>
      <w:r>
        <w:br/>
      </w:r>
      <w:r>
        <w:br/>
      </w:r>
      <w:r>
        <w:rPr>
          <w:rStyle w:val="CommentTok"/>
        </w:rPr>
        <w:t xml:space="preserve"># Pre-commit check (lint + unit tests)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precommit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variables-de-entorno-en-ci"/>
    <w:p>
      <w:pPr>
        <w:pStyle w:val="Heading2"/>
      </w:pPr>
      <w:r>
        <w:t xml:space="preserve">Variables de Entorno en 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 ejecución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ci-test-secret-...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para JWT en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de 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Desactiva auth para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errores en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MONGO_URI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mongodb://...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 de MongoDB de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hrzmed_test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de pruebas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secrets-de-github-requeridos"/>
    <w:p>
      <w:pPr>
        <w:pStyle w:val="Heading2"/>
      </w:pPr>
      <w:r>
        <w:t xml:space="preserve">Secrets de GitHub Requeridos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2"/>
        <w:gridCol w:w="2782"/>
        <w:gridCol w:w="34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Requerido 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Automático, proporcionado por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de imágenes Docker a GHCR</w:t>
            </w:r>
          </w:p>
        </w:tc>
      </w:tr>
    </w:tbl>
    <w:p>
      <w:pPr>
        <w:pStyle w:val="BlockText"/>
      </w:pPr>
      <w:r>
        <w:t xml:space="preserve">No se requieren secrets adicionales para el pipeline básico. Para integraciones futuras (Codecov, Slack notifications), agregar los secrets correspondientes.</w:t>
      </w:r>
    </w:p>
    <w:p>
      <w:r>
        <w:pict>
          <v:rect style="width:0;height:1.5pt" o:hralign="center" o:hrstd="t" o:hr="t"/>
        </w:pict>
      </w:r>
    </w:p>
    <w:bookmarkEnd w:id="46"/>
    <w:bookmarkStart w:id="62" w:name="badges-del-proyecto"/>
    <w:p>
      <w:pPr>
        <w:pStyle w:val="Heading2"/>
      </w:pPr>
      <w:r>
        <w:t xml:space="preserve">Badges del Proyecto</w:t>
      </w:r>
    </w:p>
    <w:p>
      <w:pPr>
        <w:pStyle w:val="FirstParagraph"/>
      </w:pPr>
      <w:r>
        <w:t xml:space="preserve">Los badges en el README reflejan el estado actual del pipeline: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104900" cy="190500"/>
                  <wp:effectExtent b="0" l="0" r="0" t="0"/>
                  <wp:docPr descr="CI" title="" id="48" name="Picture"/>
                  <a:graphic>
                    <a:graphicData uri="http://schemas.openxmlformats.org/drawingml/2006/picture">
                      <pic:pic>
                        <pic:nvPicPr>
                          <pic:cNvPr descr="https://img.shields.io/badge/CI-Tests%20%26%20Linting-blue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workflow de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219200" cy="190500"/>
                  <wp:effectExtent b="0" l="0" r="0" t="0"/>
                  <wp:docPr descr="Docker" title="" id="51" name="Picture"/>
                  <a:graphic>
                    <a:graphicData uri="http://schemas.openxmlformats.org/drawingml/2006/picture">
                      <pic:pic>
                        <pic:nvPicPr>
                          <pic:cNvPr descr="https://img.shields.io/badge/Docker-Build%20%26%20Push-blue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build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742950" cy="190500"/>
                  <wp:effectExtent b="0" l="0" r="0" t="0"/>
                  <wp:docPr descr="Node" title="" id="54" name="Picture"/>
                  <a:graphic>
                    <a:graphicData uri="http://schemas.openxmlformats.org/drawingml/2006/picture">
                      <pic:pic>
                        <pic:nvPicPr>
                          <pic:cNvPr descr="https://img.shields.io/badge/node-%3E%3D18-brightgreen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mínima de Node.js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781050" cy="190500"/>
                  <wp:effectExtent b="0" l="0" r="0" t="0"/>
                  <wp:docPr descr="License" title="" id="57" name="Picture"/>
                  <a:graphic>
                    <a:graphicData uri="http://schemas.openxmlformats.org/drawingml/2006/picture">
                      <pic:pic>
                        <pic:nvPicPr>
                          <pic:cNvPr descr="https://img.shields.io/badge/License-MIT-yellow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 del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914400" cy="190500"/>
                  <wp:effectExtent b="0" l="0" r="0" t="0"/>
                  <wp:docPr descr="Coverage" title="" id="60" name="Picture"/>
                  <a:graphic>
                    <a:graphicData uri="http://schemas.openxmlformats.org/drawingml/2006/picture">
                      <pic:pic>
                        <pic:nvPicPr>
                          <pic:cNvPr descr="https://img.shields.io/badge/coverage-90%25-brightgreen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mejoras-futuras"/>
    <w:p>
      <w:pPr>
        <w:pStyle w:val="Heading2"/>
      </w:pPr>
      <w:r>
        <w:t xml:space="preserve">Mejoras Futuras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Codecov Integration</w:t>
      </w:r>
      <w:r>
        <w:t xml:space="preserve">: Subir reportes LCOV a Codecov para badges dinámicos de cobertura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Dependabot</w:t>
      </w:r>
      <w:r>
        <w:t xml:space="preserve">: Configurar actualizaciones automáticas de dependencias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Slack/Teams Notifications</w:t>
      </w:r>
      <w:r>
        <w:t xml:space="preserve">: Notificar al equipo sobre fallos en el pipeline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CD (Continuous Deployment)</w:t>
      </w:r>
      <w:r>
        <w:t xml:space="preserve">: Deploy automático a staging tras merge a</w:t>
      </w:r>
      <w:r>
        <w:t xml:space="preserve"> </w:t>
      </w:r>
      <w:r>
        <w:rPr>
          <w:rStyle w:val="VerbatimChar"/>
        </w:rPr>
        <w:t xml:space="preserve">develop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Security Scanning</w:t>
      </w:r>
      <w:r>
        <w:t xml:space="preserve">: Integrar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y escaneo de vulnerabilidades en contenedores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Performance Tests</w:t>
      </w:r>
      <w:r>
        <w:t xml:space="preserve">: Añadir benchmarks de latencia WebSocket al pipeline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Branch Protection Rules</w:t>
      </w:r>
      <w:r>
        <w:t xml:space="preserve">: Requerir checks de CI exitosos antes de merge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svg" /><Relationship Type="http://schemas.openxmlformats.org/officeDocument/2006/relationships/image" Id="rId50" Target="media/rId50.svg" /><Relationship Type="http://schemas.openxmlformats.org/officeDocument/2006/relationships/image" Id="rId56" Target="media/rId56.svg" /><Relationship Type="http://schemas.openxmlformats.org/officeDocument/2006/relationships/image" Id="rId59" Target="media/rId59.svg" /><Relationship Type="http://schemas.openxmlformats.org/officeDocument/2006/relationships/image" Id="rId53" Target="media/rId5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2026-05-15T17:03:49Z</dcterms:created>
  <dcterms:modified xsi:type="dcterms:W3CDTF">2026-05-15T17:03:49Z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