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GRUPO SENDA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Proyecto Senda Midas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Mapeo de Integraciones y APIs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Documento de diagnóstico: estado actual, brechas y recomendaciones</w:t>
      </w:r>
    </w:p>
    <w:p>
      <w:pPr>
        <w:spacing w:before="15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Preparado por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Paolo Rodriguez / Santiago Martín-Laborda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Fecha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 de mayo de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Área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Mejora Continua | Grupo Senda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Clasificación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Documento interno | Confidencial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1. Propósito del documento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Este documento presenta un mapeo exhaustivo de todas las integraciones y APIs que alimentan la plataforma Senda Midas, cruzando lo que indica el Reporte de Avance del proyecto con lo que realmente existe implementado en el código fuente a la fecha.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El objetivo es dar visibilidad clara a las áreas de Tecnologías de Información y Dirección sobre tres preguntas clave: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Qué integraciones ya están operando correctamente en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Qué integraciones están pendientes, parciales o funcionando con datos temporales.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Qué integraciones adicionales se necesitan para completar el modelo predictivo de Fase 2 y que aún no están contempladas formalmente.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2. Resumen ejecutivo de integraciones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plataforma cuenta actualmente con 5 integraciones activas en producción (JDE + OpenAI), 2 integraciones opcionales (Cognos), y al menos 6 integraciones críticas que aún no existen o dependen de endpoints que TI debe habilitar.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1800"/>
        <w:gridCol w:w="15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Operando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JDE Tesorería (antiguas, bancos, empresas)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JDE Cobranza + Indicadores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Bancos (4 instituciones vía JDE)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Cognos (catálogos clientes/proveedores)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OpenAI (asistente MIDAS AI)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Órdenes de compra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PENDIENTE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Órdenes de pago / egresos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PENDIENTE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Abastecimientos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PENDIENTE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Nómina proyectada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Servicio de deuda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Impuestos (JDE)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RFCs internos (transferencias)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3. Integraciones operando en producción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Estas integraciones están conectadas, probadas y en uso diario por el equipo de Tesorería.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3.1 JDE — Antigüedad de saldos (CXP)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/antiguedadsaldos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CXP, Cobranza, Planeación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Facturas por proveedor, antigüedad, montos MXN/USD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Buckets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1-30, 31-60, 61-90, 91-120, 121-150, 151-180, +180 días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Funcionando sin problemas. Es la columna vertebral de CXP.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3.2 JDE — Estados de cuenta bancarios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/bancos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Tesorería, Bancos, Reconciliación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Movimientos diarios, saldo inicial/final, códigos transacción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Formatos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SWIFT, BAI2, MT940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Bancos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Banamex, Banorte, BanBajío, Santander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Concurrencia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 workers simultáneos, 3 reintentos con backoff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Los 4 bancos operan vía JDE. Santander tiene parser CSV/TXT adicional como respaldo.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3.3 JDE — Catálogo de empresas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/empresas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Selector global de compañía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Cía, nombre, RFC, moneda base, estatus activa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 para todos los módulos. Sin problemas.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3.4 JDE — Cobranza (CXC)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/cobranza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Cobranza, Proyección, Motor de colección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Liberado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 de mayo de 2026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Facturas por cliente, fechas vencimiento, montos, tasa IVA, UUID fiscal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Recientemente liberada. Es la integración clave que habilita el motor de cobranza proyectada.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3.5 JDE — Indicadores de cobranza (recibos)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/CobranzaIndicadores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Reconciliación real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Proxy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Servidor separado (srv-desarrollo:90)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Recibos de pago, aplicaciones por factura, banco/cuenta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Permite cruzar depósitos bancarios con facturas cobradas. Motor de conciliación de 4 capas.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3.6 OpenAI — Asistente MIDAS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consumidor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/v1/chat/completions (OpenAI)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D8C3C"/>
                <w:sz w:val="20"/>
                <w:szCs w:val="20"/>
              </w:rPr>
              <w:t xml:space="preserve">OPERANDO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MIDAS AI Chat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gpt-4o-mini (configurable)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Capacidad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Consultas en lenguaje natural + generación de ajustes financieros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Observación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Funcional. En producción la API key debe moverse a servidor (actualmente embebida en cliente).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4. Integraciones parciales o con limitaciones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Estas integraciones existen en el código pero tienen limitaciones que deben resolverse.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4.1 Cognos — Catálogos de clientes y proveedores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 requerida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/reports/midas/clientes y /proveedores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Confirmar disponibilidad con TI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 Cognos no responde, se usan datos embebidos (mock)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Los catálogos de clientes/proveedores pueden estar desactualizados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Garantizar acceso estable a Cognos o migrar a endpoint JDE directo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4.2 Impuestos (módulo fiscal)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 requerida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Solo entrada manual (IVA, ISN, IMSS)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Desarrollar endpoint JDE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Código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Stub para source: 'JDE' existe pero sin endpoint real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dashboard fiscal depende de captura manual; no escala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Habilitar endpoint de obligaciones fiscales desde JDE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4.3 RFCs internos para detección de transferencias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 requerida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Lista de RFCs de empresas Senda hardcodeada en código fuente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MOCK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Mover a configuración o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 se crea o cambia una empresa del grupo, hay que modificar código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Transferencias internas pueden clasificarse mal en el flujo neto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Consumir lista de empresas del grupo desde /empresas o config centralizada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5. Integraciones pendientes críticas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Estas integraciones están documentadas como dependencias en el Reporte de Avance y son requisito para la Fase 2 (modelo predictivo). A la fecha no existe implementación en el código.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5.1 Órdenes de compra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esperado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/ordenes-compra (o equivalente JDE)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+ Mejora Continua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 necesarios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OC por proveedor, montos, fechas compromiso, estatus aprobación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Para qué se necesita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Proyectar egresos futuros con base en compromisos reales, no solo CXP vencida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en código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Solo existe como tipo en datos mock de planeación financiera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 de no tenerlo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modelo predictivo no puede anticipar pagos antes de que aparezcan en antigüedad de saldos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5.2 Órdenes de pago / egresos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esperado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 /ordenes-pago (o equivalente JDE)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+ Tesorería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 necesarios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Pagos programados, proveedor, fecha ejecución, banco destino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Para qué se necesita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Saber qué pagos ya están autorizados y cuándo saldrán del banco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en código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Los usuarios confirman pagos manualmente en la UI como workaround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 de no tenerlo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Tesorería no tiene visibilidad automatizada de egresos comprometidos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5.3 Abastecimientos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esperado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/abastecimientos (compromisos activos)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+ Abastecimientos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Datos necesarios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Compromisos de compra por proveedor, calendarios de entrega, montos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Para qué se necesita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Alimentar la proyección de egresos con compromisos de cadena de suministro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en código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Referenciado en tipos de planeación financiera pero sin implementación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Impacto de no tenerlo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modelo predictivo opera ciego respecto a compromisos de abastecimiento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6. Integraciones recomendadas (no contempladas formalmente)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Estas integraciones no aparecen en el Reporte de Avance, pero el análisis del código revela que son necesarias o altamente convenientes para que el modelo predictivo funcione con precisión.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6.1 Nómina proyectada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/nomina/{cia}/proyectada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 — nómina es uno de los egresos más grandes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Montos hardcodeados en mock data (13.6M + 13.8M quincenal)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 la nómina varía, la proyección de egresos es inexacta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Consumir nómina proyectada de RRHH o JDE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6.2 Servicio de deuda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/deuda/{cia}/servicios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Media-Alta — pagos de crédito son fijos y predecibles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Un solo pago mock de 5.4M (BBVA, día 23 del mes)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Sin esta data, el modelo no distingue deuda de gastos operativos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con calendario de amortización por crédito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6.3 Presupuesto (Budget) desde JDE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/presupuesto/{cia}/{anio}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 — para análisis de desviaciones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Presupuesto se captura manualmente y vive en localStorage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Propenso a errores y no refleja cambios aprobados en JDE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Jalar presupuesto aprobado desde JDE automáticamente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6.4 Tipo de cambio en tiempo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/tipo-cambio o API externa (Banxico)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 — operaciones multi-moneda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Moneda hardcodeada MXN en formatters.ts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Facturas en USD se muestran sin conversión actualizada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Consumir tipo de cambio diario de Banxico o JDE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6.5 Calificación de proveedores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/proveedores/{id}/calificacion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 — mencionado en próximos pasos del reporte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existe endpoint ni estructura en código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Las reglas de negocio del modelo predictivo necesitan esta calificación por proveedor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Directores deben proveer calificación; Midas debe poder consumirla desde JDE o BD dedicada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6.6 Reglas de negocio por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Endpoint sugerido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/clientes/{id}/reglas-negocio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 — core del modelo predictivo Fase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Las assumptions de cobranza se capturan manualmente por cliente en la 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Problema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Sin fuente sistemática, cada cambio de plazo o condición requiere captura manual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Solución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Estructurar reglas en BD o JDE y consumir via 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7. Discrepancias entre el Reporte de Avance y el código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 cruzar el Reporte de Avance (24 de abril de 2026) con el estado real del código fuente, se identifican las siguientes discrepancias relevantes: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 que dice el reporte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 que muestra el código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BanBajío y Santander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"Conexión en gestión con TI"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Ambos bancos ya operan vía el endpoint /bancos de JDE. Santander además tiene parser CSV/TXT. El reporte está desactualizado en este punto.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Cobranza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"Pendiente — conexión en gestión"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endpoint /cobranza fue liberado el 1 de mayo de 2026. Ya está operando. El reporte fue anterior a la liberación.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Indicadores de cobranza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mencionado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Existe un segundo endpoint (/CobranzaIndicadores) que cruza recibos con depósitos bancarios. No aparece en el reporte.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OpenAI / Capa IA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"Fase 3 — 40% avance"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módulo MIDAS AI ya está funcional con tool calling y generación de ajustes financieros. El avance real es superior al reportado.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Nómina, deuda, presupuesto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mencionados como dependencia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El código usa datos mock para estos conceptos. Son necesarios para que la proyección sea precisa.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Órdenes de compra/pago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"Pendiente"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Correcto — no hay implementación. Es la brecha más crítica.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8. Matriz de prioridad de integraciones pendientes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Orden sugerido de implementación basado en impacto en el modelo predictivo y complejidad estimada: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400"/>
        <w:gridCol w:w="1600"/>
        <w:gridCol w:w="1200"/>
        <w:gridCol w:w="2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Integración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Complejidad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Criticidad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Órdenes de compra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Muy 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(endpoint JDE)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Órdenes de pago / egresos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Muy 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(endpoint JDE)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Abastecimientos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Media-Alta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NO IMPLEMENTADO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 + Área Abast.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Calificación proveedores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Directores de área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Reglas de negocio clientes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Cobranza + BD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Nómina proyectada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RRHH / JDE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Servicio de deuda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Medio-Alto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Finanzas / JDE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Presupuesto desde JDE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Finanzas / JDE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Tipo de cambio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8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RECOMENDADO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Banxico / JDE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Impuestos desde JDE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6404"/>
                <w:sz w:val="20"/>
                <w:szCs w:val="20"/>
              </w:rPr>
              <w:t xml:space="preserve">PARCIAL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9. Observaciones de seguridad en integraciones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Durante el análisis del código se identificaron los siguientes puntos que requieren atención antes de la liberación a producción formal: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Token JDE: En desarrollo se embebe en el bundle del cliente (VITE_JDE_TOKEN). En producción se inyecta server-side via Vercel Function. Correcto, pero debe validarse que el token de desarrollo nunca llegue a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API Key OpenAI: Actualmente embebida en el cliente (VITE_OPENAI_API_KEY). Debe moverse a un proxy server-side antes del despliegue formal.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Token Cognos: Misma situación que OpenAI — debe ser server-side en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RFCs internos hardcodeados: Información fiscal de empresas del grupo está en código fuente. Debe moverse a configuración segura.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Passwords de acceso: VITE_ADMIN_PASSWORD y VITE_PAOLO_PASSWORD son variables de entorno client-side. No son seguridad real; solo gate temporal. Debe implementarse autenticación corporativa.</w:t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10. Próximos pasos sugeridos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 base en el análisis anterior, se sugiere la siguiente secuencia de acciones: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Actualizar el Reporte de Avance para reflejar que BanBajío, Santander y Cobranza ya están operando.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Priorizar con TI la creación de endpoints de órdenes de compra y órdenes de pago — son el bloqueo principal de Fase 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Coordinar con el área de Abastecimientos la definición de datos a exponer via API.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Solicitar formalmente a directores de área la calificación de proveedores y definir estructura de datos.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Evaluar con RRHH/Finanzas la viabilidad de exponer nómina proyectada y servicio de deuda via JDE.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Migrar tokens sensibles (OpenAI, Cognos) a proxies server-side antes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Definir con TI la estructura de base de datos y servidor productivo para Fase 2.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Documento interno | Confidencial —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GRUPO SENDA | Senda Midas — Mapeo de APIs</w:t>
    </w:r>
    <w:r>
      <w:r>
        <w:t xml:space="preserve">	</w:t>
      </w: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2026-05-07T15:29:20.381Z</dcterms:created>
  <dcterms:modified xsi:type="dcterms:W3CDTF">2026-05-07T15:29:20.381Z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