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b w:val="1"/>
          <w:sz w:val="22"/>
          <w:szCs w:val="22"/>
        </w:rPr>
        <mc:AlternateContent>
          <mc:Choice Requires="wpg">
            <w:drawing>
              <wp:anchor allowOverlap="1" behindDoc="0" distB="0" distT="0" distL="114935" distR="114935" hidden="0" layoutInCell="1" locked="0" relativeHeight="0" simplePos="0">
                <wp:simplePos x="0" y="0"/>
                <wp:positionH relativeFrom="margin">
                  <wp:posOffset>832485</wp:posOffset>
                </wp:positionH>
                <wp:positionV relativeFrom="margin">
                  <wp:posOffset>-192404</wp:posOffset>
                </wp:positionV>
                <wp:extent cx="4972050" cy="758190"/>
                <wp:effectExtent b="0" l="0" r="0" t="0"/>
                <wp:wrapTopAndBottom distB="0" distT="0"/>
                <wp:docPr id="1127637944" name=""/>
                <a:graphic>
                  <a:graphicData uri="http://schemas.microsoft.com/office/word/2010/wordprocessingShape">
                    <wps:wsp>
                      <wps:cNvSpPr/>
                      <wps:cNvPr id="2" name="Shape 2"/>
                      <wps:spPr>
                        <a:xfrm>
                          <a:off x="2401000" y="3244225"/>
                          <a:ext cx="6085800" cy="6609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1f1f"/>
                                <w:sz w:val="26"/>
                                <w:highlight w:val="white"/>
                                <w:vertAlign w:val="baseline"/>
                              </w:rPr>
                              <w:t xml:space="preserve">Clasificación de MRI con Redes Neuronales Convolucionales para Tipos de Cáncer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6"/>
                                <w:vertAlign w:val="baseline"/>
                              </w:rPr>
                              <w:t xml:space="preserve">Diego Burbano       Omar Diaz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posOffset>832485</wp:posOffset>
                </wp:positionH>
                <wp:positionV relativeFrom="margin">
                  <wp:posOffset>-192404</wp:posOffset>
                </wp:positionV>
                <wp:extent cx="4972050" cy="758190"/>
                <wp:effectExtent b="0" l="0" r="0" t="0"/>
                <wp:wrapTopAndBottom distB="0" distT="0"/>
                <wp:docPr id="112763794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72050" cy="7581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w:t>
      </w:r>
      <w:r w:rsidDel="00000000" w:rsidR="00000000" w:rsidRPr="00000000">
        <w:rPr>
          <w:rtl w:val="0"/>
        </w:rPr>
        <w:t xml:space="preserve">el contexto de diagnóstico clínico a partir de la lectura de imágenes de resonancia magnética las instituciones médicas se encuentran en la necesidad de mejorar la precisión y la eficiencia diagnóstica en patologías complejas como los tumores cerebrales.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Hoy el desafío es mantener estándares de calidad, precisión y productividad en la lectura de imágenes MRI. Los errores humanos o diagnósticos tardíos de cáncer cerebral pueden generar graves consecuencias clínicas, incluyendo retrasos en el tratamiento, aumento de la morbilidad, y deterioro de la calidad de vida del paciente. Además, estos errores conllevan impactos administrativos y financieros, relacionados con reprocesos, controles de calidad, y litigios por responsabilidad.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Este informe desarrolla un modelo basado en redes neuronales convolucionales (CNN) para el diagnóstico de pacientes con cáncer cerebral que busca brindar apoyo a los profesionales de la salud en el diagnóstico preciso. De manera complementaria, se discuten las limitaciones que han restringido su adopción generalizada, y se propone una reflexión sobre los campos de implementación de la misma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ello, construimos una arquitectura CNN estándar (</w:t>
      </w:r>
      <w:r w:rsidDel="00000000" w:rsidR="00000000" w:rsidRPr="00000000">
        <w:rPr>
          <w:i w:val="1"/>
          <w:rtl w:val="0"/>
        </w:rPr>
        <w:t xml:space="preserve">from scratch</w:t>
      </w:r>
      <w:r w:rsidDel="00000000" w:rsidR="00000000" w:rsidRPr="00000000">
        <w:rPr>
          <w:rtl w:val="0"/>
        </w:rPr>
        <w:t xml:space="preserve">) y una aproximación experimental basada en modelos fundacionales del tipo ResNet, bajo el </w:t>
      </w:r>
      <w:r w:rsidDel="00000000" w:rsidR="00000000" w:rsidRPr="00000000">
        <w:rPr>
          <w:i w:val="1"/>
          <w:rtl w:val="0"/>
        </w:rPr>
        <w:t xml:space="preserve">framework</w:t>
      </w:r>
      <w:r w:rsidDel="00000000" w:rsidR="00000000" w:rsidRPr="00000000">
        <w:rPr>
          <w:rtl w:val="0"/>
        </w:rPr>
        <w:t xml:space="preserve"> MONAI (</w:t>
      </w:r>
      <w:r w:rsidDel="00000000" w:rsidR="00000000" w:rsidRPr="00000000">
        <w:rPr>
          <w:i w:val="1"/>
          <w:rtl w:val="0"/>
        </w:rPr>
        <w:t xml:space="preserve">Medical Open Network for AI</w:t>
      </w:r>
      <w:r w:rsidDel="00000000" w:rsidR="00000000" w:rsidRPr="00000000">
        <w:rPr>
          <w:rtl w:val="0"/>
        </w:rPr>
        <w:t xml:space="preserve">) [1], el cual es un consorcio de código abierto impulsado por profesionales de la salud (King’s College London), desarrolladores, investigadores y empresas de tecnología (NVIDIA) y farmacéuticas de todo el mundo. Lo anterior, con el propósito de comparar sus resultados, ventajas y limitaciones en el marco del diagnóstico clínico. </w:t>
      </w:r>
    </w:p>
    <w:p w:rsidR="00000000" w:rsidDel="00000000" w:rsidP="00000000" w:rsidRDefault="00000000" w:rsidRPr="00000000" w14:paraId="00000009">
      <w:pPr>
        <w:pStyle w:val="Heading1"/>
        <w:numPr>
          <w:ilvl w:val="0"/>
          <w:numId w:val="2"/>
        </w:numPr>
        <w:ind w:left="720" w:hanging="360"/>
        <w:rPr>
          <w:b w:val="1"/>
          <w:sz w:val="24"/>
          <w:szCs w:val="24"/>
        </w:rPr>
      </w:pPr>
      <w:r w:rsidDel="00000000" w:rsidR="00000000" w:rsidRPr="00000000">
        <w:rPr>
          <w:b w:val="1"/>
          <w:sz w:val="22"/>
          <w:szCs w:val="22"/>
          <w:rtl w:val="0"/>
        </w:rPr>
        <w:t xml:space="preserve">Metodología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desarrollo de los modelos citados</w:t>
      </w:r>
      <w:r w:rsidDel="00000000" w:rsidR="00000000" w:rsidRPr="00000000">
        <w:rPr>
          <w:rtl w:val="0"/>
        </w:rPr>
        <w:t xml:space="preserve">, hemos utilizado el set de datos Brain Tumor MRI Dataset tomado del sitio </w:t>
      </w:r>
      <w:hyperlink r:id="rId8">
        <w:r w:rsidDel="00000000" w:rsidR="00000000" w:rsidRPr="00000000">
          <w:rPr>
            <w:color w:val="1155cc"/>
            <w:u w:val="single"/>
            <w:rtl w:val="0"/>
          </w:rPr>
          <w:t xml:space="preserve">kaggle.com</w:t>
        </w:r>
      </w:hyperlink>
      <w:r w:rsidDel="00000000" w:rsidR="00000000" w:rsidRPr="00000000">
        <w:rPr>
          <w:rtl w:val="0"/>
        </w:rPr>
        <w:t xml:space="preserve"> [2] consistente en 7023 imágenes etiquetadas, sobre las cuales se realizaron un conjunto de transformaciones incluyendo su conversión a escalas de grises.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fig. 1 resume la arquitectura general utilizada en la construcción de una Red Neuronal Convolucional (CNN) inspirada en </w:t>
      </w:r>
      <w:r w:rsidDel="00000000" w:rsidR="00000000" w:rsidRPr="00000000">
        <w:rPr>
          <w:i w:val="1"/>
          <w:rtl w:val="0"/>
        </w:rPr>
        <w:t xml:space="preserve">AlexNet</w:t>
      </w:r>
      <w:r w:rsidDel="00000000" w:rsidR="00000000" w:rsidRPr="00000000">
        <w:rPr>
          <w:rtl w:val="0"/>
        </w:rPr>
        <w:t xml:space="preserve">, adaptada para imágenes MRI en escala de grises. Consta de un bloque convolucional para la extracción jerárquica de características espaciales (bordes, texturas y patrones estructurales), seguido por capas totalmente conectadas (MLP) que realizan la clasificación final en cuatro categorías.</w:t>
      </w:r>
    </w:p>
    <w:p w:rsidR="00000000" w:rsidDel="00000000" w:rsidP="00000000" w:rsidRDefault="00000000" w:rsidRPr="00000000" w14:paraId="0000000D">
      <w:pPr>
        <w:rPr>
          <w:b w:val="1"/>
        </w:rPr>
      </w:pPr>
      <w:r w:rsidDel="00000000" w:rsidR="00000000" w:rsidRPr="00000000">
        <w:rPr>
          <w:b w:val="1"/>
        </w:rPr>
        <w:drawing>
          <wp:inline distB="114300" distT="114300" distL="114300" distR="114300">
            <wp:extent cx="2971800" cy="1651000"/>
            <wp:effectExtent b="0" l="0" r="0" t="0"/>
            <wp:docPr id="11276379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718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b w:val="1"/>
          <w:sz w:val="18"/>
          <w:szCs w:val="18"/>
          <w:rtl w:val="0"/>
        </w:rPr>
        <w:t xml:space="preserve">Fig 1. </w:t>
      </w:r>
      <w:r w:rsidDel="00000000" w:rsidR="00000000" w:rsidRPr="00000000">
        <w:rPr>
          <w:sz w:val="18"/>
          <w:szCs w:val="18"/>
          <w:rtl w:val="0"/>
        </w:rPr>
        <w:t xml:space="preserve">Figura que representa la arquitectura general de la red neuronal convolucional (CNN) basada en </w:t>
      </w:r>
      <w:r w:rsidDel="00000000" w:rsidR="00000000" w:rsidRPr="00000000">
        <w:rPr>
          <w:i w:val="1"/>
          <w:sz w:val="18"/>
          <w:szCs w:val="18"/>
          <w:rtl w:val="0"/>
        </w:rPr>
        <w:t xml:space="preserve">AlexNet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Para la transformación de los datos, además de la conversión a un único canal, se implementó un </w:t>
      </w:r>
      <w:r w:rsidDel="00000000" w:rsidR="00000000" w:rsidRPr="00000000">
        <w:rPr>
          <w:i w:val="1"/>
          <w:rtl w:val="0"/>
        </w:rPr>
        <w:t xml:space="preserve">pipeline</w:t>
      </w:r>
      <w:sdt>
        <w:sdtPr>
          <w:id w:val="-1835473516"/>
          <w:tag w:val="goog_rdk_0"/>
        </w:sdtPr>
        <w:sdtContent>
          <w:r w:rsidDel="00000000" w:rsidR="00000000" w:rsidRPr="00000000">
            <w:rPr>
              <w:rFonts w:ascii="Gungsuh" w:cs="Gungsuh" w:eastAsia="Gungsuh" w:hAnsi="Gungsuh"/>
              <w:rtl w:val="0"/>
            </w:rPr>
            <w:t xml:space="preserve"> de preprocesamiento que incluye la homogeneización del tamaño de las imágenes, la aplicación de rotaciones aleatorias para aumentar la variabilidad del conjunto, la conversión a tensores y el escalado de los valores de píxel al rango [−1,1] entre otras transformaciones.</w:t>
          </w:r>
        </w:sdtContent>
      </w:sdt>
      <w:r w:rsidDel="00000000" w:rsidR="00000000" w:rsidRPr="00000000">
        <w:rPr>
          <w:rtl w:val="0"/>
        </w:rPr>
      </w:r>
    </w:p>
    <w:p w:rsidR="00000000" w:rsidDel="00000000" w:rsidP="00000000" w:rsidRDefault="00000000" w:rsidRPr="00000000" w14:paraId="00000010">
      <w:pPr>
        <w:ind w:left="202"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modelo implementado corresponde a una CNN profunda, adaptada para imágenes en escala de grises de 150×150 píxeles, resolución escogida para facilitar el alto procesamiento requerido. La arquitectura consta de un </w:t>
      </w:r>
      <w:r w:rsidDel="00000000" w:rsidR="00000000" w:rsidRPr="00000000">
        <w:rPr>
          <w:rtl w:val="0"/>
        </w:rPr>
        <w:t xml:space="preserve">encoder </w:t>
      </w:r>
      <w:r w:rsidDel="00000000" w:rsidR="00000000" w:rsidRPr="00000000">
        <w:rPr>
          <w:rtl w:val="0"/>
        </w:rPr>
        <w:t xml:space="preserve">con cinco capas convolucionales y tres operaciones de </w:t>
      </w:r>
      <w:r w:rsidDel="00000000" w:rsidR="00000000" w:rsidRPr="00000000">
        <w:rPr>
          <w:i w:val="1"/>
          <w:rtl w:val="0"/>
        </w:rPr>
        <w:t xml:space="preserve">max pooling</w:t>
      </w:r>
      <w:r w:rsidDel="00000000" w:rsidR="00000000" w:rsidRPr="00000000">
        <w:rPr>
          <w:rtl w:val="0"/>
        </w:rPr>
        <w:t xml:space="preserve"> para la extracción jerárquica de características, todas con activación </w:t>
      </w:r>
      <w:r w:rsidDel="00000000" w:rsidR="00000000" w:rsidRPr="00000000">
        <w:rPr>
          <w:i w:val="1"/>
          <w:rtl w:val="0"/>
        </w:rPr>
        <w:t xml:space="preserve">ReLU</w:t>
      </w:r>
      <w:r w:rsidDel="00000000" w:rsidR="00000000" w:rsidRPr="00000000">
        <w:rPr>
          <w:rtl w:val="0"/>
        </w:rPr>
        <w:t xml:space="preserve">, y un </w:t>
      </w:r>
      <w:r w:rsidDel="00000000" w:rsidR="00000000" w:rsidRPr="00000000">
        <w:rPr>
          <w:i w:val="1"/>
          <w:rtl w:val="0"/>
        </w:rPr>
        <w:t xml:space="preserve">decoder </w:t>
      </w:r>
      <w:r w:rsidDel="00000000" w:rsidR="00000000" w:rsidRPr="00000000">
        <w:rPr>
          <w:rtl w:val="0"/>
        </w:rPr>
        <w:t xml:space="preserve">formado por tres capas totalmente conectadas (4096, 4096 y 4 neuronas, respectivamente) con </w:t>
      </w:r>
      <w:r w:rsidDel="00000000" w:rsidR="00000000" w:rsidRPr="00000000">
        <w:rPr>
          <w:i w:val="1"/>
          <w:rtl w:val="0"/>
        </w:rPr>
        <w:t xml:space="preserve">Dropout </w:t>
      </w:r>
      <w:r w:rsidDel="00000000" w:rsidR="00000000" w:rsidRPr="00000000">
        <w:rPr>
          <w:rtl w:val="0"/>
        </w:rPr>
        <w:t xml:space="preserve">(0.4) </w:t>
      </w:r>
      <w:r w:rsidDel="00000000" w:rsidR="00000000" w:rsidRPr="00000000">
        <w:rPr>
          <w:rtl w:val="0"/>
        </w:rPr>
        <w:t xml:space="preserve">para reducir el sobreajuste. El modelo utiliza la función de pérdida </w:t>
      </w:r>
      <w:r w:rsidDel="00000000" w:rsidR="00000000" w:rsidRPr="00000000">
        <w:rPr>
          <w:i w:val="1"/>
          <w:rtl w:val="0"/>
        </w:rPr>
        <w:t xml:space="preserve">CrossEntropyLoss </w:t>
      </w:r>
      <w:r w:rsidDel="00000000" w:rsidR="00000000" w:rsidRPr="00000000">
        <w:rPr>
          <w:rtl w:val="0"/>
        </w:rPr>
        <w:t xml:space="preserve">y el optimizador </w:t>
      </w:r>
      <w:r w:rsidDel="00000000" w:rsidR="00000000" w:rsidRPr="00000000">
        <w:rPr>
          <w:i w:val="1"/>
          <w:rtl w:val="0"/>
        </w:rPr>
        <w:t xml:space="preserve">Adam </w:t>
      </w:r>
      <w:r w:rsidDel="00000000" w:rsidR="00000000" w:rsidRPr="00000000">
        <w:rPr>
          <w:rtl w:val="0"/>
        </w:rPr>
        <w:t xml:space="preserve">con tasa de aprendizaje de 0.001. Tomando para su desarrollo un batch de 32 y 20 épocas, notando que el modelo converge a partir de la época 18.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Durante la etapa de entrenamiento se destinó el 20% del dataset para el proceso de validación con ajuste de hiperparámetros. Algunos de los hiperparámetros ajustados fueron: </w:t>
      </w:r>
      <w:r w:rsidDel="00000000" w:rsidR="00000000" w:rsidRPr="00000000">
        <w:rPr>
          <w:i w:val="1"/>
          <w:rtl w:val="0"/>
        </w:rPr>
        <w:t xml:space="preserve">dropout</w:t>
      </w:r>
      <w:r w:rsidDel="00000000" w:rsidR="00000000" w:rsidRPr="00000000">
        <w:rPr>
          <w:rtl w:val="0"/>
        </w:rPr>
        <w:t xml:space="preserve">, se incluyeron transformaciones adicionales (data augmentation), ajuste de los pesos del modelo para controlar el sobreajuste a través de </w:t>
      </w:r>
      <w:r w:rsidDel="00000000" w:rsidR="00000000" w:rsidRPr="00000000">
        <w:rPr>
          <w:i w:val="1"/>
          <w:rtl w:val="0"/>
        </w:rPr>
        <w:t xml:space="preserve">weight_decay </w:t>
      </w:r>
      <w:r w:rsidDel="00000000" w:rsidR="00000000" w:rsidRPr="00000000">
        <w:rPr>
          <w:rtl w:val="0"/>
        </w:rPr>
        <w:t xml:space="preserve">y la implementación de la reducción de la tasa de aprendizaje por medio de </w:t>
      </w:r>
      <w:r w:rsidDel="00000000" w:rsidR="00000000" w:rsidRPr="00000000">
        <w:rPr>
          <w:i w:val="1"/>
          <w:rtl w:val="0"/>
        </w:rPr>
        <w:t xml:space="preserve">scheduler</w:t>
      </w:r>
      <w:r w:rsidDel="00000000" w:rsidR="00000000" w:rsidRPr="00000000">
        <w:rPr>
          <w:rtl w:val="0"/>
        </w:rPr>
        <w:t xml:space="preserve">. Los ajustes descritos se hicieron revisando las métricas de pérdida del modelo, precisión y matrices de confusión.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15">
      <w:pPr>
        <w:widowControl w:val="0"/>
        <w:ind w:firstLine="204"/>
        <w:jc w:val="both"/>
        <w:rPr/>
      </w:pPr>
      <w:r w:rsidDel="00000000" w:rsidR="00000000" w:rsidRPr="00000000">
        <w:rPr>
          <w:rtl w:val="0"/>
        </w:rPr>
        <w:t xml:space="preserve">Igualmente como se mencionó previamente, se realizó una aproximación experimental adicional, en la cual se utilizó el modelo </w:t>
      </w:r>
      <w:r w:rsidDel="00000000" w:rsidR="00000000" w:rsidRPr="00000000">
        <w:rPr>
          <w:i w:val="1"/>
          <w:rtl w:val="0"/>
        </w:rPr>
        <w:t xml:space="preserve">Resnet 18 </w:t>
      </w:r>
      <w:r w:rsidDel="00000000" w:rsidR="00000000" w:rsidRPr="00000000">
        <w:rPr>
          <w:rtl w:val="0"/>
        </w:rPr>
        <w:t xml:space="preserve">bajo el framework MONAI. Este modelo mantiene en su desarrollo la misma estructura y parámetros del modelo </w:t>
      </w:r>
      <w:r w:rsidDel="00000000" w:rsidR="00000000" w:rsidRPr="00000000">
        <w:rPr>
          <w:i w:val="1"/>
          <w:rtl w:val="0"/>
        </w:rPr>
        <w:t xml:space="preserve">from scratch</w:t>
      </w:r>
      <w:r w:rsidDel="00000000" w:rsidR="00000000" w:rsidRPr="00000000">
        <w:rPr>
          <w:rtl w:val="0"/>
        </w:rPr>
        <w:t xml:space="preserve">.  </w:t>
      </w:r>
    </w:p>
    <w:p w:rsidR="00000000" w:rsidDel="00000000" w:rsidP="00000000" w:rsidRDefault="00000000" w:rsidRPr="00000000" w14:paraId="00000016">
      <w:pPr>
        <w:pStyle w:val="Heading1"/>
        <w:numPr>
          <w:ilvl w:val="0"/>
          <w:numId w:val="2"/>
        </w:numPr>
        <w:ind w:left="720" w:hanging="360"/>
        <w:rPr>
          <w:b w:val="1"/>
        </w:rPr>
      </w:pPr>
      <w:r w:rsidDel="00000000" w:rsidR="00000000" w:rsidRPr="00000000">
        <w:rPr>
          <w:b w:val="1"/>
          <w:sz w:val="22"/>
          <w:szCs w:val="22"/>
          <w:rtl w:val="0"/>
        </w:rPr>
        <w:t xml:space="preserve">Resultados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la generación de los resultados finales se utilizó un conjunto de evaluación (</w:t>
      </w:r>
      <w:r w:rsidDel="00000000" w:rsidR="00000000" w:rsidRPr="00000000">
        <w:rPr>
          <w:i w:val="1"/>
          <w:rtl w:val="0"/>
        </w:rPr>
        <w:t xml:space="preserve">Test set</w:t>
      </w:r>
      <w:r w:rsidDel="00000000" w:rsidR="00000000" w:rsidRPr="00000000">
        <w:rPr>
          <w:rtl w:val="0"/>
        </w:rPr>
        <w:t xml:space="preserve">), correspondiente al 10% del total de los datos. </w:t>
      </w:r>
      <w:r w:rsidDel="00000000" w:rsidR="00000000" w:rsidRPr="00000000">
        <w:rPr>
          <w:rtl w:val="0"/>
        </w:rPr>
        <w:t xml:space="preserve">El modelo alcanzó una </w:t>
      </w:r>
      <w:r w:rsidDel="00000000" w:rsidR="00000000" w:rsidRPr="00000000">
        <w:rPr>
          <w:rtl w:val="0"/>
        </w:rPr>
        <w:t xml:space="preserve">precisión general (accuracy) del </w:t>
      </w:r>
      <w:r w:rsidDel="00000000" w:rsidR="00000000" w:rsidRPr="00000000">
        <w:rPr>
          <w:b w:val="1"/>
          <w:rtl w:val="0"/>
        </w:rPr>
        <w:t xml:space="preserve">92.3%</w:t>
      </w:r>
      <w:r w:rsidDel="00000000" w:rsidR="00000000" w:rsidRPr="00000000">
        <w:rPr>
          <w:rtl w:val="0"/>
        </w:rPr>
        <w:t xml:space="preserve">, el cual es considerado adecuado y consistente con los requerimientos del tipo de aplicación clínica para la cual fue desarrollado.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la tabla 1 se presentan los resultados de los indicadores de precisión, recall y F1 para cada una de las clases del modelo </w:t>
      </w:r>
      <w:r w:rsidDel="00000000" w:rsidR="00000000" w:rsidRPr="00000000">
        <w:rPr>
          <w:i w:val="1"/>
          <w:rtl w:val="0"/>
        </w:rPr>
        <w:t xml:space="preserve">from scratch</w:t>
      </w:r>
      <w:r w:rsidDel="00000000" w:rsidR="00000000" w:rsidRPr="00000000">
        <w:rPr>
          <w:rtl w:val="0"/>
        </w:rPr>
        <w:t xml:space="preserve">:</w:t>
      </w:r>
    </w:p>
    <w:p w:rsidR="00000000" w:rsidDel="00000000" w:rsidP="00000000" w:rsidRDefault="00000000" w:rsidRPr="00000000" w14:paraId="0000001A">
      <w:pPr>
        <w:widowControl w:val="0"/>
        <w:ind w:firstLine="204"/>
        <w:rPr>
          <w:sz w:val="18"/>
          <w:szCs w:val="18"/>
        </w:rPr>
      </w:pPr>
      <w:r w:rsidDel="00000000" w:rsidR="00000000" w:rsidRPr="00000000">
        <w:rPr>
          <w:b w:val="1"/>
          <w:sz w:val="18"/>
          <w:szCs w:val="18"/>
          <w:rtl w:val="0"/>
        </w:rPr>
        <w:t xml:space="preserve">Tabla 1</w:t>
      </w:r>
      <w:r w:rsidDel="00000000" w:rsidR="00000000" w:rsidRPr="00000000">
        <w:rPr>
          <w:sz w:val="18"/>
          <w:szCs w:val="18"/>
          <w:rtl w:val="0"/>
        </w:rPr>
        <w:t xml:space="preserve">. Comparación de resultados de los modelos </w:t>
      </w:r>
      <w:r w:rsidDel="00000000" w:rsidR="00000000" w:rsidRPr="00000000">
        <w:rPr>
          <w:i w:val="1"/>
          <w:sz w:val="18"/>
          <w:szCs w:val="18"/>
          <w:rtl w:val="0"/>
        </w:rPr>
        <w:t xml:space="preserve">from scratch </w:t>
      </w:r>
      <w:r w:rsidDel="00000000" w:rsidR="00000000" w:rsidRPr="00000000">
        <w:rPr>
          <w:sz w:val="18"/>
          <w:szCs w:val="18"/>
          <w:rtl w:val="0"/>
        </w:rPr>
        <w:t xml:space="preserve">(1) y fundacional (2) utilizando el set de datos de prueba (Test)</w:t>
      </w:r>
    </w:p>
    <w:tbl>
      <w:tblPr>
        <w:tblStyle w:val="Table1"/>
        <w:tblW w:w="4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
        <w:gridCol w:w="1035"/>
        <w:gridCol w:w="720"/>
        <w:gridCol w:w="1095"/>
        <w:gridCol w:w="855"/>
        <w:gridCol w:w="945"/>
        <w:tblGridChange w:id="0">
          <w:tblGrid>
            <w:gridCol w:w="285"/>
            <w:gridCol w:w="1035"/>
            <w:gridCol w:w="720"/>
            <w:gridCol w:w="1095"/>
            <w:gridCol w:w="855"/>
            <w:gridCol w:w="945"/>
          </w:tblGrid>
        </w:tblGridChange>
      </w:tblGrid>
      <w:tr>
        <w:trPr>
          <w:cantSplit w:val="0"/>
          <w:tblHeader w:val="0"/>
        </w:trPr>
        <w:tc>
          <w:tcPr/>
          <w:p w:rsidR="00000000" w:rsidDel="00000000" w:rsidP="00000000" w:rsidRDefault="00000000" w:rsidRPr="00000000" w14:paraId="0000001B">
            <w:pPr>
              <w:widowControl w:val="0"/>
              <w:jc w:val="center"/>
              <w:rPr>
                <w:b w:val="1"/>
                <w:sz w:val="16"/>
                <w:szCs w:val="16"/>
              </w:rPr>
            </w:pPr>
            <w:r w:rsidDel="00000000" w:rsidR="00000000" w:rsidRPr="00000000">
              <w:rPr>
                <w:rtl w:val="0"/>
              </w:rPr>
            </w:r>
          </w:p>
        </w:tc>
        <w:tc>
          <w:tcPr/>
          <w:p w:rsidR="00000000" w:rsidDel="00000000" w:rsidP="00000000" w:rsidRDefault="00000000" w:rsidRPr="00000000" w14:paraId="0000001C">
            <w:pPr>
              <w:widowControl w:val="0"/>
              <w:jc w:val="center"/>
              <w:rPr>
                <w:b w:val="1"/>
                <w:sz w:val="16"/>
                <w:szCs w:val="16"/>
              </w:rPr>
            </w:pPr>
            <w:r w:rsidDel="00000000" w:rsidR="00000000" w:rsidRPr="00000000">
              <w:rPr>
                <w:b w:val="1"/>
                <w:sz w:val="16"/>
                <w:szCs w:val="16"/>
                <w:rtl w:val="0"/>
              </w:rPr>
              <w:t xml:space="preserve">Clases vs. Resultados</w:t>
            </w:r>
          </w:p>
        </w:tc>
        <w:tc>
          <w:tcPr/>
          <w:p w:rsidR="00000000" w:rsidDel="00000000" w:rsidP="00000000" w:rsidRDefault="00000000" w:rsidRPr="00000000" w14:paraId="0000001D">
            <w:pPr>
              <w:widowControl w:val="0"/>
              <w:jc w:val="center"/>
              <w:rPr>
                <w:b w:val="1"/>
                <w:sz w:val="16"/>
                <w:szCs w:val="16"/>
              </w:rPr>
            </w:pPr>
            <w:r w:rsidDel="00000000" w:rsidR="00000000" w:rsidRPr="00000000">
              <w:rPr>
                <w:b w:val="1"/>
                <w:sz w:val="16"/>
                <w:szCs w:val="16"/>
                <w:rtl w:val="0"/>
              </w:rPr>
              <w:t xml:space="preserve">Glioma</w:t>
            </w:r>
          </w:p>
        </w:tc>
        <w:tc>
          <w:tcPr/>
          <w:p w:rsidR="00000000" w:rsidDel="00000000" w:rsidP="00000000" w:rsidRDefault="00000000" w:rsidRPr="00000000" w14:paraId="0000001E">
            <w:pPr>
              <w:widowControl w:val="0"/>
              <w:jc w:val="center"/>
              <w:rPr>
                <w:b w:val="1"/>
                <w:sz w:val="16"/>
                <w:szCs w:val="16"/>
              </w:rPr>
            </w:pPr>
            <w:r w:rsidDel="00000000" w:rsidR="00000000" w:rsidRPr="00000000">
              <w:rPr>
                <w:b w:val="1"/>
                <w:sz w:val="16"/>
                <w:szCs w:val="16"/>
                <w:rtl w:val="0"/>
              </w:rPr>
              <w:t xml:space="preserve">Meningioma</w:t>
            </w:r>
          </w:p>
        </w:tc>
        <w:tc>
          <w:tcPr/>
          <w:p w:rsidR="00000000" w:rsidDel="00000000" w:rsidP="00000000" w:rsidRDefault="00000000" w:rsidRPr="00000000" w14:paraId="0000001F">
            <w:pPr>
              <w:widowControl w:val="0"/>
              <w:jc w:val="center"/>
              <w:rPr>
                <w:b w:val="1"/>
                <w:sz w:val="16"/>
                <w:szCs w:val="16"/>
              </w:rPr>
            </w:pPr>
            <w:r w:rsidDel="00000000" w:rsidR="00000000" w:rsidRPr="00000000">
              <w:rPr>
                <w:b w:val="1"/>
                <w:sz w:val="16"/>
                <w:szCs w:val="16"/>
                <w:rtl w:val="0"/>
              </w:rPr>
              <w:t xml:space="preserve">Pituitary</w:t>
            </w:r>
          </w:p>
        </w:tc>
        <w:tc>
          <w:tcPr/>
          <w:p w:rsidR="00000000" w:rsidDel="00000000" w:rsidP="00000000" w:rsidRDefault="00000000" w:rsidRPr="00000000" w14:paraId="00000020">
            <w:pPr>
              <w:widowControl w:val="0"/>
              <w:jc w:val="center"/>
              <w:rPr>
                <w:b w:val="1"/>
                <w:sz w:val="16"/>
                <w:szCs w:val="16"/>
              </w:rPr>
            </w:pPr>
            <w:r w:rsidDel="00000000" w:rsidR="00000000" w:rsidRPr="00000000">
              <w:rPr>
                <w:b w:val="1"/>
                <w:sz w:val="16"/>
                <w:szCs w:val="16"/>
                <w:rtl w:val="0"/>
              </w:rPr>
              <w:t xml:space="preserve">Paciente Sano</w:t>
            </w:r>
          </w:p>
        </w:tc>
      </w:tr>
      <w:tr>
        <w:trPr>
          <w:cantSplit w:val="0"/>
          <w:trHeight w:val="160" w:hRule="atLeast"/>
          <w:tblHeader w:val="0"/>
        </w:trPr>
        <w:tc>
          <w:tcPr>
            <w:vMerge w:val="restart"/>
          </w:tcPr>
          <w:p w:rsidR="00000000" w:rsidDel="00000000" w:rsidP="00000000" w:rsidRDefault="00000000" w:rsidRPr="00000000" w14:paraId="00000021">
            <w:pPr>
              <w:widowControl w:val="0"/>
              <w:jc w:val="center"/>
              <w:rPr>
                <w:b w:val="1"/>
                <w:sz w:val="16"/>
                <w:szCs w:val="16"/>
              </w:rPr>
            </w:pPr>
            <w:r w:rsidDel="00000000" w:rsidR="00000000" w:rsidRPr="00000000">
              <w:rPr>
                <w:b w:val="1"/>
                <w:sz w:val="16"/>
                <w:szCs w:val="16"/>
                <w:rtl w:val="0"/>
              </w:rPr>
              <w:t xml:space="preserve">1</w:t>
            </w:r>
          </w:p>
        </w:tc>
        <w:tc>
          <w:tcPr/>
          <w:p w:rsidR="00000000" w:rsidDel="00000000" w:rsidP="00000000" w:rsidRDefault="00000000" w:rsidRPr="00000000" w14:paraId="00000022">
            <w:pPr>
              <w:widowControl w:val="0"/>
              <w:rPr>
                <w:b w:val="1"/>
                <w:sz w:val="16"/>
                <w:szCs w:val="16"/>
              </w:rPr>
            </w:pPr>
            <w:r w:rsidDel="00000000" w:rsidR="00000000" w:rsidRPr="00000000">
              <w:rPr>
                <w:b w:val="1"/>
                <w:sz w:val="16"/>
                <w:szCs w:val="16"/>
                <w:rtl w:val="0"/>
              </w:rPr>
              <w:t xml:space="preserve">Precisión</w:t>
            </w:r>
          </w:p>
        </w:tc>
        <w:tc>
          <w:tcPr/>
          <w:p w:rsidR="00000000" w:rsidDel="00000000" w:rsidP="00000000" w:rsidRDefault="00000000" w:rsidRPr="00000000" w14:paraId="00000023">
            <w:pPr>
              <w:widowControl w:val="0"/>
              <w:jc w:val="center"/>
              <w:rPr>
                <w:sz w:val="16"/>
                <w:szCs w:val="16"/>
              </w:rPr>
            </w:pPr>
            <w:r w:rsidDel="00000000" w:rsidR="00000000" w:rsidRPr="00000000">
              <w:rPr>
                <w:sz w:val="16"/>
                <w:szCs w:val="16"/>
                <w:rtl w:val="0"/>
              </w:rPr>
              <w:t xml:space="preserve">0.96</w:t>
            </w:r>
          </w:p>
        </w:tc>
        <w:tc>
          <w:tcPr/>
          <w:p w:rsidR="00000000" w:rsidDel="00000000" w:rsidP="00000000" w:rsidRDefault="00000000" w:rsidRPr="00000000" w14:paraId="00000024">
            <w:pPr>
              <w:widowControl w:val="0"/>
              <w:jc w:val="center"/>
              <w:rPr>
                <w:sz w:val="16"/>
                <w:szCs w:val="16"/>
              </w:rPr>
            </w:pPr>
            <w:r w:rsidDel="00000000" w:rsidR="00000000" w:rsidRPr="00000000">
              <w:rPr>
                <w:sz w:val="16"/>
                <w:szCs w:val="16"/>
                <w:rtl w:val="0"/>
              </w:rPr>
              <w:t xml:space="preserve">0.86</w:t>
            </w:r>
          </w:p>
        </w:tc>
        <w:tc>
          <w:tcPr/>
          <w:p w:rsidR="00000000" w:rsidDel="00000000" w:rsidP="00000000" w:rsidRDefault="00000000" w:rsidRPr="00000000" w14:paraId="00000025">
            <w:pPr>
              <w:widowControl w:val="0"/>
              <w:jc w:val="center"/>
              <w:rPr>
                <w:sz w:val="16"/>
                <w:szCs w:val="16"/>
              </w:rPr>
            </w:pPr>
            <w:r w:rsidDel="00000000" w:rsidR="00000000" w:rsidRPr="00000000">
              <w:rPr>
                <w:sz w:val="16"/>
                <w:szCs w:val="16"/>
                <w:rtl w:val="0"/>
              </w:rPr>
              <w:t xml:space="preserve">0.92</w:t>
            </w:r>
          </w:p>
        </w:tc>
        <w:tc>
          <w:tcPr/>
          <w:p w:rsidR="00000000" w:rsidDel="00000000" w:rsidP="00000000" w:rsidRDefault="00000000" w:rsidRPr="00000000" w14:paraId="00000026">
            <w:pPr>
              <w:widowControl w:val="0"/>
              <w:jc w:val="center"/>
              <w:rPr>
                <w:sz w:val="16"/>
                <w:szCs w:val="16"/>
              </w:rPr>
            </w:pPr>
            <w:r w:rsidDel="00000000" w:rsidR="00000000" w:rsidRPr="00000000">
              <w:rPr>
                <w:sz w:val="16"/>
                <w:szCs w:val="16"/>
                <w:rtl w:val="0"/>
              </w:rPr>
              <w:t xml:space="preserve">0.96</w:t>
            </w:r>
          </w:p>
        </w:tc>
      </w:tr>
      <w:tr>
        <w:trPr>
          <w:cantSplit w:val="0"/>
          <w:trHeight w:val="160" w:hRule="atLeast"/>
          <w:tblHeader w:val="0"/>
        </w:trPr>
        <w:tc>
          <w:tcPr>
            <w:vMerge w:val="continue"/>
          </w:tcPr>
          <w:p w:rsidR="00000000" w:rsidDel="00000000" w:rsidP="00000000" w:rsidRDefault="00000000" w:rsidRPr="00000000" w14:paraId="00000027">
            <w:pPr>
              <w:widowControl w:val="0"/>
              <w:spacing w:after="0" w:before="0" w:line="240" w:lineRule="auto"/>
              <w:ind w:left="0" w:firstLine="0"/>
              <w:jc w:val="center"/>
              <w:rPr>
                <w:b w:val="1"/>
                <w:sz w:val="16"/>
                <w:szCs w:val="16"/>
              </w:rPr>
            </w:pPr>
            <w:r w:rsidDel="00000000" w:rsidR="00000000" w:rsidRPr="00000000">
              <w:rPr>
                <w:rtl w:val="0"/>
              </w:rPr>
            </w:r>
          </w:p>
        </w:tc>
        <w:tc>
          <w:tcPr/>
          <w:p w:rsidR="00000000" w:rsidDel="00000000" w:rsidP="00000000" w:rsidRDefault="00000000" w:rsidRPr="00000000" w14:paraId="00000028">
            <w:pPr>
              <w:widowControl w:val="0"/>
              <w:rPr>
                <w:b w:val="1"/>
                <w:sz w:val="16"/>
                <w:szCs w:val="16"/>
              </w:rPr>
            </w:pPr>
            <w:r w:rsidDel="00000000" w:rsidR="00000000" w:rsidRPr="00000000">
              <w:rPr>
                <w:b w:val="1"/>
                <w:sz w:val="16"/>
                <w:szCs w:val="16"/>
                <w:rtl w:val="0"/>
              </w:rPr>
              <w:t xml:space="preserve">Recall</w:t>
            </w:r>
          </w:p>
        </w:tc>
        <w:tc>
          <w:tcPr/>
          <w:p w:rsidR="00000000" w:rsidDel="00000000" w:rsidP="00000000" w:rsidRDefault="00000000" w:rsidRPr="00000000" w14:paraId="00000029">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2A">
            <w:pPr>
              <w:widowControl w:val="0"/>
              <w:jc w:val="center"/>
              <w:rPr>
                <w:sz w:val="16"/>
                <w:szCs w:val="16"/>
              </w:rPr>
            </w:pPr>
            <w:r w:rsidDel="00000000" w:rsidR="00000000" w:rsidRPr="00000000">
              <w:rPr>
                <w:sz w:val="16"/>
                <w:szCs w:val="16"/>
                <w:rtl w:val="0"/>
              </w:rPr>
              <w:t xml:space="preserve">0.87</w:t>
            </w:r>
          </w:p>
        </w:tc>
        <w:tc>
          <w:tcPr/>
          <w:p w:rsidR="00000000" w:rsidDel="00000000" w:rsidP="00000000" w:rsidRDefault="00000000" w:rsidRPr="00000000" w14:paraId="0000002B">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2C">
            <w:pPr>
              <w:widowControl w:val="0"/>
              <w:jc w:val="center"/>
              <w:rPr>
                <w:sz w:val="16"/>
                <w:szCs w:val="16"/>
              </w:rPr>
            </w:pPr>
            <w:r w:rsidDel="00000000" w:rsidR="00000000" w:rsidRPr="00000000">
              <w:rPr>
                <w:sz w:val="16"/>
                <w:szCs w:val="16"/>
                <w:rtl w:val="0"/>
              </w:rPr>
              <w:t xml:space="preserve">0.99</w:t>
            </w:r>
          </w:p>
        </w:tc>
      </w:tr>
      <w:tr>
        <w:trPr>
          <w:cantSplit w:val="0"/>
          <w:trHeight w:val="160" w:hRule="atLeast"/>
          <w:tblHeader w:val="0"/>
        </w:trPr>
        <w:tc>
          <w:tcPr>
            <w:vMerge w:val="continue"/>
          </w:tcPr>
          <w:p w:rsidR="00000000" w:rsidDel="00000000" w:rsidP="00000000" w:rsidRDefault="00000000" w:rsidRPr="00000000" w14:paraId="0000002D">
            <w:pPr>
              <w:widowControl w:val="0"/>
              <w:spacing w:after="0" w:before="0" w:line="240" w:lineRule="auto"/>
              <w:ind w:left="0" w:firstLine="0"/>
              <w:jc w:val="center"/>
              <w:rPr>
                <w:b w:val="1"/>
                <w:sz w:val="16"/>
                <w:szCs w:val="16"/>
              </w:rPr>
            </w:pPr>
            <w:r w:rsidDel="00000000" w:rsidR="00000000" w:rsidRPr="00000000">
              <w:rPr>
                <w:rtl w:val="0"/>
              </w:rPr>
            </w:r>
          </w:p>
        </w:tc>
        <w:tc>
          <w:tcPr/>
          <w:p w:rsidR="00000000" w:rsidDel="00000000" w:rsidP="00000000" w:rsidRDefault="00000000" w:rsidRPr="00000000" w14:paraId="0000002E">
            <w:pPr>
              <w:widowControl w:val="0"/>
              <w:rPr>
                <w:b w:val="1"/>
                <w:sz w:val="16"/>
                <w:szCs w:val="16"/>
              </w:rPr>
            </w:pPr>
            <w:r w:rsidDel="00000000" w:rsidR="00000000" w:rsidRPr="00000000">
              <w:rPr>
                <w:b w:val="1"/>
                <w:sz w:val="16"/>
                <w:szCs w:val="16"/>
                <w:rtl w:val="0"/>
              </w:rPr>
              <w:t xml:space="preserve">F1 - score</w:t>
            </w:r>
          </w:p>
        </w:tc>
        <w:tc>
          <w:tcPr/>
          <w:p w:rsidR="00000000" w:rsidDel="00000000" w:rsidP="00000000" w:rsidRDefault="00000000" w:rsidRPr="00000000" w14:paraId="0000002F">
            <w:pPr>
              <w:widowControl w:val="0"/>
              <w:jc w:val="center"/>
              <w:rPr>
                <w:sz w:val="16"/>
                <w:szCs w:val="16"/>
              </w:rPr>
            </w:pPr>
            <w:r w:rsidDel="00000000" w:rsidR="00000000" w:rsidRPr="00000000">
              <w:rPr>
                <w:sz w:val="16"/>
                <w:szCs w:val="16"/>
                <w:rtl w:val="0"/>
              </w:rPr>
              <w:t xml:space="preserve">0.89</w:t>
            </w:r>
          </w:p>
        </w:tc>
        <w:tc>
          <w:tcPr/>
          <w:p w:rsidR="00000000" w:rsidDel="00000000" w:rsidP="00000000" w:rsidRDefault="00000000" w:rsidRPr="00000000" w14:paraId="00000030">
            <w:pPr>
              <w:widowControl w:val="0"/>
              <w:jc w:val="center"/>
              <w:rPr>
                <w:sz w:val="16"/>
                <w:szCs w:val="16"/>
              </w:rPr>
            </w:pPr>
            <w:r w:rsidDel="00000000" w:rsidR="00000000" w:rsidRPr="00000000">
              <w:rPr>
                <w:sz w:val="16"/>
                <w:szCs w:val="16"/>
                <w:rtl w:val="0"/>
              </w:rPr>
              <w:t xml:space="preserve">0.86</w:t>
            </w:r>
          </w:p>
        </w:tc>
        <w:tc>
          <w:tcPr/>
          <w:p w:rsidR="00000000" w:rsidDel="00000000" w:rsidP="00000000" w:rsidRDefault="00000000" w:rsidRPr="00000000" w14:paraId="00000031">
            <w:pPr>
              <w:widowControl w:val="0"/>
              <w:jc w:val="cente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032">
            <w:pPr>
              <w:widowControl w:val="0"/>
              <w:jc w:val="center"/>
              <w:rPr>
                <w:sz w:val="16"/>
                <w:szCs w:val="16"/>
              </w:rPr>
            </w:pPr>
            <w:r w:rsidDel="00000000" w:rsidR="00000000" w:rsidRPr="00000000">
              <w:rPr>
                <w:sz w:val="16"/>
                <w:szCs w:val="16"/>
                <w:rtl w:val="0"/>
              </w:rPr>
              <w:t xml:space="preserve">0.97</w:t>
            </w:r>
          </w:p>
        </w:tc>
      </w:tr>
      <w:tr>
        <w:trPr>
          <w:cantSplit w:val="0"/>
          <w:trHeight w:val="160" w:hRule="atLeast"/>
          <w:tblHeader w:val="0"/>
        </w:trPr>
        <w:tc>
          <w:tcPr>
            <w:vMerge w:val="restart"/>
          </w:tcPr>
          <w:p w:rsidR="00000000" w:rsidDel="00000000" w:rsidP="00000000" w:rsidRDefault="00000000" w:rsidRPr="00000000" w14:paraId="00000033">
            <w:pPr>
              <w:widowControl w:val="0"/>
              <w:jc w:val="center"/>
              <w:rPr>
                <w:b w:val="1"/>
                <w:sz w:val="16"/>
                <w:szCs w:val="16"/>
              </w:rPr>
            </w:pPr>
            <w:r w:rsidDel="00000000" w:rsidR="00000000" w:rsidRPr="00000000">
              <w:rPr>
                <w:b w:val="1"/>
                <w:sz w:val="16"/>
                <w:szCs w:val="16"/>
                <w:rtl w:val="0"/>
              </w:rPr>
              <w:t xml:space="preserve">2</w:t>
            </w:r>
          </w:p>
        </w:tc>
        <w:tc>
          <w:tcPr/>
          <w:p w:rsidR="00000000" w:rsidDel="00000000" w:rsidP="00000000" w:rsidRDefault="00000000" w:rsidRPr="00000000" w14:paraId="00000034">
            <w:pPr>
              <w:widowControl w:val="0"/>
              <w:rPr>
                <w:b w:val="1"/>
                <w:sz w:val="16"/>
                <w:szCs w:val="16"/>
              </w:rPr>
            </w:pPr>
            <w:r w:rsidDel="00000000" w:rsidR="00000000" w:rsidRPr="00000000">
              <w:rPr>
                <w:b w:val="1"/>
                <w:sz w:val="16"/>
                <w:szCs w:val="16"/>
                <w:rtl w:val="0"/>
              </w:rPr>
              <w:t xml:space="preserve">Precisión</w:t>
            </w:r>
          </w:p>
        </w:tc>
        <w:tc>
          <w:tcPr/>
          <w:p w:rsidR="00000000" w:rsidDel="00000000" w:rsidP="00000000" w:rsidRDefault="00000000" w:rsidRPr="00000000" w14:paraId="00000035">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36">
            <w:pPr>
              <w:widowControl w:val="0"/>
              <w:jc w:val="center"/>
              <w:rPr>
                <w:sz w:val="16"/>
                <w:szCs w:val="16"/>
              </w:rPr>
            </w:pPr>
            <w:r w:rsidDel="00000000" w:rsidR="00000000" w:rsidRPr="00000000">
              <w:rPr>
                <w:sz w:val="16"/>
                <w:szCs w:val="16"/>
                <w:rtl w:val="0"/>
              </w:rPr>
              <w:t xml:space="preserve">0.74</w:t>
            </w:r>
          </w:p>
        </w:tc>
        <w:tc>
          <w:tcPr/>
          <w:p w:rsidR="00000000" w:rsidDel="00000000" w:rsidP="00000000" w:rsidRDefault="00000000" w:rsidRPr="00000000" w14:paraId="00000037">
            <w:pPr>
              <w:widowControl w:val="0"/>
              <w:jc w:val="center"/>
              <w:rPr>
                <w:sz w:val="16"/>
                <w:szCs w:val="16"/>
              </w:rPr>
            </w:pPr>
            <w:r w:rsidDel="00000000" w:rsidR="00000000" w:rsidRPr="00000000">
              <w:rPr>
                <w:sz w:val="16"/>
                <w:szCs w:val="16"/>
                <w:rtl w:val="0"/>
              </w:rPr>
              <w:t xml:space="preserve">0.99</w:t>
            </w:r>
          </w:p>
        </w:tc>
        <w:tc>
          <w:tcPr/>
          <w:p w:rsidR="00000000" w:rsidDel="00000000" w:rsidP="00000000" w:rsidRDefault="00000000" w:rsidRPr="00000000" w14:paraId="00000038">
            <w:pPr>
              <w:widowControl w:val="0"/>
              <w:jc w:val="center"/>
              <w:rPr>
                <w:sz w:val="16"/>
                <w:szCs w:val="16"/>
              </w:rPr>
            </w:pPr>
            <w:r w:rsidDel="00000000" w:rsidR="00000000" w:rsidRPr="00000000">
              <w:rPr>
                <w:sz w:val="16"/>
                <w:szCs w:val="16"/>
                <w:rtl w:val="0"/>
              </w:rPr>
              <w:t xml:space="preserve">0.98</w:t>
            </w:r>
          </w:p>
        </w:tc>
      </w:tr>
      <w:tr>
        <w:trPr>
          <w:cantSplit w:val="0"/>
          <w:trHeight w:val="160" w:hRule="atLeast"/>
          <w:tblHeader w:val="0"/>
        </w:trPr>
        <w:tc>
          <w:tcPr>
            <w:vMerge w:val="continue"/>
          </w:tcPr>
          <w:p w:rsidR="00000000" w:rsidDel="00000000" w:rsidP="00000000" w:rsidRDefault="00000000" w:rsidRPr="00000000" w14:paraId="00000039">
            <w:pPr>
              <w:widowControl w:val="0"/>
              <w:spacing w:after="0" w:before="0" w:line="240" w:lineRule="auto"/>
              <w:ind w:left="0" w:firstLine="0"/>
              <w:jc w:val="center"/>
              <w:rPr>
                <w:b w:val="1"/>
                <w:sz w:val="16"/>
                <w:szCs w:val="16"/>
              </w:rPr>
            </w:pPr>
            <w:r w:rsidDel="00000000" w:rsidR="00000000" w:rsidRPr="00000000">
              <w:rPr>
                <w:rtl w:val="0"/>
              </w:rPr>
            </w:r>
          </w:p>
        </w:tc>
        <w:tc>
          <w:tcPr/>
          <w:p w:rsidR="00000000" w:rsidDel="00000000" w:rsidP="00000000" w:rsidRDefault="00000000" w:rsidRPr="00000000" w14:paraId="0000003A">
            <w:pPr>
              <w:widowControl w:val="0"/>
              <w:rPr>
                <w:b w:val="1"/>
                <w:sz w:val="16"/>
                <w:szCs w:val="16"/>
              </w:rPr>
            </w:pPr>
            <w:r w:rsidDel="00000000" w:rsidR="00000000" w:rsidRPr="00000000">
              <w:rPr>
                <w:b w:val="1"/>
                <w:sz w:val="16"/>
                <w:szCs w:val="16"/>
                <w:rtl w:val="0"/>
              </w:rPr>
              <w:t xml:space="preserve">Recall</w:t>
            </w:r>
          </w:p>
        </w:tc>
        <w:tc>
          <w:tcPr/>
          <w:p w:rsidR="00000000" w:rsidDel="00000000" w:rsidP="00000000" w:rsidRDefault="00000000" w:rsidRPr="00000000" w14:paraId="0000003B">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3C">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3D">
            <w:pPr>
              <w:widowControl w:val="0"/>
              <w:jc w:val="center"/>
              <w:rPr>
                <w:sz w:val="16"/>
                <w:szCs w:val="16"/>
              </w:rPr>
            </w:pPr>
            <w:r w:rsidDel="00000000" w:rsidR="00000000" w:rsidRPr="00000000">
              <w:rPr>
                <w:sz w:val="16"/>
                <w:szCs w:val="16"/>
                <w:rtl w:val="0"/>
              </w:rPr>
              <w:t xml:space="preserve">0.92</w:t>
            </w:r>
          </w:p>
        </w:tc>
        <w:tc>
          <w:tcPr/>
          <w:p w:rsidR="00000000" w:rsidDel="00000000" w:rsidP="00000000" w:rsidRDefault="00000000" w:rsidRPr="00000000" w14:paraId="0000003E">
            <w:pPr>
              <w:widowControl w:val="0"/>
              <w:jc w:val="center"/>
              <w:rPr>
                <w:sz w:val="16"/>
                <w:szCs w:val="16"/>
              </w:rPr>
            </w:pPr>
            <w:r w:rsidDel="00000000" w:rsidR="00000000" w:rsidRPr="00000000">
              <w:rPr>
                <w:sz w:val="16"/>
                <w:szCs w:val="16"/>
                <w:rtl w:val="0"/>
              </w:rPr>
              <w:t xml:space="preserve">0.89</w:t>
            </w:r>
          </w:p>
        </w:tc>
      </w:tr>
      <w:tr>
        <w:trPr>
          <w:cantSplit w:val="0"/>
          <w:trHeight w:val="160" w:hRule="atLeast"/>
          <w:tblHeader w:val="0"/>
        </w:trPr>
        <w:tc>
          <w:tcPr>
            <w:vMerge w:val="continue"/>
          </w:tcPr>
          <w:p w:rsidR="00000000" w:rsidDel="00000000" w:rsidP="00000000" w:rsidRDefault="00000000" w:rsidRPr="00000000" w14:paraId="0000003F">
            <w:pPr>
              <w:widowControl w:val="0"/>
              <w:spacing w:after="0" w:before="0" w:line="240" w:lineRule="auto"/>
              <w:ind w:left="0" w:firstLine="0"/>
              <w:jc w:val="center"/>
              <w:rPr>
                <w:b w:val="1"/>
                <w:sz w:val="16"/>
                <w:szCs w:val="16"/>
              </w:rPr>
            </w:pPr>
            <w:r w:rsidDel="00000000" w:rsidR="00000000" w:rsidRPr="00000000">
              <w:rPr>
                <w:rtl w:val="0"/>
              </w:rPr>
            </w:r>
          </w:p>
        </w:tc>
        <w:tc>
          <w:tcPr/>
          <w:p w:rsidR="00000000" w:rsidDel="00000000" w:rsidP="00000000" w:rsidRDefault="00000000" w:rsidRPr="00000000" w14:paraId="00000040">
            <w:pPr>
              <w:widowControl w:val="0"/>
              <w:rPr>
                <w:b w:val="1"/>
                <w:sz w:val="16"/>
                <w:szCs w:val="16"/>
              </w:rPr>
            </w:pPr>
            <w:r w:rsidDel="00000000" w:rsidR="00000000" w:rsidRPr="00000000">
              <w:rPr>
                <w:b w:val="1"/>
                <w:sz w:val="16"/>
                <w:szCs w:val="16"/>
                <w:rtl w:val="0"/>
              </w:rPr>
              <w:t xml:space="preserve">F1 - score</w:t>
            </w:r>
          </w:p>
        </w:tc>
        <w:tc>
          <w:tcPr/>
          <w:p w:rsidR="00000000" w:rsidDel="00000000" w:rsidP="00000000" w:rsidRDefault="00000000" w:rsidRPr="00000000" w14:paraId="00000041">
            <w:pPr>
              <w:widowControl w:val="0"/>
              <w:jc w:val="center"/>
              <w:rPr>
                <w:sz w:val="16"/>
                <w:szCs w:val="16"/>
              </w:rPr>
            </w:pPr>
            <w:r w:rsidDel="00000000" w:rsidR="00000000" w:rsidRPr="00000000">
              <w:rPr>
                <w:sz w:val="16"/>
                <w:szCs w:val="16"/>
                <w:rtl w:val="0"/>
              </w:rPr>
              <w:t xml:space="preserve">0.90</w:t>
            </w:r>
          </w:p>
        </w:tc>
        <w:tc>
          <w:tcPr/>
          <w:p w:rsidR="00000000" w:rsidDel="00000000" w:rsidP="00000000" w:rsidRDefault="00000000" w:rsidRPr="00000000" w14:paraId="00000042">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43">
            <w:pPr>
              <w:widowControl w:val="0"/>
              <w:jc w:val="cente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044">
            <w:pPr>
              <w:widowControl w:val="0"/>
              <w:jc w:val="center"/>
              <w:rPr>
                <w:sz w:val="16"/>
                <w:szCs w:val="16"/>
              </w:rPr>
            </w:pPr>
            <w:r w:rsidDel="00000000" w:rsidR="00000000" w:rsidRPr="00000000">
              <w:rPr>
                <w:sz w:val="16"/>
                <w:szCs w:val="16"/>
                <w:rtl w:val="0"/>
              </w:rPr>
              <w:t xml:space="preserve">0.93</w:t>
            </w:r>
          </w:p>
        </w:tc>
      </w:tr>
    </w:tbl>
    <w:p w:rsidR="00000000" w:rsidDel="00000000" w:rsidP="00000000" w:rsidRDefault="00000000" w:rsidRPr="00000000" w14:paraId="00000045">
      <w:pPr>
        <w:widowControl w:val="0"/>
        <w:ind w:firstLine="204"/>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Así mismo en la figura 2 se puede observar la matriz de confusión sobre el conjunto de datos de prueba (</w:t>
      </w:r>
      <w:r w:rsidDel="00000000" w:rsidR="00000000" w:rsidRPr="00000000">
        <w:rPr>
          <w:i w:val="1"/>
          <w:rtl w:val="0"/>
        </w:rPr>
        <w:t xml:space="preserve">Test set</w:t>
      </w:r>
      <w:r w:rsidDel="00000000" w:rsidR="00000000" w:rsidRPr="00000000">
        <w:rPr>
          <w:rtl w:val="0"/>
        </w:rPr>
        <w:t xml:space="preserve">).</w:t>
      </w:r>
    </w:p>
    <w:p w:rsidR="00000000" w:rsidDel="00000000" w:rsidP="00000000" w:rsidRDefault="00000000" w:rsidRPr="00000000" w14:paraId="00000047">
      <w:pPr>
        <w:widowControl w:val="0"/>
        <w:ind w:firstLine="204"/>
        <w:jc w:val="both"/>
        <w:rPr/>
      </w:pPr>
      <w:r w:rsidDel="00000000" w:rsidR="00000000" w:rsidRPr="00000000">
        <w:rPr/>
        <w:drawing>
          <wp:inline distB="114300" distT="114300" distL="114300" distR="114300">
            <wp:extent cx="1773936" cy="1617682"/>
            <wp:effectExtent b="0" l="0" r="0" t="0"/>
            <wp:docPr id="112763794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73936" cy="161768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b w:val="1"/>
          <w:sz w:val="18"/>
          <w:szCs w:val="18"/>
          <w:rtl w:val="0"/>
        </w:rPr>
        <w:t xml:space="preserve">Fig 2 </w:t>
      </w:r>
      <w:r w:rsidDel="00000000" w:rsidR="00000000" w:rsidRPr="00000000">
        <w:rPr>
          <w:sz w:val="18"/>
          <w:szCs w:val="18"/>
          <w:rtl w:val="0"/>
        </w:rPr>
        <w:t xml:space="preserve">Matriz de confusión para el conjunto de datos de prueba (</w:t>
      </w:r>
      <w:r w:rsidDel="00000000" w:rsidR="00000000" w:rsidRPr="00000000">
        <w:rPr>
          <w:i w:val="1"/>
          <w:sz w:val="18"/>
          <w:szCs w:val="18"/>
          <w:rtl w:val="0"/>
        </w:rPr>
        <w:t xml:space="preserve">Test set</w:t>
      </w:r>
      <w:r w:rsidDel="00000000" w:rsidR="00000000" w:rsidRPr="00000000">
        <w:rPr>
          <w:sz w:val="18"/>
          <w:szCs w:val="18"/>
          <w:rtl w:val="0"/>
        </w:rPr>
        <w:t xml:space="preserve">)</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Se destaca dentro de los resultados la alta sensibilidad (</w:t>
      </w:r>
      <w:r w:rsidDel="00000000" w:rsidR="00000000" w:rsidRPr="00000000">
        <w:rPr>
          <w:i w:val="1"/>
          <w:rtl w:val="0"/>
        </w:rPr>
        <w:t xml:space="preserve">recall</w:t>
      </w:r>
      <w:r w:rsidDel="00000000" w:rsidR="00000000" w:rsidRPr="00000000">
        <w:rPr>
          <w:rtl w:val="0"/>
        </w:rPr>
        <w:t xml:space="preserve">) en la clasificación de los pacientes sanos, con un porcentaje de falsos negativos del 1.2%. Así mismo, las métricas de </w:t>
      </w:r>
      <w:r w:rsidDel="00000000" w:rsidR="00000000" w:rsidRPr="00000000">
        <w:rPr>
          <w:i w:val="1"/>
          <w:rtl w:val="0"/>
        </w:rPr>
        <w:t xml:space="preserve">F1-score</w:t>
      </w:r>
      <w:r w:rsidDel="00000000" w:rsidR="00000000" w:rsidRPr="00000000">
        <w:rPr>
          <w:rtl w:val="0"/>
        </w:rPr>
        <w:t xml:space="preserve"> para las clases </w:t>
      </w:r>
      <w:r w:rsidDel="00000000" w:rsidR="00000000" w:rsidRPr="00000000">
        <w:rPr>
          <w:i w:val="1"/>
          <w:rtl w:val="0"/>
        </w:rPr>
        <w:t xml:space="preserve">Pituitary</w:t>
      </w:r>
      <w:r w:rsidDel="00000000" w:rsidR="00000000" w:rsidRPr="00000000">
        <w:rPr>
          <w:rtl w:val="0"/>
        </w:rPr>
        <w:t xml:space="preserve"> y </w:t>
      </w:r>
      <w:r w:rsidDel="00000000" w:rsidR="00000000" w:rsidRPr="00000000">
        <w:rPr>
          <w:i w:val="1"/>
          <w:rtl w:val="0"/>
        </w:rPr>
        <w:t xml:space="preserve">Paciente sano</w:t>
      </w:r>
      <w:r w:rsidDel="00000000" w:rsidR="00000000" w:rsidRPr="00000000">
        <w:rPr>
          <w:rtl w:val="0"/>
        </w:rPr>
        <w:t xml:space="preserve"> superan el 95%, evidenciando un equilibrio entre la detección de verdaderos positivos y la reducción de falsas clasificaciones. </w:t>
      </w:r>
    </w:p>
    <w:p w:rsidR="00000000" w:rsidDel="00000000" w:rsidP="00000000" w:rsidRDefault="00000000" w:rsidRPr="00000000" w14:paraId="0000004A">
      <w:pPr>
        <w:widowControl w:val="0"/>
        <w:ind w:firstLine="204"/>
        <w:jc w:val="both"/>
        <w:rPr>
          <w:b w:val="1"/>
          <w:sz w:val="24"/>
          <w:szCs w:val="24"/>
        </w:rPr>
      </w:pPr>
      <w:r w:rsidDel="00000000" w:rsidR="00000000" w:rsidRPr="00000000">
        <w:rPr>
          <w:rtl w:val="0"/>
        </w:rPr>
      </w:r>
    </w:p>
    <w:p w:rsidR="00000000" w:rsidDel="00000000" w:rsidP="00000000" w:rsidRDefault="00000000" w:rsidRPr="00000000" w14:paraId="0000004B">
      <w:pPr>
        <w:widowControl w:val="0"/>
        <w:ind w:firstLine="204"/>
        <w:jc w:val="both"/>
        <w:rPr/>
      </w:pPr>
      <w:r w:rsidDel="00000000" w:rsidR="00000000" w:rsidRPr="00000000">
        <w:rPr>
          <w:rtl w:val="0"/>
        </w:rPr>
        <w:t xml:space="preserve">Comparando los modelos, encontramos que el entrenamiento del modelo desde cero es mucho más rápido, debido a su baja profundidad, permitiendo realizar un fácil ajuste de hiperparámetros. En contraste, el modelo fundacional </w:t>
      </w:r>
      <w:r w:rsidDel="00000000" w:rsidR="00000000" w:rsidRPr="00000000">
        <w:rPr>
          <w:rtl w:val="0"/>
        </w:rPr>
        <w:t xml:space="preserve">presenta un alto consumo computacional, por lo que su ajuste se vio limitado. Concluyendo que este modelo presenta una gran oportunidad de mejora a futuro. </w:t>
      </w:r>
    </w:p>
    <w:p w:rsidR="00000000" w:rsidDel="00000000" w:rsidP="00000000" w:rsidRDefault="00000000" w:rsidRPr="00000000" w14:paraId="0000004C">
      <w:pPr>
        <w:pStyle w:val="Heading1"/>
        <w:numPr>
          <w:ilvl w:val="0"/>
          <w:numId w:val="2"/>
        </w:numPr>
        <w:ind w:left="720" w:hanging="360"/>
        <w:rPr>
          <w:b w:val="1"/>
        </w:rPr>
      </w:pPr>
      <w:bookmarkStart w:colFirst="0" w:colLast="0" w:name="_heading=h.6bu5s7mqm6eh" w:id="0"/>
      <w:bookmarkEnd w:id="0"/>
      <w:r w:rsidDel="00000000" w:rsidR="00000000" w:rsidRPr="00000000">
        <w:rPr>
          <w:b w:val="1"/>
          <w:sz w:val="22"/>
          <w:szCs w:val="22"/>
          <w:rtl w:val="0"/>
        </w:rPr>
        <w:t xml:space="preserve">Discusión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modelo </w:t>
      </w:r>
      <w:r w:rsidDel="00000000" w:rsidR="00000000" w:rsidRPr="00000000">
        <w:rPr>
          <w:i w:val="1"/>
          <w:rtl w:val="0"/>
        </w:rPr>
        <w:t xml:space="preserve">from scratch</w:t>
      </w:r>
      <w:r w:rsidDel="00000000" w:rsidR="00000000" w:rsidRPr="00000000">
        <w:rPr>
          <w:rtl w:val="0"/>
        </w:rPr>
        <w:t xml:space="preserve">, la clase que presenta las métricas más bajas es </w:t>
      </w:r>
      <w:r w:rsidDel="00000000" w:rsidR="00000000" w:rsidRPr="00000000">
        <w:rPr>
          <w:rtl w:val="0"/>
        </w:rPr>
        <w:t xml:space="preserve">meningioma</w:t>
      </w:r>
      <w:r w:rsidDel="00000000" w:rsidR="00000000" w:rsidRPr="00000000">
        <w:rPr>
          <w:rtl w:val="0"/>
        </w:rPr>
        <w:t xml:space="preserve">. El modelo confunde 21 pacientes con </w:t>
      </w:r>
      <w:r w:rsidDel="00000000" w:rsidR="00000000" w:rsidRPr="00000000">
        <w:rPr>
          <w:rtl w:val="0"/>
        </w:rPr>
        <w:t xml:space="preserve">glioma</w:t>
      </w:r>
      <w:r w:rsidDel="00000000" w:rsidR="00000000" w:rsidRPr="00000000">
        <w:rPr>
          <w:rtl w:val="0"/>
        </w:rPr>
        <w:t xml:space="preserve">, clasificándolos erróneamente como meningioma. Esta confusión puede obedecer principalmente al tipo de patología, ya que ambos tumores pueden presentar intensidades y patrones de textura similares en secuencias T1 o T2, especialmente en cortes cercanos a la superficie cerebral; adicionalmente, las limitaciones de una arquitectura basada en </w:t>
      </w:r>
      <w:r w:rsidDel="00000000" w:rsidR="00000000" w:rsidRPr="00000000">
        <w:rPr>
          <w:b w:val="1"/>
          <w:rtl w:val="0"/>
        </w:rPr>
        <w:t xml:space="preserve">AlexNet</w:t>
      </w:r>
      <w:r w:rsidDel="00000000" w:rsidR="00000000" w:rsidRPr="00000000">
        <w:rPr>
          <w:rtl w:val="0"/>
        </w:rPr>
        <w:t xml:space="preserve">, la cual, si bien es potente, posee una profundidad reducida que limita su capacidad para captar texturas finas.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Por este motivo, realizamos la comparación de estos resultados con el del modelo fundacional (</w:t>
      </w:r>
      <w:r w:rsidDel="00000000" w:rsidR="00000000" w:rsidRPr="00000000">
        <w:rPr>
          <w:i w:val="1"/>
          <w:rtl w:val="0"/>
        </w:rPr>
        <w:t xml:space="preserve">ResNet 18 MONAI</w:t>
      </w:r>
      <w:r w:rsidDel="00000000" w:rsidR="00000000" w:rsidRPr="00000000">
        <w:rPr>
          <w:rtl w:val="0"/>
        </w:rPr>
        <w:t xml:space="preserve">) según lo mencionamos. En la aproximación experimental desarrollada, utilizando el mismo dataset obtuvimos una  precisión general de </w:t>
      </w:r>
      <w:r w:rsidDel="00000000" w:rsidR="00000000" w:rsidRPr="00000000">
        <w:rPr>
          <w:b w:val="1"/>
          <w:rtl w:val="0"/>
        </w:rPr>
        <w:t xml:space="preserve">90.6%. </w:t>
      </w:r>
      <w:r w:rsidDel="00000000" w:rsidR="00000000" w:rsidRPr="00000000">
        <w:rPr>
          <w:rtl w:val="0"/>
        </w:rPr>
        <w:t xml:space="preserve">En la tabla 1 se observan</w:t>
      </w:r>
      <w:r w:rsidDel="00000000" w:rsidR="00000000" w:rsidRPr="00000000">
        <w:rPr>
          <w:rtl w:val="0"/>
        </w:rPr>
        <w:t xml:space="preserve"> los resultados de los principales indicadores para este modelo.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 partir de los resultados presentados podemos concluir que el modelo </w:t>
      </w:r>
      <w:r w:rsidDel="00000000" w:rsidR="00000000" w:rsidRPr="00000000">
        <w:rPr>
          <w:i w:val="1"/>
          <w:rtl w:val="0"/>
        </w:rPr>
        <w:t xml:space="preserve">from scratch</w:t>
      </w:r>
      <w:r w:rsidDel="00000000" w:rsidR="00000000" w:rsidRPr="00000000">
        <w:rPr>
          <w:rtl w:val="0"/>
        </w:rPr>
        <w:t xml:space="preserve"> permite una acertada predicción de pacientes sanos maximizando los verdaderos positivos de esta clase. De otro lado, este modelo presenta una limitación en la clasificación del tipo de cáncer (especialmente entre gliomas y meningiomas),  lo cual hace que este modelo pueda ser utilizado para primeras fases de diagnóstico binario (paciente sano vs. paciente con cáncer)</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modelo fundacional presenta una alta precisión en las clases </w:t>
      </w:r>
      <w:r w:rsidDel="00000000" w:rsidR="00000000" w:rsidRPr="00000000">
        <w:rPr>
          <w:i w:val="1"/>
          <w:rtl w:val="0"/>
        </w:rPr>
        <w:t xml:space="preserve">glioma</w:t>
      </w:r>
      <w:r w:rsidDel="00000000" w:rsidR="00000000" w:rsidRPr="00000000">
        <w:rPr>
          <w:rtl w:val="0"/>
        </w:rPr>
        <w:t xml:space="preserve">, </w:t>
      </w:r>
      <w:r w:rsidDel="00000000" w:rsidR="00000000" w:rsidRPr="00000000">
        <w:rPr>
          <w:i w:val="1"/>
          <w:rtl w:val="0"/>
        </w:rPr>
        <w:t xml:space="preserve">pituitary </w:t>
      </w:r>
      <w:r w:rsidDel="00000000" w:rsidR="00000000" w:rsidRPr="00000000">
        <w:rPr>
          <w:rtl w:val="0"/>
        </w:rPr>
        <w:t xml:space="preserve">y </w:t>
      </w:r>
      <w:r w:rsidDel="00000000" w:rsidR="00000000" w:rsidRPr="00000000">
        <w:rPr>
          <w:i w:val="1"/>
          <w:rtl w:val="0"/>
        </w:rPr>
        <w:t xml:space="preserve">paciente sano </w:t>
      </w:r>
      <w:r w:rsidDel="00000000" w:rsidR="00000000" w:rsidRPr="00000000">
        <w:rPr>
          <w:rtl w:val="0"/>
        </w:rPr>
        <w:t xml:space="preserve">y sus métricas para las clases glioma y pituitary son mejores que el primer modelo evaluado; sin embargo, presentó un sobreajuste sobre la clase </w:t>
      </w:r>
      <w:r w:rsidDel="00000000" w:rsidR="00000000" w:rsidRPr="00000000">
        <w:rPr>
          <w:i w:val="1"/>
          <w:rtl w:val="0"/>
        </w:rPr>
        <w:t xml:space="preserve">meningioma</w:t>
      </w:r>
      <w:r w:rsidDel="00000000" w:rsidR="00000000" w:rsidRPr="00000000">
        <w:rPr>
          <w:rtl w:val="0"/>
        </w:rPr>
        <w:t xml:space="preserve">, el cual puede ser superado mediante el ajuste de los hiperparametros de </w:t>
      </w:r>
      <w:r w:rsidDel="00000000" w:rsidR="00000000" w:rsidRPr="00000000">
        <w:rPr>
          <w:i w:val="1"/>
          <w:rtl w:val="0"/>
        </w:rPr>
        <w:t xml:space="preserve">dropout</w:t>
      </w:r>
      <w:r w:rsidDel="00000000" w:rsidR="00000000" w:rsidRPr="00000000">
        <w:rPr>
          <w:rtl w:val="0"/>
        </w:rPr>
        <w:t xml:space="preserve">, L2 y </w:t>
      </w:r>
      <w:r w:rsidDel="00000000" w:rsidR="00000000" w:rsidRPr="00000000">
        <w:rPr>
          <w:i w:val="1"/>
          <w:rtl w:val="0"/>
        </w:rPr>
        <w:t xml:space="preserve">early stopping</w:t>
      </w:r>
      <w:r w:rsidDel="00000000" w:rsidR="00000000" w:rsidRPr="00000000">
        <w:rPr>
          <w:rtl w:val="0"/>
        </w:rPr>
        <w:t xml:space="preserve">, tal como fue realizado con el modelo </w:t>
      </w:r>
      <w:r w:rsidDel="00000000" w:rsidR="00000000" w:rsidRPr="00000000">
        <w:rPr>
          <w:i w:val="1"/>
          <w:rtl w:val="0"/>
        </w:rPr>
        <w:t xml:space="preserve">from scratch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Ajustes, </w:t>
      </w:r>
      <w:r w:rsidDel="00000000" w:rsidR="00000000" w:rsidRPr="00000000">
        <w:rPr>
          <w:rtl w:val="0"/>
        </w:rPr>
        <w:t xml:space="preserve">que como ya mencionamos no fue posible realizar por limitaciones computacionales.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conclusión, los modelos entrenados </w:t>
      </w:r>
      <w:r w:rsidDel="00000000" w:rsidR="00000000" w:rsidRPr="00000000">
        <w:rPr>
          <w:i w:val="1"/>
          <w:rtl w:val="0"/>
        </w:rPr>
        <w:t xml:space="preserve">from scratch</w:t>
      </w:r>
      <w:r w:rsidDel="00000000" w:rsidR="00000000" w:rsidRPr="00000000">
        <w:rPr>
          <w:rtl w:val="0"/>
        </w:rPr>
        <w:t xml:space="preserve"> resultan adecuados para tareas generales, ya que su bajo consumo computacional permite un ajuste flexible y rápido según las necesidades del proyecto. Por otro lado, los modelos fundacionales son más apropiados para aplicaciones especializadas, al contar con el respaldo de comunidades científicas y de investigación que han optimizado su desempeño en la interpretación de imágenes radiológicas.</w:t>
      </w:r>
    </w:p>
    <w:p w:rsidR="00000000" w:rsidDel="00000000" w:rsidP="00000000" w:rsidRDefault="00000000" w:rsidRPr="00000000" w14:paraId="00000056">
      <w:pPr>
        <w:pStyle w:val="Heading1"/>
        <w:rPr>
          <w:b w:val="1"/>
          <w:sz w:val="24"/>
          <w:szCs w:val="24"/>
        </w:rPr>
      </w:pPr>
      <w:r w:rsidDel="00000000" w:rsidR="00000000" w:rsidRPr="00000000">
        <w:rPr>
          <w:b w:val="1"/>
          <w:sz w:val="24"/>
          <w:szCs w:val="24"/>
          <w:rtl w:val="0"/>
        </w:rPr>
        <w:t xml:space="preserve">Referencias</w:t>
      </w:r>
    </w:p>
    <w:p w:rsidR="00000000" w:rsidDel="00000000" w:rsidP="00000000" w:rsidRDefault="00000000" w:rsidRPr="00000000" w14:paraId="00000057">
      <w:pPr>
        <w:numPr>
          <w:ilvl w:val="0"/>
          <w:numId w:val="1"/>
        </w:numPr>
        <w:spacing w:after="240" w:before="240" w:lineRule="auto"/>
        <w:ind w:left="360"/>
      </w:pPr>
      <w:r w:rsidDel="00000000" w:rsidR="00000000" w:rsidRPr="00000000">
        <w:rPr>
          <w:sz w:val="18"/>
          <w:szCs w:val="18"/>
          <w:rtl w:val="0"/>
        </w:rPr>
        <w:t xml:space="preserve">Project MONAI, “MONAI: Medical Open Network for AI, version 1.5.0,” </w:t>
      </w:r>
      <w:r w:rsidDel="00000000" w:rsidR="00000000" w:rsidRPr="00000000">
        <w:rPr>
          <w:i w:val="1"/>
          <w:sz w:val="18"/>
          <w:szCs w:val="18"/>
          <w:rtl w:val="0"/>
        </w:rPr>
        <w:t xml:space="preserve">Zenodo</w:t>
      </w:r>
      <w:r w:rsidDel="00000000" w:rsidR="00000000" w:rsidRPr="00000000">
        <w:rPr>
          <w:sz w:val="18"/>
          <w:szCs w:val="18"/>
          <w:rtl w:val="0"/>
        </w:rPr>
        <w:t xml:space="preserve">, Jun. 14, 2025. [Online]. Available:</w:t>
      </w:r>
      <w:hyperlink r:id="rId11">
        <w:r w:rsidDel="00000000" w:rsidR="00000000" w:rsidRPr="00000000">
          <w:rPr>
            <w:sz w:val="18"/>
            <w:szCs w:val="18"/>
            <w:rtl w:val="0"/>
          </w:rPr>
          <w:t xml:space="preserve"> </w:t>
        </w:r>
      </w:hyperlink>
      <w:hyperlink r:id="rId12">
        <w:r w:rsidDel="00000000" w:rsidR="00000000" w:rsidRPr="00000000">
          <w:rPr>
            <w:color w:val="1155cc"/>
            <w:sz w:val="18"/>
            <w:szCs w:val="18"/>
            <w:u w:val="single"/>
            <w:rtl w:val="0"/>
          </w:rPr>
          <w:t xml:space="preserve">https://github.com/Project-MONAI/MONAI</w:t>
        </w:r>
      </w:hyperlink>
      <w:r w:rsidDel="00000000" w:rsidR="00000000" w:rsidRPr="00000000">
        <w:rPr>
          <w:rtl w:val="0"/>
        </w:rPr>
      </w:r>
    </w:p>
    <w:p w:rsidR="00000000" w:rsidDel="00000000" w:rsidP="00000000" w:rsidRDefault="00000000" w:rsidRPr="00000000" w14:paraId="00000058">
      <w:pPr>
        <w:numPr>
          <w:ilvl w:val="0"/>
          <w:numId w:val="1"/>
        </w:numPr>
        <w:spacing w:after="240" w:before="240" w:lineRule="auto"/>
        <w:ind w:left="360"/>
      </w:pPr>
      <w:r w:rsidDel="00000000" w:rsidR="00000000" w:rsidRPr="00000000">
        <w:rPr>
          <w:sz w:val="18"/>
          <w:szCs w:val="18"/>
          <w:rtl w:val="0"/>
        </w:rPr>
        <w:t xml:space="preserve">[2] M. Nickparvar, “Brain Tumor MRI Dataset,” </w:t>
      </w:r>
      <w:r w:rsidDel="00000000" w:rsidR="00000000" w:rsidRPr="00000000">
        <w:rPr>
          <w:i w:val="1"/>
          <w:sz w:val="18"/>
          <w:szCs w:val="18"/>
          <w:rtl w:val="0"/>
        </w:rPr>
        <w:t xml:space="preserve">Kaggle</w:t>
      </w:r>
      <w:r w:rsidDel="00000000" w:rsidR="00000000" w:rsidRPr="00000000">
        <w:rPr>
          <w:sz w:val="18"/>
          <w:szCs w:val="18"/>
          <w:rtl w:val="0"/>
        </w:rPr>
        <w:t xml:space="preserve">, 2022. [Online]. Available:</w:t>
      </w:r>
      <w:hyperlink r:id="rId13">
        <w:r w:rsidDel="00000000" w:rsidR="00000000" w:rsidRPr="00000000">
          <w:rPr>
            <w:sz w:val="18"/>
            <w:szCs w:val="18"/>
            <w:rtl w:val="0"/>
          </w:rPr>
          <w:t xml:space="preserve"> </w:t>
        </w:r>
      </w:hyperlink>
      <w:hyperlink r:id="rId14">
        <w:r w:rsidDel="00000000" w:rsidR="00000000" w:rsidRPr="00000000">
          <w:rPr>
            <w:color w:val="1155cc"/>
            <w:sz w:val="18"/>
            <w:szCs w:val="18"/>
            <w:u w:val="single"/>
            <w:rtl w:val="0"/>
          </w:rPr>
          <w:t xml:space="preserve">https://www.kaggle.com/datasets/masoudnickparvar/brain-tumor-mri-dataset</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qFormat w:val="1"/>
    <w:pPr>
      <w:numPr>
        <w:ilvl w:val="6"/>
        <w:numId w:val="2"/>
      </w:numPr>
      <w:spacing w:after="60" w:before="240"/>
      <w:outlineLvl w:val="6"/>
    </w:pPr>
    <w:rPr>
      <w:sz w:val="16"/>
      <w:szCs w:val="16"/>
    </w:rPr>
  </w:style>
  <w:style w:type="paragraph" w:styleId="Heading8">
    <w:name w:val="heading 8"/>
    <w:basedOn w:val="Normal"/>
    <w:next w:val="Normal"/>
    <w:qFormat w:val="1"/>
    <w:pPr>
      <w:numPr>
        <w:ilvl w:val="7"/>
        <w:numId w:val="2"/>
      </w:numPr>
      <w:spacing w:after="60" w:before="240"/>
      <w:outlineLvl w:val="7"/>
    </w:pPr>
  </w:style>
  <w:style w:type="paragraph" w:styleId="Heading9">
    <w:name w:val="heading 9"/>
    <w:basedOn w:val="Normal"/>
    <w:next w:val="Normal"/>
    <w:qFormat w:val="1"/>
    <w:pPr>
      <w:numPr>
        <w:ilvl w:val="8"/>
        <w:numId w:val="2"/>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5z0" w:customStyle="1">
    <w:name w:val="WW8Num5z0"/>
  </w:style>
  <w:style w:type="character" w:styleId="WW8Num6z0" w:customStyle="1">
    <w:name w:val="WW8Num6z0"/>
  </w:style>
  <w:style w:type="character" w:styleId="WW8Num7z0" w:customStyle="1">
    <w:name w:val="WW8Num7z0"/>
  </w:style>
  <w:style w:type="character" w:styleId="WW8Num8z0" w:customStyle="1">
    <w:name w:val="WW8Num8z0"/>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style>
  <w:style w:type="character" w:styleId="WW8Num11z0" w:customStyle="1">
    <w:name w:val="WW8Num11z0"/>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style>
  <w:style w:type="character" w:styleId="WW8Num14z1" w:customStyle="1">
    <w:name w:val="WW8Num14z1"/>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15z0" w:customStyle="1">
    <w:name w:val="WW8Num15z0"/>
  </w:style>
  <w:style w:type="character" w:styleId="WW8Num16z0" w:customStyle="1">
    <w:name w:val="WW8Num16z0"/>
  </w:style>
  <w:style w:type="character" w:styleId="WW8Num17z0" w:customStyle="1">
    <w:name w:val="WW8Num17z0"/>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style>
  <w:style w:type="character" w:styleId="WW8Num19z0" w:customStyle="1">
    <w:name w:val="WW8Num19z0"/>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MemberType" w:customStyle="1">
    <w:name w:val="MemberType"/>
  </w:style>
  <w:style w:type="character" w:styleId="FootnoteCharacters" w:customStyle="1">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styleId="Heading1Char" w:customStyle="1">
    <w:name w:val="Heading 1 Char"/>
  </w:style>
  <w:style w:type="character" w:styleId="TextChar" w:customStyle="1">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customStyle="1">
    <w:name w:val="Endnote Characters"/>
  </w:style>
  <w:style w:type="paragraph" w:styleId="Heading" w:customStyle="1">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val="1"/>
    <w:rPr>
      <w:b w:val="1"/>
      <w:bCs w:val="1"/>
    </w:rPr>
  </w:style>
  <w:style w:type="paragraph" w:styleId="Index" w:customStyle="1">
    <w:name w:val="Index"/>
    <w:basedOn w:val="Normal"/>
    <w:pPr>
      <w:suppressLineNumbers w:val="1"/>
    </w:pPr>
    <w:rPr>
      <w:rFonts w:cs="Mangal"/>
    </w:rPr>
  </w:style>
  <w:style w:type="paragraph" w:styleId="Abstract" w:customStyle="1">
    <w:name w:val="Abstract"/>
    <w:basedOn w:val="Normal"/>
    <w:next w:val="Normal"/>
    <w:pPr>
      <w:spacing w:before="20"/>
      <w:ind w:firstLine="202"/>
      <w:jc w:val="both"/>
    </w:pPr>
  </w:style>
  <w:style w:type="paragraph" w:styleId="Authors" w:customStyle="1">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styleId="References" w:customStyle="1">
    <w:name w:val="References"/>
    <w:basedOn w:val="Normal"/>
    <w:pPr>
      <w:numPr>
        <w:numId w:val="3"/>
      </w:numPr>
      <w:jc w:val="both"/>
    </w:pPr>
    <w:rPr>
      <w:sz w:val="18"/>
      <w:szCs w:val="16"/>
    </w:rPr>
  </w:style>
  <w:style w:type="paragraph" w:styleId="IndexTerms" w:customStyle="1">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styleId="Text" w:customStyle="1">
    <w:name w:val="Text"/>
    <w:basedOn w:val="Normal"/>
    <w:pPr>
      <w:widowControl w:val="0"/>
      <w:ind w:firstLine="204"/>
      <w:jc w:val="both"/>
    </w:pPr>
  </w:style>
  <w:style w:type="paragraph" w:styleId="FigureCaption" w:customStyle="1">
    <w:name w:val="Figure Caption"/>
    <w:basedOn w:val="Normal"/>
    <w:pPr>
      <w:jc w:val="both"/>
    </w:pPr>
    <w:rPr>
      <w:sz w:val="18"/>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pPr>
      <w:numPr>
        <w:numId w:val="0"/>
      </w:numPr>
    </w:pP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styleId="FrameContents" w:customStyle="1">
    <w:name w:val="Frame Contents"/>
    <w:basedOn w:val="Normal"/>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
    <w:link w:val="BalloonTextChar"/>
    <w:uiPriority w:val="99"/>
    <w:semiHidden w:val="1"/>
    <w:unhideWhenUsed w:val="1"/>
    <w:rsid w:val="00E6288E"/>
    <w:rPr>
      <w:rFonts w:ascii="SimSun" w:eastAsia="SimSun"/>
      <w:sz w:val="18"/>
      <w:szCs w:val="18"/>
    </w:rPr>
  </w:style>
  <w:style w:type="character" w:styleId="BalloonTextChar" w:customStyle="1">
    <w:name w:val="Balloon Text Char"/>
    <w:link w:val="BalloonText"/>
    <w:uiPriority w:val="99"/>
    <w:semiHidden w:val="1"/>
    <w:rsid w:val="00E6288E"/>
    <w:rPr>
      <w:rFonts w:ascii="SimSun" w:eastAsia="SimSun"/>
      <w:sz w:val="18"/>
      <w:szCs w:val="18"/>
      <w:lang w:eastAsia="en-US"/>
    </w:rPr>
  </w:style>
  <w:style w:type="character" w:styleId="PlaceholderText">
    <w:name w:val="Placeholder Text"/>
    <w:basedOn w:val="DefaultParagraphFont"/>
    <w:uiPriority w:val="99"/>
    <w:unhideWhenUsed w:val="1"/>
    <w:rsid w:val="00D01EE8"/>
    <w:rPr>
      <w:color w:val="808080"/>
    </w:rPr>
  </w:style>
  <w:style w:type="character" w:styleId="UnresolvedMention">
    <w:name w:val="Unresolved Mention"/>
    <w:basedOn w:val="DefaultParagraphFont"/>
    <w:uiPriority w:val="99"/>
    <w:semiHidden w:val="1"/>
    <w:unhideWhenUsed w:val="1"/>
    <w:rsid w:val="002C1FC7"/>
    <w:rPr>
      <w:color w:val="605e5c"/>
      <w:shd w:color="auto" w:fill="e1dfdd" w:val="clear"/>
    </w:rPr>
  </w:style>
  <w:style w:type="paragraph" w:styleId="NormalWeb">
    <w:name w:val="Normal (Web)"/>
    <w:basedOn w:val="Normal"/>
    <w:uiPriority w:val="99"/>
    <w:semiHidden w:val="1"/>
    <w:unhideWhenUsed w:val="1"/>
    <w:rsid w:val="002C1FC7"/>
    <w:rPr>
      <w:sz w:val="24"/>
      <w:szCs w:val="24"/>
    </w:rPr>
  </w:style>
  <w:style w:type="paragraph" w:styleId="ListParagraph">
    <w:name w:val="List Paragraph"/>
    <w:basedOn w:val="Normal"/>
    <w:uiPriority w:val="72"/>
    <w:qFormat w:val="1"/>
    <w:rsid w:val="00DD5D50"/>
    <w:pPr>
      <w:ind w:left="720"/>
      <w:contextualSpacing w:val="1"/>
    </w:pPr>
  </w:style>
  <w:style w:type="table" w:styleId="TableGrid">
    <w:name w:val="Table Grid"/>
    <w:basedOn w:val="TableNormal"/>
    <w:uiPriority w:val="59"/>
    <w:rsid w:val="00D63E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Project-MONAI/MONAI" TargetMode="External"/><Relationship Id="rId10" Type="http://schemas.openxmlformats.org/officeDocument/2006/relationships/image" Target="media/image2.png"/><Relationship Id="rId13" Type="http://schemas.openxmlformats.org/officeDocument/2006/relationships/hyperlink" Target="https://www.kaggle.com/datasets/masoudnickparvar/brain-tumor-mri-dataset" TargetMode="External"/><Relationship Id="rId12" Type="http://schemas.openxmlformats.org/officeDocument/2006/relationships/hyperlink" Target="https://github.com/Project-MONAI/MON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hyperlink" Target="https://www.kaggle.com/datasets/masoudnickparvar/brain-tumor-mri-dataset"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hyperlink" Target="http://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9lI6cQQ0+qVcMPvKYHYl82AzA==">CgMxLjAaFAoBMBIPCg0IB0IJEgdHdW5nc3VoMg5oLjZidTVzN21xbTZlaDgAciExOXhzbXVkbG5jMmVYWTE3Vi1UODZ2ZU9YMnh4QmxtR0g=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2021-05-11T23:32:00Z</dcterms:created>
</cp:coreProperties>
</file>