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b w:val="1"/>
          <w:bCs w:val="1"/>
          <w:sz w:val="22"/>
          <w:szCs w:val="22"/>
        </w:rPr>
        <mc:AlternateContent>
          <mc:Choice Requires="wpg">
            <w:drawing>
              <wp:anchor allowOverlap="1" behindDoc="0" distB="0" distT="0" distL="114935" distR="114935" hidden="0" layoutInCell="1" locked="0" relativeHeight="0" simplePos="0">
                <wp:simplePos x="0" y="0"/>
                <wp:positionH relativeFrom="margin">
                  <wp:posOffset>928688</wp:posOffset>
                </wp:positionH>
                <wp:positionV relativeFrom="margin">
                  <wp:posOffset>-404812</wp:posOffset>
                </wp:positionV>
                <wp:extent cx="4552950" cy="676275"/>
                <wp:effectExtent b="0" l="0" r="0" t="0"/>
                <wp:wrapTopAndBottom distB="0" distT="0"/>
                <wp:docPr id="1127637950" name=""/>
                <a:graphic>
                  <a:graphicData uri="http://schemas.microsoft.com/office/word/2010/wordprocessingShape">
                    <wps:wsp>
                      <wps:cNvSpPr/>
                      <wps:cNvPr id="2" name="Shape 2"/>
                      <wps:spPr>
                        <a:xfrm>
                          <a:off x="2303100" y="3449550"/>
                          <a:ext cx="6085800" cy="660900"/>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1f1f1f"/>
                                <w:sz w:val="26"/>
                                <w:highlight w:val="white"/>
                                <w:vertAlign w:val="baseline"/>
                              </w:rPr>
                              <w:t xml:space="preserve">Clasificación de Sentimientos usando RNNs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1f1f1f"/>
                                <w:sz w:val="26"/>
                                <w:highlight w:val="white"/>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1f1f1f"/>
                                <w:sz w:val="26"/>
                                <w:highlight w:val="white"/>
                                <w:vertAlign w:val="baseline"/>
                              </w:rPr>
                            </w:r>
                            <w:r w:rsidDel="00000000" w:rsidR="00000000" w:rsidRPr="00000000">
                              <w:rPr>
                                <w:rFonts w:ascii="Arial" w:cs="Arial" w:eastAsia="Arial" w:hAnsi="Arial"/>
                                <w:b w:val="0"/>
                                <w:i w:val="0"/>
                                <w:smallCaps w:val="0"/>
                                <w:strike w:val="0"/>
                                <w:color w:val="000000"/>
                                <w:sz w:val="26"/>
                                <w:vertAlign w:val="baseline"/>
                              </w:rPr>
                              <w:t xml:space="preserve">Diego Burbano       Omar Diaz</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935" distR="114935" hidden="0" layoutInCell="1" locked="0" relativeHeight="0" simplePos="0">
                <wp:simplePos x="0" y="0"/>
                <wp:positionH relativeFrom="margin">
                  <wp:posOffset>928688</wp:posOffset>
                </wp:positionH>
                <wp:positionV relativeFrom="margin">
                  <wp:posOffset>-404812</wp:posOffset>
                </wp:positionV>
                <wp:extent cx="4552950" cy="676275"/>
                <wp:effectExtent b="0" l="0" r="0" t="0"/>
                <wp:wrapTopAndBottom distB="0" distT="0"/>
                <wp:docPr id="1127637950"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552950" cy="6762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La clasificación de secuencias de texto es una tarea fundamental en inteligencia artificial y un eje central del procesamiento de lenguaje natural (NLP). En los últimos años, los avances en modelos de aprendizaje profundo han permitido desarrollar sistemas capaces de analizar grandes volúmenes de información textual en múltiples aplicaciones y contextos. A pesar de ello, aún persisten desafíos importantes  relacionados con la captura de dependencias a largo plazo, generalización en contextos variados mientras que se mantiene una escala computacional razonable.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sz w:val="16"/>
          <w:szCs w:val="16"/>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Dentro de este panorama, los modelos recurrentes como LSTM y GRU han sido ampliamente estudiados para abordar tareas de análisis de sentimiento y clasificación de texto. Estudios “Attention is all you need” [1], han demostrado que estas arquitecturas pueden modelar relaciones temporales en secuencias, aunque presentan limitaciones frente a enfoques más recientes (como tecnologías de transformers con atención), como la necesidad de mayores tiempos de entrenamiento y su sensibilidad al tamaño del corpus. Esto hace que la comparación entre variantes de RNN siga siendo relevante, especialmente cuando se busca un equilibrio entre desempeño, simplicidad y eficiencia.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sz w:val="16"/>
          <w:szCs w:val="16"/>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En este informe se analiza el problema específico de clasificar reseñas de películas según su polaridad, evaluando el desempeño de dos arquitecturas recurrentes: una basada en LSTM y otra basada en GRU. Para ello, se construyó un modelo con embeddings entrenados desde cero y se implementó un modelo profundo con GRU para capturar la dinámica temporal de las reseñas. Este estudio aporta una comparación experimental directa entre LSTM y GRU usando un pipeline unificado y métricas homogéneas, proporcionando una línea base reproducible. </w:t>
      </w:r>
    </w:p>
    <w:p w:rsidR="00000000" w:rsidDel="00000000" w:rsidP="00000000" w:rsidRDefault="00000000" w:rsidRPr="00000000" w14:paraId="00000007">
      <w:pPr>
        <w:pStyle w:val="Heading1"/>
        <w:numPr>
          <w:ilvl w:val="0"/>
          <w:numId w:val="2"/>
        </w:numPr>
        <w:ind w:left="720" w:hanging="360"/>
        <w:rPr>
          <w:b w:val="1"/>
          <w:bCs w:val="1"/>
          <w:sz w:val="24"/>
          <w:szCs w:val="24"/>
        </w:rPr>
      </w:pPr>
      <w:r w:rsidDel="00000000" w:rsidR="00000000" w:rsidRPr="00000000">
        <w:rPr>
          <w:b w:val="1"/>
          <w:bCs w:val="1"/>
          <w:sz w:val="22"/>
          <w:szCs w:val="22"/>
          <w:rtl w:val="0"/>
        </w:rPr>
        <w:t xml:space="preserve">Metodología</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Para el desarrollo de los dos modelos, hemos utilizado el set de datos IMDB Movie Ratings Sentiment Analysis, del sitio </w:t>
      </w:r>
      <w:hyperlink r:id="rId8">
        <w:r w:rsidDel="00000000" w:rsidR="00000000" w:rsidRPr="00000000">
          <w:rPr>
            <w:color w:val="1155cc"/>
            <w:u w:val="single"/>
            <w:rtl w:val="0"/>
          </w:rPr>
          <w:t xml:space="preserve">kaggle.com</w:t>
        </w:r>
      </w:hyperlink>
      <w:r w:rsidDel="00000000" w:rsidR="00000000" w:rsidRPr="00000000">
        <w:rPr>
          <w:rtl w:val="0"/>
        </w:rPr>
        <w:t xml:space="preserve"> [2] consistente en 40.000 reseñas de películas etiquetadas como positivas o negativas. Este conjunto de datos fue procesado, realizando limpieza de texto, preprocesamiento lingüístico y generación de secuencias de embeddings, a fin de contar con un set de datos compatible con los modelos desarrollados.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sz w:val="16"/>
          <w:szCs w:val="16"/>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Para el entrenamiento y posterior validación y prueba de los modelos se dividió el set de datos en 80% para entrenamiento, 10% para validación y 10% para pruebas.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sz w:val="16"/>
          <w:szCs w:val="16"/>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b w:val="1"/>
          <w:bCs w:val="1"/>
        </w:rPr>
      </w:pPr>
      <w:r w:rsidDel="00000000" w:rsidR="00000000" w:rsidRPr="00000000">
        <w:rPr>
          <w:rtl w:val="0"/>
        </w:rPr>
        <w:t xml:space="preserve">El primer modelo presentado en la fig. 1, utiliza una arquitectura basada en dos capas </w:t>
      </w:r>
      <w:r w:rsidDel="00000000" w:rsidR="00000000" w:rsidRPr="00000000">
        <w:rPr>
          <w:i w:val="1"/>
          <w:iCs w:val="1"/>
          <w:rtl w:val="0"/>
        </w:rPr>
        <w:t xml:space="preserve">LSTM </w:t>
      </w:r>
      <w:r w:rsidDel="00000000" w:rsidR="00000000" w:rsidRPr="00000000">
        <w:rPr>
          <w:rtl w:val="0"/>
        </w:rPr>
        <w:t xml:space="preserve">apiladas (128 y 64 unidades), donde la primera procesa toda la secuencia y la segunda resume la información temporal en un vector final. Posteriormente se aplica una capa </w:t>
      </w:r>
      <w:r w:rsidDel="00000000" w:rsidR="00000000" w:rsidRPr="00000000">
        <w:rPr>
          <w:i w:val="1"/>
          <w:iCs w:val="1"/>
          <w:rtl w:val="0"/>
        </w:rPr>
        <w:t xml:space="preserve">Dropout </w:t>
      </w:r>
      <w:r w:rsidDel="00000000" w:rsidR="00000000" w:rsidRPr="00000000">
        <w:rPr>
          <w:rtl w:val="0"/>
        </w:rPr>
        <w:t xml:space="preserve">para regularización y una capa densa con activación sigmoide para la clasificación binaria del texto.</w:t>
      </w: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b w:val="1"/>
          <w:bCs w:val="1"/>
        </w:rPr>
        <w:drawing>
          <wp:inline distB="114300" distT="114300" distL="114300" distR="114300">
            <wp:extent cx="2406262" cy="1549487"/>
            <wp:effectExtent b="0" l="0" r="0" t="0"/>
            <wp:docPr id="112763795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406262" cy="154948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sz w:val="18"/>
          <w:szCs w:val="18"/>
          <w:rtl w:val="0"/>
        </w:rPr>
        <w:t xml:space="preserve">Fig 1. </w:t>
      </w:r>
      <w:r w:rsidDel="00000000" w:rsidR="00000000" w:rsidRPr="00000000">
        <w:rPr>
          <w:sz w:val="18"/>
          <w:szCs w:val="18"/>
          <w:rtl w:val="0"/>
        </w:rPr>
        <w:t xml:space="preserve">Figura que representa la arquitectura general de las RNN evaluadas.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Para el caso del segundo modelo, se trata de una RNN basada en dos capas </w:t>
      </w:r>
      <w:r w:rsidDel="00000000" w:rsidR="00000000" w:rsidRPr="00000000">
        <w:rPr>
          <w:i w:val="1"/>
          <w:iCs w:val="1"/>
          <w:rtl w:val="0"/>
        </w:rPr>
        <w:t xml:space="preserve">GRU</w:t>
      </w:r>
      <w:r w:rsidDel="00000000" w:rsidR="00000000" w:rsidRPr="00000000">
        <w:rPr>
          <w:rtl w:val="0"/>
        </w:rPr>
        <w:t xml:space="preserve">. La primera </w:t>
      </w:r>
      <w:r w:rsidDel="00000000" w:rsidR="00000000" w:rsidRPr="00000000">
        <w:rPr>
          <w:i w:val="1"/>
          <w:iCs w:val="1"/>
          <w:rtl w:val="0"/>
        </w:rPr>
        <w:t xml:space="preserve">GRU </w:t>
      </w:r>
      <w:r w:rsidDel="00000000" w:rsidR="00000000" w:rsidRPr="00000000">
        <w:rPr>
          <w:rtl w:val="0"/>
        </w:rPr>
        <w:t xml:space="preserve">recibe secuencias de 70 pasos con embeddings de 200 dimensiones y genera una representación temporal de 128 unidades, lo anterior debido a limitación computacional. Esta salida alimenta una segunda </w:t>
      </w:r>
      <w:r w:rsidDel="00000000" w:rsidR="00000000" w:rsidRPr="00000000">
        <w:rPr>
          <w:i w:val="1"/>
          <w:iCs w:val="1"/>
          <w:rtl w:val="0"/>
        </w:rPr>
        <w:t xml:space="preserve">GRU </w:t>
      </w:r>
      <w:r w:rsidDel="00000000" w:rsidR="00000000" w:rsidRPr="00000000">
        <w:rPr>
          <w:rtl w:val="0"/>
        </w:rPr>
        <w:t xml:space="preserve">de 64 unidades que resume toda la secuencia en un solo vector. Luego se aplica una capa </w:t>
      </w:r>
      <w:r w:rsidDel="00000000" w:rsidR="00000000" w:rsidRPr="00000000">
        <w:rPr>
          <w:i w:val="1"/>
          <w:iCs w:val="1"/>
          <w:rtl w:val="0"/>
        </w:rPr>
        <w:t xml:space="preserve">Dropout </w:t>
      </w:r>
      <w:r w:rsidDel="00000000" w:rsidR="00000000" w:rsidRPr="00000000">
        <w:rPr>
          <w:rtl w:val="0"/>
        </w:rPr>
        <w:t xml:space="preserve">para controlar el sobreajuste y una capa densa con activación sigmoide que realiza la clasificación binaria. Tasa de Aprendizaje 0.0001, Tamaño del Batch 64, y el Número de Épocas 20. La selección de estos hiper parámetros fue a través de validación cruzada.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sz w:val="16"/>
          <w:szCs w:val="16"/>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 Esta arquitectura permite capturar dependencias temporales relevantes en el texto y producir una predicción eficiente. Parámetros considerados, Dimensión de </w:t>
      </w:r>
      <w:r w:rsidDel="00000000" w:rsidR="00000000" w:rsidRPr="00000000">
        <w:rPr>
          <w:i w:val="1"/>
          <w:iCs w:val="1"/>
          <w:rtl w:val="0"/>
        </w:rPr>
        <w:t xml:space="preserve">Embedding =200, Tamaño Capa 1 = 128, Tamaño Capa 2, total parámetros LSTM = 217.856 y GRU 163.392, </w:t>
      </w:r>
      <w:r w:rsidDel="00000000" w:rsidR="00000000" w:rsidRPr="00000000">
        <w:rPr>
          <w:rtl w:val="0"/>
        </w:rPr>
        <w:t xml:space="preserve">con menos parámetros siendo más eficiente</w:t>
      </w:r>
      <w:r w:rsidDel="00000000" w:rsidR="00000000" w:rsidRPr="00000000">
        <w:rPr>
          <w:i w:val="1"/>
          <w:i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2">
      <w:pPr>
        <w:ind w:left="202" w:firstLine="0"/>
        <w:rPr>
          <w:sz w:val="16"/>
          <w:szCs w:val="16"/>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Con el propósito de contar con un modelo eficiente que realice una clasificación efectiva de las reseñas, se hizo necesario hacer un ajuste de hiper parámetros. Para el modelo LSTM se realizó un ajuste de la tasa de aprendizaje y el dropout, y como complemento se agregó una segunda capa que permitió controlar el sobreajuste.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sz w:val="16"/>
          <w:szCs w:val="16"/>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Con el fin de comparar la celda recurrente de los dos modelos, se mantuvo la misma arquitectura para el modelo GRU, como se aprecia en la figura 1, ésto para realizar un análisis directo de desempeño de los dos tipos de modelos, maximizando la claridad en el análisis, minimizando tiempos y obteniendo resultados comparables que se analizarán en la siguiente sección.</w:t>
      </w:r>
    </w:p>
    <w:p w:rsidR="00000000" w:rsidDel="00000000" w:rsidP="00000000" w:rsidRDefault="00000000" w:rsidRPr="00000000" w14:paraId="00000016">
      <w:pPr>
        <w:pStyle w:val="Heading1"/>
        <w:numPr>
          <w:ilvl w:val="0"/>
          <w:numId w:val="2"/>
        </w:numPr>
        <w:ind w:left="720" w:hanging="360"/>
        <w:rPr>
          <w:b w:val="1"/>
          <w:bCs w:val="1"/>
        </w:rPr>
      </w:pPr>
      <w:r w:rsidDel="00000000" w:rsidR="00000000" w:rsidRPr="00000000">
        <w:rPr>
          <w:b w:val="1"/>
          <w:bCs w:val="1"/>
          <w:sz w:val="22"/>
          <w:szCs w:val="22"/>
          <w:rtl w:val="0"/>
        </w:rPr>
        <w:t xml:space="preserve">Resultados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Para la generación de los resultados finales se utilizó un conjunto de evaluación (</w:t>
      </w:r>
      <w:r w:rsidDel="00000000" w:rsidR="00000000" w:rsidRPr="00000000">
        <w:rPr>
          <w:i w:val="1"/>
          <w:iCs w:val="1"/>
          <w:rtl w:val="0"/>
        </w:rPr>
        <w:t xml:space="preserve">Test set</w:t>
      </w:r>
      <w:r w:rsidDel="00000000" w:rsidR="00000000" w:rsidRPr="00000000">
        <w:rPr>
          <w:rtl w:val="0"/>
        </w:rPr>
        <w:t xml:space="preserve">), correspondiente al 10% del total de los datos. Dado que como lo mencionamos realizamos una aproximación experimental para los dos modelos. El primero  alcanzó una precisión general (accuracy) por encima del 90% con un alto sobre ajuste, a diferencia del modelo GRU con un 86% pero mucho más estable y con una buena generalización el cual es considerado más adecuado y consistente por su naturaleza de un uso menor de parámetros. En las gráficas se presentan los resultados de los indicadores de entrenamiento y validación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i w:val="1"/>
          <w:iCs w:val="1"/>
          <w:sz w:val="18"/>
          <w:szCs w:val="18"/>
        </w:rPr>
      </w:pPr>
      <w:r w:rsidDel="00000000" w:rsidR="00000000" w:rsidRPr="00000000">
        <w:rPr>
          <w:b w:val="1"/>
          <w:bCs w:val="1"/>
          <w:sz w:val="18"/>
          <w:szCs w:val="18"/>
          <w:rtl w:val="0"/>
        </w:rPr>
        <w:t xml:space="preserve">Fig 2</w:t>
      </w:r>
      <w:r w:rsidDel="00000000" w:rsidR="00000000" w:rsidRPr="00000000">
        <w:rPr>
          <w:sz w:val="18"/>
          <w:szCs w:val="18"/>
          <w:rtl w:val="0"/>
        </w:rPr>
        <w:t xml:space="preserve">. Comparación de resultados de los modelos </w:t>
      </w:r>
      <w:r w:rsidDel="00000000" w:rsidR="00000000" w:rsidRPr="00000000">
        <w:rPr>
          <w:i w:val="1"/>
          <w:iCs w:val="1"/>
          <w:sz w:val="18"/>
          <w:szCs w:val="18"/>
          <w:rtl w:val="0"/>
        </w:rPr>
        <w:t xml:space="preserve">LSTM (izquierda)</w:t>
      </w:r>
      <w:r w:rsidDel="00000000" w:rsidR="00000000" w:rsidRPr="00000000">
        <w:rPr>
          <w:sz w:val="18"/>
          <w:szCs w:val="18"/>
          <w:rtl w:val="0"/>
        </w:rPr>
        <w:t xml:space="preserve"> y </w:t>
      </w:r>
      <w:r w:rsidDel="00000000" w:rsidR="00000000" w:rsidRPr="00000000">
        <w:rPr>
          <w:i w:val="1"/>
          <w:iCs w:val="1"/>
          <w:sz w:val="18"/>
          <w:szCs w:val="18"/>
          <w:rtl w:val="0"/>
        </w:rPr>
        <w:t xml:space="preserve">GRU (derecha)</w:t>
      </w:r>
    </w:p>
    <w:p w:rsidR="00000000" w:rsidDel="00000000" w:rsidP="00000000" w:rsidRDefault="00000000" w:rsidRPr="00000000" w14:paraId="00000019">
      <w:pPr>
        <w:widowControl w:val="0"/>
        <w:ind w:firstLine="204"/>
        <w:rPr>
          <w:i w:val="1"/>
          <w:iCs w:val="1"/>
          <w:sz w:val="18"/>
          <w:szCs w:val="18"/>
        </w:rPr>
      </w:pPr>
      <w:r w:rsidDel="00000000" w:rsidR="00000000" w:rsidRPr="00000000">
        <w:rPr>
          <w:i w:val="1"/>
          <w:iCs w:val="1"/>
          <w:sz w:val="18"/>
          <w:szCs w:val="18"/>
        </w:rPr>
        <w:drawing>
          <wp:inline distB="114300" distT="114300" distL="114300" distR="114300">
            <wp:extent cx="1381125" cy="838727"/>
            <wp:effectExtent b="0" l="0" r="0" t="0"/>
            <wp:docPr id="112763795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81125" cy="838727"/>
                    </a:xfrm>
                    <a:prstGeom prst="rect"/>
                    <a:ln/>
                  </pic:spPr>
                </pic:pic>
              </a:graphicData>
            </a:graphic>
          </wp:inline>
        </w:drawing>
      </w:r>
      <w:r w:rsidDel="00000000" w:rsidR="00000000" w:rsidRPr="00000000">
        <w:rPr>
          <w:i w:val="1"/>
          <w:iCs w:val="1"/>
          <w:sz w:val="18"/>
          <w:szCs w:val="18"/>
        </w:rPr>
        <w:drawing>
          <wp:inline distB="114300" distT="114300" distL="114300" distR="114300">
            <wp:extent cx="1366838" cy="866775"/>
            <wp:effectExtent b="0" l="0" r="0" t="0"/>
            <wp:docPr id="112763795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366838"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widowControl w:val="0"/>
        <w:ind w:firstLine="204"/>
        <w:jc w:val="both"/>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Considerando que el modelo GRU es más estable y generaliza mejor analizaremos sus métricas - ver Tabla 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b w:val="1"/>
          <w:bCs w:val="1"/>
          <w:sz w:val="18"/>
          <w:szCs w:val="18"/>
          <w:rtl w:val="0"/>
        </w:rPr>
        <w:t xml:space="preserve">Tabla 1</w:t>
      </w:r>
      <w:r w:rsidDel="00000000" w:rsidR="00000000" w:rsidRPr="00000000">
        <w:rPr>
          <w:sz w:val="18"/>
          <w:szCs w:val="18"/>
          <w:rtl w:val="0"/>
        </w:rPr>
        <w:t xml:space="preserve">. Comparación de resultados del modelo </w:t>
      </w:r>
      <w:r w:rsidDel="00000000" w:rsidR="00000000" w:rsidRPr="00000000">
        <w:rPr>
          <w:i w:val="1"/>
          <w:iCs w:val="1"/>
          <w:sz w:val="18"/>
          <w:szCs w:val="18"/>
          <w:rtl w:val="0"/>
        </w:rPr>
        <w:t xml:space="preserve">GRU</w:t>
      </w:r>
      <w:r w:rsidDel="00000000" w:rsidR="00000000" w:rsidRPr="00000000">
        <w:rPr>
          <w:sz w:val="18"/>
          <w:szCs w:val="18"/>
          <w:rtl w:val="0"/>
        </w:rPr>
        <w:t xml:space="preserve"> utilizando el set de datos de prueba (Test)</w:t>
      </w:r>
      <w:r w:rsidDel="00000000" w:rsidR="00000000" w:rsidRPr="00000000">
        <w:rPr>
          <w:rtl w:val="0"/>
        </w:rPr>
        <w:t xml:space="preserve">.</w:t>
      </w:r>
    </w:p>
    <w:p w:rsidR="00000000" w:rsidDel="00000000" w:rsidP="00000000" w:rsidRDefault="00000000" w:rsidRPr="00000000" w14:paraId="0000001D">
      <w:pPr>
        <w:widowControl w:val="0"/>
        <w:ind w:firstLine="204"/>
        <w:rPr>
          <w:sz w:val="18"/>
          <w:szCs w:val="18"/>
        </w:rPr>
      </w:pPr>
      <w:r w:rsidDel="00000000" w:rsidR="00000000" w:rsidRPr="00000000">
        <w:rPr>
          <w:rtl w:val="0"/>
        </w:rPr>
      </w:r>
    </w:p>
    <w:tbl>
      <w:tblPr>
        <w:tblStyle w:val="Table1"/>
        <w:tblW w:w="45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1725"/>
        <w:gridCol w:w="1125"/>
        <w:gridCol w:w="1110"/>
        <w:tblGridChange w:id="0">
          <w:tblGrid>
            <w:gridCol w:w="615"/>
            <w:gridCol w:w="1725"/>
            <w:gridCol w:w="1125"/>
            <w:gridCol w:w="1110"/>
          </w:tblGrid>
        </w:tblGridChange>
      </w:tblGrid>
      <w:tr>
        <w:trPr>
          <w:cantSplit w:val="0"/>
          <w:trHeight w:val="168.984375" w:hRule="atLeast"/>
          <w:tblHeader w:val="0"/>
        </w:trPr>
        <w:tc>
          <w:tcPr/>
          <w:p w:rsidR="00000000" w:rsidDel="00000000" w:rsidP="00000000" w:rsidRDefault="00000000" w:rsidRPr="00000000" w14:paraId="0000001E">
            <w:pPr>
              <w:widowControl w:val="0"/>
              <w:jc w:val="center"/>
              <w:rPr>
                <w:b w:val="1"/>
                <w:bCs w:val="1"/>
                <w:sz w:val="16"/>
                <w:szCs w:val="16"/>
              </w:rPr>
            </w:pPr>
            <w:r w:rsidDel="00000000" w:rsidR="00000000" w:rsidRPr="00000000">
              <w:rPr>
                <w:rtl w:val="0"/>
              </w:rPr>
            </w:r>
          </w:p>
        </w:tc>
        <w:tc>
          <w:tcPr/>
          <w:p w:rsidR="00000000" w:rsidDel="00000000" w:rsidP="00000000" w:rsidRDefault="00000000" w:rsidRPr="00000000" w14:paraId="0000001F">
            <w:pPr>
              <w:widowControl w:val="0"/>
              <w:jc w:val="center"/>
              <w:rPr>
                <w:b w:val="1"/>
                <w:bCs w:val="1"/>
                <w:sz w:val="16"/>
                <w:szCs w:val="16"/>
              </w:rPr>
            </w:pPr>
            <w:r w:rsidDel="00000000" w:rsidR="00000000" w:rsidRPr="00000000">
              <w:rPr>
                <w:b w:val="1"/>
                <w:bCs w:val="1"/>
                <w:sz w:val="16"/>
                <w:szCs w:val="16"/>
                <w:rtl w:val="0"/>
              </w:rPr>
              <w:t xml:space="preserve">Clases vs. Resultados</w:t>
            </w:r>
          </w:p>
        </w:tc>
        <w:tc>
          <w:tcPr/>
          <w:p w:rsidR="00000000" w:rsidDel="00000000" w:rsidP="00000000" w:rsidRDefault="00000000" w:rsidRPr="00000000" w14:paraId="00000020">
            <w:pPr>
              <w:widowControl w:val="0"/>
              <w:jc w:val="center"/>
              <w:rPr>
                <w:b w:val="1"/>
                <w:bCs w:val="1"/>
                <w:sz w:val="16"/>
                <w:szCs w:val="16"/>
              </w:rPr>
            </w:pPr>
            <w:r w:rsidDel="00000000" w:rsidR="00000000" w:rsidRPr="00000000">
              <w:rPr>
                <w:b w:val="1"/>
                <w:bCs w:val="1"/>
                <w:sz w:val="16"/>
                <w:szCs w:val="16"/>
                <w:rtl w:val="0"/>
              </w:rPr>
              <w:t xml:space="preserve">Positiva</w:t>
            </w:r>
          </w:p>
        </w:tc>
        <w:tc>
          <w:tcPr/>
          <w:p w:rsidR="00000000" w:rsidDel="00000000" w:rsidP="00000000" w:rsidRDefault="00000000" w:rsidRPr="00000000" w14:paraId="00000021">
            <w:pPr>
              <w:widowControl w:val="0"/>
              <w:jc w:val="center"/>
              <w:rPr>
                <w:b w:val="1"/>
                <w:bCs w:val="1"/>
                <w:sz w:val="16"/>
                <w:szCs w:val="16"/>
              </w:rPr>
            </w:pPr>
            <w:r w:rsidDel="00000000" w:rsidR="00000000" w:rsidRPr="00000000">
              <w:rPr>
                <w:b w:val="1"/>
                <w:bCs w:val="1"/>
                <w:sz w:val="16"/>
                <w:szCs w:val="16"/>
                <w:rtl w:val="0"/>
              </w:rPr>
              <w:t xml:space="preserve">Negativo</w:t>
            </w:r>
          </w:p>
        </w:tc>
      </w:tr>
      <w:tr>
        <w:trPr>
          <w:cantSplit w:val="0"/>
          <w:trHeight w:val="168.984375" w:hRule="atLeast"/>
          <w:tblHeader w:val="0"/>
        </w:trPr>
        <w:tc>
          <w:tcPr>
            <w:vMerge w:val="restart"/>
          </w:tcPr>
          <w:p w:rsidR="00000000" w:rsidDel="00000000" w:rsidP="00000000" w:rsidRDefault="00000000" w:rsidRPr="00000000" w14:paraId="00000022">
            <w:pPr>
              <w:widowControl w:val="0"/>
              <w:jc w:val="center"/>
              <w:rPr>
                <w:b w:val="1"/>
                <w:bCs w:val="1"/>
                <w:sz w:val="16"/>
                <w:szCs w:val="16"/>
              </w:rPr>
            </w:pPr>
            <w:r w:rsidDel="00000000" w:rsidR="00000000" w:rsidRPr="00000000">
              <w:rPr>
                <w:b w:val="1"/>
                <w:bCs w:val="1"/>
                <w:sz w:val="16"/>
                <w:szCs w:val="16"/>
                <w:rtl w:val="0"/>
              </w:rPr>
              <w:t xml:space="preserve">GRU</w:t>
            </w:r>
          </w:p>
        </w:tc>
        <w:tc>
          <w:tcPr/>
          <w:p w:rsidR="00000000" w:rsidDel="00000000" w:rsidP="00000000" w:rsidRDefault="00000000" w:rsidRPr="00000000" w14:paraId="00000023">
            <w:pPr>
              <w:widowControl w:val="0"/>
              <w:jc w:val="center"/>
              <w:rPr>
                <w:b w:val="1"/>
                <w:bCs w:val="1"/>
                <w:sz w:val="16"/>
                <w:szCs w:val="16"/>
              </w:rPr>
            </w:pPr>
            <w:r w:rsidDel="00000000" w:rsidR="00000000" w:rsidRPr="00000000">
              <w:rPr>
                <w:b w:val="1"/>
                <w:bCs w:val="1"/>
                <w:sz w:val="16"/>
                <w:szCs w:val="16"/>
                <w:rtl w:val="0"/>
              </w:rPr>
              <w:t xml:space="preserve">Precisión</w:t>
            </w:r>
          </w:p>
        </w:tc>
        <w:tc>
          <w:tcPr/>
          <w:p w:rsidR="00000000" w:rsidDel="00000000" w:rsidP="00000000" w:rsidRDefault="00000000" w:rsidRPr="00000000" w14:paraId="00000024">
            <w:pPr>
              <w:widowControl w:val="0"/>
              <w:jc w:val="center"/>
              <w:rPr>
                <w:sz w:val="16"/>
                <w:szCs w:val="16"/>
              </w:rPr>
            </w:pPr>
            <w:r w:rsidDel="00000000" w:rsidR="00000000" w:rsidRPr="00000000">
              <w:rPr>
                <w:sz w:val="16"/>
                <w:szCs w:val="16"/>
                <w:rtl w:val="0"/>
              </w:rPr>
              <w:t xml:space="preserve">0.86</w:t>
            </w:r>
          </w:p>
        </w:tc>
        <w:tc>
          <w:tcPr/>
          <w:p w:rsidR="00000000" w:rsidDel="00000000" w:rsidP="00000000" w:rsidRDefault="00000000" w:rsidRPr="00000000" w14:paraId="00000025">
            <w:pPr>
              <w:widowControl w:val="0"/>
              <w:jc w:val="center"/>
              <w:rPr>
                <w:sz w:val="16"/>
                <w:szCs w:val="16"/>
              </w:rPr>
            </w:pPr>
            <w:r w:rsidDel="00000000" w:rsidR="00000000" w:rsidRPr="00000000">
              <w:rPr>
                <w:sz w:val="16"/>
                <w:szCs w:val="16"/>
                <w:rtl w:val="0"/>
              </w:rPr>
              <w:t xml:space="preserve">0.88</w:t>
            </w:r>
          </w:p>
        </w:tc>
      </w:tr>
      <w:tr>
        <w:trPr>
          <w:cantSplit w:val="0"/>
          <w:trHeight w:val="168.984375" w:hRule="atLeast"/>
          <w:tblHeader w:val="0"/>
        </w:trPr>
        <w:tc>
          <w:tcPr>
            <w:vMerge w:val="continue"/>
          </w:tcPr>
          <w:p w:rsidR="00000000" w:rsidDel="00000000" w:rsidP="00000000" w:rsidRDefault="00000000" w:rsidRPr="00000000" w14:paraId="00000026">
            <w:pPr>
              <w:widowControl w:val="0"/>
              <w:spacing w:line="276" w:lineRule="auto"/>
              <w:rPr>
                <w:sz w:val="16"/>
                <w:szCs w:val="16"/>
              </w:rPr>
            </w:pPr>
            <w:r w:rsidDel="00000000" w:rsidR="00000000" w:rsidRPr="00000000">
              <w:rPr>
                <w:rtl w:val="0"/>
              </w:rPr>
            </w:r>
          </w:p>
        </w:tc>
        <w:tc>
          <w:tcPr/>
          <w:p w:rsidR="00000000" w:rsidDel="00000000" w:rsidP="00000000" w:rsidRDefault="00000000" w:rsidRPr="00000000" w14:paraId="00000027">
            <w:pPr>
              <w:widowControl w:val="0"/>
              <w:jc w:val="center"/>
              <w:rPr>
                <w:b w:val="1"/>
                <w:bCs w:val="1"/>
                <w:sz w:val="16"/>
                <w:szCs w:val="16"/>
              </w:rPr>
            </w:pPr>
            <w:r w:rsidDel="00000000" w:rsidR="00000000" w:rsidRPr="00000000">
              <w:rPr>
                <w:b w:val="1"/>
                <w:bCs w:val="1"/>
                <w:sz w:val="16"/>
                <w:szCs w:val="16"/>
                <w:rtl w:val="0"/>
              </w:rPr>
              <w:t xml:space="preserve">Recall</w:t>
            </w:r>
          </w:p>
        </w:tc>
        <w:tc>
          <w:tcPr/>
          <w:p w:rsidR="00000000" w:rsidDel="00000000" w:rsidP="00000000" w:rsidRDefault="00000000" w:rsidRPr="00000000" w14:paraId="00000028">
            <w:pPr>
              <w:widowControl w:val="0"/>
              <w:jc w:val="center"/>
              <w:rPr>
                <w:sz w:val="16"/>
                <w:szCs w:val="16"/>
              </w:rPr>
            </w:pPr>
            <w:r w:rsidDel="00000000" w:rsidR="00000000" w:rsidRPr="00000000">
              <w:rPr>
                <w:sz w:val="16"/>
                <w:szCs w:val="16"/>
                <w:rtl w:val="0"/>
              </w:rPr>
              <w:t xml:space="preserve">0.88</w:t>
            </w:r>
          </w:p>
        </w:tc>
        <w:tc>
          <w:tcPr/>
          <w:p w:rsidR="00000000" w:rsidDel="00000000" w:rsidP="00000000" w:rsidRDefault="00000000" w:rsidRPr="00000000" w14:paraId="00000029">
            <w:pPr>
              <w:widowControl w:val="0"/>
              <w:jc w:val="center"/>
              <w:rPr>
                <w:sz w:val="16"/>
                <w:szCs w:val="16"/>
              </w:rPr>
            </w:pPr>
            <w:r w:rsidDel="00000000" w:rsidR="00000000" w:rsidRPr="00000000">
              <w:rPr>
                <w:sz w:val="16"/>
                <w:szCs w:val="16"/>
                <w:rtl w:val="0"/>
              </w:rPr>
              <w:t xml:space="preserve">0.85</w:t>
            </w:r>
          </w:p>
        </w:tc>
      </w:tr>
      <w:tr>
        <w:trPr>
          <w:cantSplit w:val="0"/>
          <w:trHeight w:val="168.984375" w:hRule="atLeast"/>
          <w:tblHeader w:val="0"/>
        </w:trPr>
        <w:tc>
          <w:tcPr>
            <w:vMerge w:val="continue"/>
          </w:tcPr>
          <w:p w:rsidR="00000000" w:rsidDel="00000000" w:rsidP="00000000" w:rsidRDefault="00000000" w:rsidRPr="00000000" w14:paraId="0000002A">
            <w:pPr>
              <w:widowControl w:val="0"/>
              <w:spacing w:line="276" w:lineRule="auto"/>
              <w:rPr>
                <w:sz w:val="16"/>
                <w:szCs w:val="16"/>
              </w:rPr>
            </w:pPr>
            <w:r w:rsidDel="00000000" w:rsidR="00000000" w:rsidRPr="00000000">
              <w:rPr>
                <w:rtl w:val="0"/>
              </w:rPr>
            </w:r>
          </w:p>
        </w:tc>
        <w:tc>
          <w:tcPr/>
          <w:p w:rsidR="00000000" w:rsidDel="00000000" w:rsidP="00000000" w:rsidRDefault="00000000" w:rsidRPr="00000000" w14:paraId="0000002B">
            <w:pPr>
              <w:widowControl w:val="0"/>
              <w:jc w:val="center"/>
              <w:rPr>
                <w:b w:val="1"/>
                <w:bCs w:val="1"/>
                <w:sz w:val="16"/>
                <w:szCs w:val="16"/>
              </w:rPr>
            </w:pPr>
            <w:r w:rsidDel="00000000" w:rsidR="00000000" w:rsidRPr="00000000">
              <w:rPr>
                <w:b w:val="1"/>
                <w:bCs w:val="1"/>
                <w:sz w:val="16"/>
                <w:szCs w:val="16"/>
                <w:rtl w:val="0"/>
              </w:rPr>
              <w:t xml:space="preserve">F1 - score</w:t>
            </w:r>
          </w:p>
        </w:tc>
        <w:tc>
          <w:tcPr/>
          <w:p w:rsidR="00000000" w:rsidDel="00000000" w:rsidP="00000000" w:rsidRDefault="00000000" w:rsidRPr="00000000" w14:paraId="0000002C">
            <w:pPr>
              <w:widowControl w:val="0"/>
              <w:jc w:val="center"/>
              <w:rPr>
                <w:sz w:val="16"/>
                <w:szCs w:val="16"/>
              </w:rPr>
            </w:pPr>
            <w:r w:rsidDel="00000000" w:rsidR="00000000" w:rsidRPr="00000000">
              <w:rPr>
                <w:sz w:val="16"/>
                <w:szCs w:val="16"/>
                <w:rtl w:val="0"/>
              </w:rPr>
              <w:t xml:space="preserve">0.87</w:t>
            </w:r>
          </w:p>
        </w:tc>
        <w:tc>
          <w:tcPr/>
          <w:p w:rsidR="00000000" w:rsidDel="00000000" w:rsidP="00000000" w:rsidRDefault="00000000" w:rsidRPr="00000000" w14:paraId="0000002D">
            <w:pPr>
              <w:widowControl w:val="0"/>
              <w:jc w:val="center"/>
              <w:rPr>
                <w:sz w:val="16"/>
                <w:szCs w:val="16"/>
              </w:rPr>
            </w:pPr>
            <w:r w:rsidDel="00000000" w:rsidR="00000000" w:rsidRPr="00000000">
              <w:rPr>
                <w:sz w:val="16"/>
                <w:szCs w:val="16"/>
                <w:rtl w:val="0"/>
              </w:rPr>
              <w:t xml:space="preserve">0.87</w:t>
            </w:r>
          </w:p>
        </w:tc>
      </w:tr>
    </w:tbl>
    <w:p w:rsidR="00000000" w:rsidDel="00000000" w:rsidP="00000000" w:rsidRDefault="00000000" w:rsidRPr="00000000" w14:paraId="0000002E">
      <w:pPr>
        <w:widowControl w:val="0"/>
        <w:ind w:firstLine="204"/>
        <w:jc w:val="both"/>
        <w:rPr/>
      </w:pPr>
      <w:r w:rsidDel="00000000" w:rsidR="00000000" w:rsidRPr="00000000">
        <w:rPr>
          <w:rtl w:val="0"/>
        </w:rPr>
      </w:r>
    </w:p>
    <w:p w:rsidR="00000000" w:rsidDel="00000000" w:rsidP="00000000" w:rsidRDefault="00000000" w:rsidRPr="00000000" w14:paraId="0000002F">
      <w:pPr>
        <w:jc w:val="center"/>
        <w:rPr>
          <w:color w:val="1f1f1f"/>
          <w:sz w:val="19"/>
          <w:szCs w:val="19"/>
          <w:highlight w:val="white"/>
        </w:rPr>
      </w:pPr>
      <w:r w:rsidDel="00000000" w:rsidR="00000000" w:rsidRPr="00000000">
        <w:rPr>
          <w:color w:val="1f1f1f"/>
          <w:sz w:val="19"/>
          <w:szCs w:val="19"/>
          <w:highlight w:val="white"/>
        </w:rPr>
        <w:drawing>
          <wp:inline distB="114300" distT="114300" distL="114300" distR="114300">
            <wp:extent cx="1135696" cy="1002085"/>
            <wp:effectExtent b="0" l="0" r="0" t="0"/>
            <wp:docPr id="112763795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135696" cy="100208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sz w:val="18"/>
          <w:szCs w:val="18"/>
        </w:rPr>
      </w:pPr>
      <w:r w:rsidDel="00000000" w:rsidR="00000000" w:rsidRPr="00000000">
        <w:rPr>
          <w:b w:val="1"/>
          <w:bCs w:val="1"/>
          <w:sz w:val="18"/>
          <w:szCs w:val="18"/>
          <w:rtl w:val="0"/>
        </w:rPr>
        <w:t xml:space="preserve">Fig 3 </w:t>
      </w:r>
      <w:r w:rsidDel="00000000" w:rsidR="00000000" w:rsidRPr="00000000">
        <w:rPr>
          <w:sz w:val="18"/>
          <w:szCs w:val="18"/>
          <w:rtl w:val="0"/>
        </w:rPr>
        <w:t xml:space="preserve"> Matriz de confusión obtenida sobre el conjunto de prueba (</w:t>
      </w:r>
      <w:r w:rsidDel="00000000" w:rsidR="00000000" w:rsidRPr="00000000">
        <w:rPr>
          <w:i w:val="1"/>
          <w:iCs w:val="1"/>
          <w:sz w:val="18"/>
          <w:szCs w:val="18"/>
          <w:rtl w:val="0"/>
        </w:rPr>
        <w:t xml:space="preserve">Test set</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b w:val="1"/>
          <w:bCs w:val="1"/>
          <w:sz w:val="24"/>
          <w:szCs w:val="24"/>
        </w:rPr>
      </w:pPr>
      <w:r w:rsidDel="00000000" w:rsidR="00000000" w:rsidRPr="00000000">
        <w:rPr>
          <w:rtl w:val="0"/>
        </w:rPr>
        <w:t xml:space="preserve">Se destaca dentro de los resultados la alta sensibilidad (</w:t>
      </w:r>
      <w:r w:rsidDel="00000000" w:rsidR="00000000" w:rsidRPr="00000000">
        <w:rPr>
          <w:i w:val="1"/>
          <w:iCs w:val="1"/>
          <w:rtl w:val="0"/>
        </w:rPr>
        <w:t xml:space="preserve">recall</w:t>
      </w:r>
      <w:r w:rsidDel="00000000" w:rsidR="00000000" w:rsidRPr="00000000">
        <w:rPr>
          <w:rtl w:val="0"/>
        </w:rPr>
        <w:t xml:space="preserve">) en la clasificación de comentarios positivos, con un porcentaje de 88%. Así mismo, según las métricas de </w:t>
      </w:r>
      <w:r w:rsidDel="00000000" w:rsidR="00000000" w:rsidRPr="00000000">
        <w:rPr>
          <w:i w:val="1"/>
          <w:iCs w:val="1"/>
          <w:rtl w:val="0"/>
        </w:rPr>
        <w:t xml:space="preserve">F1-score</w:t>
      </w:r>
      <w:r w:rsidDel="00000000" w:rsidR="00000000" w:rsidRPr="00000000">
        <w:rPr>
          <w:rtl w:val="0"/>
        </w:rPr>
        <w:t xml:space="preserve"> el modelo logra un buen equilibrio entre ser riguroso en sus predicciones y capturar la mayoría de los ejemplos relevantes. </w:t>
      </w:r>
      <w:r w:rsidDel="00000000" w:rsidR="00000000" w:rsidRPr="00000000">
        <w:rPr>
          <w:rtl w:val="0"/>
        </w:rPr>
      </w:r>
    </w:p>
    <w:p w:rsidR="00000000" w:rsidDel="00000000" w:rsidP="00000000" w:rsidRDefault="00000000" w:rsidRPr="00000000" w14:paraId="00000032">
      <w:pPr>
        <w:widowControl w:val="0"/>
        <w:ind w:firstLine="204"/>
        <w:jc w:val="both"/>
        <w:rPr/>
      </w:pPr>
      <w:r w:rsidDel="00000000" w:rsidR="00000000" w:rsidRPr="00000000">
        <w:rPr>
          <w:b w:val="1"/>
          <w:bCs w:val="1"/>
          <w:sz w:val="18"/>
          <w:szCs w:val="18"/>
          <w:rtl w:val="0"/>
        </w:rPr>
        <w:t xml:space="preserve">Tabla 2</w:t>
      </w:r>
      <w:r w:rsidDel="00000000" w:rsidR="00000000" w:rsidRPr="00000000">
        <w:rPr>
          <w:sz w:val="18"/>
          <w:szCs w:val="18"/>
          <w:rtl w:val="0"/>
        </w:rPr>
        <w:t xml:space="preserve">. Como parte de la aproximación utilizamos un set de datos pequeños (400 registros) para un ejercicio de inferencia</w:t>
      </w:r>
      <w:r w:rsidDel="00000000" w:rsidR="00000000" w:rsidRPr="00000000">
        <w:rPr>
          <w:rtl w:val="0"/>
        </w:rPr>
        <w:t xml:space="preserve">.</w:t>
      </w:r>
    </w:p>
    <w:p w:rsidR="00000000" w:rsidDel="00000000" w:rsidP="00000000" w:rsidRDefault="00000000" w:rsidRPr="00000000" w14:paraId="00000033">
      <w:pPr>
        <w:widowControl w:val="0"/>
        <w:ind w:firstLine="204"/>
        <w:jc w:val="both"/>
        <w:rPr/>
      </w:pPr>
      <w:r w:rsidDel="00000000" w:rsidR="00000000" w:rsidRPr="00000000">
        <w:rPr>
          <w:rtl w:val="0"/>
        </w:rPr>
      </w:r>
    </w:p>
    <w:sdt>
      <w:sdtPr>
        <w:lock w:val="contentLocked"/>
        <w:id w:val="-1156028954"/>
        <w:tag w:val="goog_rdk_0"/>
      </w:sdtPr>
      <w:sdtContent>
        <w:tbl>
          <w:tblPr>
            <w:tblStyle w:val="Table2"/>
            <w:tblW w:w="4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020"/>
            <w:gridCol w:w="945"/>
            <w:gridCol w:w="960"/>
            <w:gridCol w:w="885"/>
            <w:tblGridChange w:id="0">
              <w:tblGrid>
                <w:gridCol w:w="885"/>
                <w:gridCol w:w="1020"/>
                <w:gridCol w:w="945"/>
                <w:gridCol w:w="960"/>
                <w:gridCol w:w="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b w:val="1"/>
                    <w:bCs w:val="1"/>
                    <w:sz w:val="16"/>
                    <w:szCs w:val="16"/>
                  </w:rPr>
                </w:pPr>
                <w:r w:rsidDel="00000000" w:rsidR="00000000" w:rsidRPr="00000000">
                  <w:rPr>
                    <w:b w:val="1"/>
                    <w:bCs w:val="1"/>
                    <w:sz w:val="16"/>
                    <w:szCs w:val="16"/>
                    <w:rtl w:val="0"/>
                  </w:rPr>
                  <w:t xml:space="preserve">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b w:val="1"/>
                    <w:bCs w:val="1"/>
                    <w:sz w:val="16"/>
                    <w:szCs w:val="16"/>
                  </w:rPr>
                </w:pPr>
                <w:r w:rsidDel="00000000" w:rsidR="00000000" w:rsidRPr="00000000">
                  <w:rPr>
                    <w:b w:val="1"/>
                    <w:bCs w:val="1"/>
                    <w:sz w:val="16"/>
                    <w:szCs w:val="16"/>
                    <w:rtl w:val="0"/>
                  </w:rPr>
                  <w:t xml:space="preserve">Pro. Positivo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b w:val="1"/>
                    <w:bCs w:val="1"/>
                    <w:sz w:val="16"/>
                    <w:szCs w:val="16"/>
                  </w:rPr>
                </w:pPr>
                <w:r w:rsidDel="00000000" w:rsidR="00000000" w:rsidRPr="00000000">
                  <w:rPr>
                    <w:b w:val="1"/>
                    <w:bCs w:val="1"/>
                    <w:sz w:val="16"/>
                    <w:szCs w:val="16"/>
                    <w:rtl w:val="0"/>
                  </w:rPr>
                  <w:t xml:space="preserve">Predicción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b w:val="1"/>
                    <w:bCs w:val="1"/>
                    <w:sz w:val="16"/>
                    <w:szCs w:val="16"/>
                  </w:rPr>
                </w:pPr>
                <w:r w:rsidDel="00000000" w:rsidR="00000000" w:rsidRPr="00000000">
                  <w:rPr>
                    <w:b w:val="1"/>
                    <w:bCs w:val="1"/>
                    <w:sz w:val="16"/>
                    <w:szCs w:val="16"/>
                    <w:rtl w:val="0"/>
                  </w:rPr>
                  <w:t xml:space="preserve">Etiqueta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b w:val="1"/>
                    <w:bCs w:val="1"/>
                    <w:sz w:val="16"/>
                    <w:szCs w:val="16"/>
                  </w:rPr>
                </w:pPr>
                <w:r w:rsidDel="00000000" w:rsidR="00000000" w:rsidRPr="00000000">
                  <w:rPr>
                    <w:b w:val="1"/>
                    <w:bCs w:val="1"/>
                    <w:sz w:val="16"/>
                    <w:szCs w:val="16"/>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center"/>
                  <w:rPr>
                    <w:sz w:val="16"/>
                    <w:szCs w:val="16"/>
                  </w:rPr>
                </w:pPr>
                <w:r w:rsidDel="00000000" w:rsidR="00000000" w:rsidRPr="00000000">
                  <w:rPr>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center"/>
                  <w:rPr>
                    <w:sz w:val="16"/>
                    <w:szCs w:val="16"/>
                  </w:rPr>
                </w:pPr>
                <w:r w:rsidDel="00000000" w:rsidR="00000000" w:rsidRPr="00000000">
                  <w:rPr>
                    <w:rFonts w:ascii="Courier New" w:cs="Courier New" w:eastAsia="Courier New" w:hAnsi="Courier New"/>
                    <w:color w:val="1f1f1f"/>
                    <w:sz w:val="16"/>
                    <w:szCs w:val="16"/>
                    <w:highlight w:val="white"/>
                    <w:rtl w:val="0"/>
                  </w:rPr>
                  <w:t xml:space="preserve">0.9755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center"/>
                  <w:rPr>
                    <w:sz w:val="16"/>
                    <w:szCs w:val="16"/>
                  </w:rPr>
                </w:pPr>
                <w:r w:rsidDel="00000000" w:rsidR="00000000" w:rsidRPr="00000000">
                  <w:rPr>
                    <w:sz w:val="16"/>
                    <w:szCs w:val="16"/>
                    <w:rtl w:val="0"/>
                  </w:rPr>
                  <w:t xml:space="preserve">Positivo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center"/>
                  <w:rPr>
                    <w:sz w:val="16"/>
                    <w:szCs w:val="16"/>
                  </w:rPr>
                </w:pPr>
                <w:r w:rsidDel="00000000" w:rsidR="00000000" w:rsidRPr="00000000">
                  <w:rPr>
                    <w:sz w:val="16"/>
                    <w:szCs w:val="16"/>
                    <w:rtl w:val="0"/>
                  </w:rPr>
                  <w:t xml:space="preserve">Positivo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center"/>
                  <w:rPr>
                    <w:sz w:val="16"/>
                    <w:szCs w:val="16"/>
                  </w:rPr>
                </w:pPr>
                <w:r w:rsidDel="00000000" w:rsidR="00000000" w:rsidRPr="00000000">
                  <w:rPr>
                    <w:sz w:val="16"/>
                    <w:szCs w:val="16"/>
                    <w:rtl w:val="0"/>
                  </w:rPr>
                  <w:t xml:space="preserve">Correcto</w:t>
                </w:r>
              </w:p>
            </w:tc>
          </w:tr>
          <w:tr>
            <w:trPr>
              <w:cantSplit w:val="0"/>
              <w:trHeight w:val="4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center"/>
                  <w:rPr>
                    <w:sz w:val="16"/>
                    <w:szCs w:val="16"/>
                  </w:rPr>
                </w:pPr>
                <w:r w:rsidDel="00000000" w:rsidR="00000000" w:rsidRPr="00000000">
                  <w:rPr>
                    <w:rFonts w:ascii="Courier New" w:cs="Courier New" w:eastAsia="Courier New" w:hAnsi="Courier New"/>
                    <w:color w:val="1f1f1f"/>
                    <w:sz w:val="16"/>
                    <w:szCs w:val="16"/>
                    <w:highlight w:val="white"/>
                    <w:rtl w:val="0"/>
                  </w:rPr>
                  <w:t xml:space="preserve">0.0382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center"/>
                  <w:rPr>
                    <w:sz w:val="16"/>
                    <w:szCs w:val="16"/>
                  </w:rPr>
                </w:pPr>
                <w:r w:rsidDel="00000000" w:rsidR="00000000" w:rsidRPr="00000000">
                  <w:rPr>
                    <w:sz w:val="16"/>
                    <w:szCs w:val="16"/>
                    <w:rtl w:val="0"/>
                  </w:rPr>
                  <w:t xml:space="preserve">Negativo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center"/>
                  <w:rPr>
                    <w:sz w:val="16"/>
                    <w:szCs w:val="16"/>
                  </w:rPr>
                </w:pPr>
                <w:r w:rsidDel="00000000" w:rsidR="00000000" w:rsidRPr="00000000">
                  <w:rPr>
                    <w:sz w:val="16"/>
                    <w:szCs w:val="16"/>
                    <w:rtl w:val="0"/>
                  </w:rPr>
                  <w:t xml:space="preserve">Negativo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center"/>
                  <w:rPr>
                    <w:sz w:val="16"/>
                    <w:szCs w:val="16"/>
                  </w:rPr>
                </w:pPr>
                <w:r w:rsidDel="00000000" w:rsidR="00000000" w:rsidRPr="00000000">
                  <w:rPr>
                    <w:sz w:val="16"/>
                    <w:szCs w:val="16"/>
                    <w:rtl w:val="0"/>
                  </w:rPr>
                  <w:t xml:space="preserve">Correcto</w:t>
                </w:r>
              </w:p>
            </w:tc>
          </w:tr>
          <w:tr>
            <w:trPr>
              <w:cantSplit w:val="0"/>
              <w:trHeight w:val="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1.6" w:lineRule="auto"/>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1.6" w:lineRule="auto"/>
                  <w:jc w:val="center"/>
                  <w:rPr>
                    <w:sz w:val="16"/>
                    <w:szCs w:val="16"/>
                  </w:rPr>
                </w:pPr>
                <w:r w:rsidDel="00000000" w:rsidR="00000000" w:rsidRPr="00000000">
                  <w:rPr>
                    <w:rFonts w:ascii="Courier New" w:cs="Courier New" w:eastAsia="Courier New" w:hAnsi="Courier New"/>
                    <w:color w:val="1f1f1f"/>
                    <w:sz w:val="16"/>
                    <w:szCs w:val="16"/>
                    <w:highlight w:val="white"/>
                    <w:rtl w:val="0"/>
                  </w:rPr>
                  <w:t xml:space="preserve">0.0191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1.6" w:lineRule="auto"/>
                  <w:jc w:val="center"/>
                  <w:rPr>
                    <w:sz w:val="16"/>
                    <w:szCs w:val="16"/>
                  </w:rPr>
                </w:pPr>
                <w:r w:rsidDel="00000000" w:rsidR="00000000" w:rsidRPr="00000000">
                  <w:rPr>
                    <w:sz w:val="16"/>
                    <w:szCs w:val="16"/>
                    <w:rtl w:val="0"/>
                  </w:rPr>
                  <w:t xml:space="preserve">Negativo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1.6" w:lineRule="auto"/>
                  <w:jc w:val="center"/>
                  <w:rPr>
                    <w:sz w:val="16"/>
                    <w:szCs w:val="16"/>
                  </w:rPr>
                </w:pPr>
                <w:r w:rsidDel="00000000" w:rsidR="00000000" w:rsidRPr="00000000">
                  <w:rPr>
                    <w:sz w:val="16"/>
                    <w:szCs w:val="16"/>
                    <w:rtl w:val="0"/>
                  </w:rPr>
                  <w:t xml:space="preserve">Negativo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1.6" w:lineRule="auto"/>
                  <w:jc w:val="center"/>
                  <w:rPr>
                    <w:sz w:val="16"/>
                    <w:szCs w:val="16"/>
                  </w:rPr>
                </w:pPr>
                <w:r w:rsidDel="00000000" w:rsidR="00000000" w:rsidRPr="00000000">
                  <w:rPr>
                    <w:sz w:val="16"/>
                    <w:szCs w:val="16"/>
                    <w:rtl w:val="0"/>
                  </w:rPr>
                  <w:t xml:space="preserve">Correcto</w:t>
                </w:r>
              </w:p>
            </w:tc>
          </w:tr>
        </w:tbl>
      </w:sdtContent>
    </w:sdt>
    <w:p w:rsidR="00000000" w:rsidDel="00000000" w:rsidP="00000000" w:rsidRDefault="00000000" w:rsidRPr="00000000" w14:paraId="00000048">
      <w:pPr>
        <w:widowControl w:val="0"/>
        <w:ind w:firstLine="204"/>
        <w:jc w:val="both"/>
        <w:rPr/>
      </w:pPr>
      <w:r w:rsidDel="00000000" w:rsidR="00000000" w:rsidRPr="00000000">
        <w:rPr>
          <w:rtl w:val="0"/>
        </w:rPr>
      </w:r>
    </w:p>
    <w:p w:rsidR="00000000" w:rsidDel="00000000" w:rsidP="00000000" w:rsidRDefault="00000000" w:rsidRPr="00000000" w14:paraId="00000049">
      <w:pPr>
        <w:widowControl w:val="0"/>
        <w:ind w:firstLine="204"/>
        <w:jc w:val="both"/>
        <w:rPr/>
      </w:pPr>
      <w:r w:rsidDel="00000000" w:rsidR="00000000" w:rsidRPr="00000000">
        <w:rPr>
          <w:rtl w:val="0"/>
        </w:rPr>
        <w:t xml:space="preserve">El modelo GRU demostró un alto nivel de confianza, acercando las probabilidades a 1 (positivo) o 0 (negativo). Capta eficazmente la intensidad en frases como "</w:t>
      </w:r>
      <w:r w:rsidDel="00000000" w:rsidR="00000000" w:rsidRPr="00000000">
        <w:rPr>
          <w:i w:val="1"/>
          <w:iCs w:val="1"/>
          <w:rtl w:val="0"/>
        </w:rPr>
        <w:t xml:space="preserve">one of my favorite films</w:t>
      </w:r>
      <w:r w:rsidDel="00000000" w:rsidR="00000000" w:rsidRPr="00000000">
        <w:rPr>
          <w:rtl w:val="0"/>
        </w:rPr>
        <w:t xml:space="preserve">" y "</w:t>
      </w:r>
      <w:r w:rsidDel="00000000" w:rsidR="00000000" w:rsidRPr="00000000">
        <w:rPr>
          <w:i w:val="1"/>
          <w:iCs w:val="1"/>
          <w:rtl w:val="0"/>
        </w:rPr>
        <w:t xml:space="preserve">among the worst I have seen in some time.</w:t>
      </w:r>
      <w:r w:rsidDel="00000000" w:rsidR="00000000" w:rsidRPr="00000000">
        <w:rPr>
          <w:rtl w:val="0"/>
        </w:rPr>
        <w:t xml:space="preserve">" (registros 0 y 2 tabla 2). En reseñas de polaridad mixta, como "</w:t>
      </w:r>
      <w:r w:rsidDel="00000000" w:rsidR="00000000" w:rsidRPr="00000000">
        <w:rPr>
          <w:i w:val="1"/>
          <w:iCs w:val="1"/>
          <w:rtl w:val="0"/>
        </w:rPr>
        <w:t xml:space="preserve">End Game started well, the least said about the end the better,</w:t>
      </w:r>
      <w:r w:rsidDel="00000000" w:rsidR="00000000" w:rsidRPr="00000000">
        <w:rPr>
          <w:rtl w:val="0"/>
        </w:rPr>
        <w:t xml:space="preserve">" logra identificar el sentimiento dominante al ponderar la decepción final sobre la introducción positiva. Las mejoras futuras se enfocarán en reducir los falsos positivos/negativos y revisar sesgos de lenguaje como el sarcasmo o el uso de slang.</w:t>
      </w:r>
    </w:p>
    <w:p w:rsidR="00000000" w:rsidDel="00000000" w:rsidP="00000000" w:rsidRDefault="00000000" w:rsidRPr="00000000" w14:paraId="0000004A">
      <w:pPr>
        <w:widowControl w:val="0"/>
        <w:ind w:firstLine="204"/>
        <w:jc w:val="both"/>
        <w:rPr>
          <w:sz w:val="16"/>
          <w:szCs w:val="16"/>
        </w:rPr>
      </w:pPr>
      <w:r w:rsidDel="00000000" w:rsidR="00000000" w:rsidRPr="00000000">
        <w:rPr>
          <w:rtl w:val="0"/>
        </w:rPr>
      </w:r>
    </w:p>
    <w:p w:rsidR="00000000" w:rsidDel="00000000" w:rsidP="00000000" w:rsidRDefault="00000000" w:rsidRPr="00000000" w14:paraId="0000004B">
      <w:pPr>
        <w:widowControl w:val="0"/>
        <w:ind w:firstLine="204"/>
        <w:jc w:val="both"/>
        <w:rPr/>
      </w:pPr>
      <w:r w:rsidDel="00000000" w:rsidR="00000000" w:rsidRPr="00000000">
        <w:rPr>
          <w:rtl w:val="0"/>
        </w:rPr>
        <w:t xml:space="preserve">Igualmente podemos indicar que o</w:t>
      </w:r>
      <w:r w:rsidDel="00000000" w:rsidR="00000000" w:rsidRPr="00000000">
        <w:rPr>
          <w:rtl w:val="0"/>
        </w:rPr>
        <w:t xml:space="preserve">peracionalmente, las arquitecturas RNN (LSTM/GRU) evidenciaron limitaciones intrínsecas debido a su naturaleza secuencial, resultando en una alta sensibilidad al consumo de memoria (RAM) en Colab al incrementar hiper parámetros de </w:t>
      </w:r>
      <w:r w:rsidDel="00000000" w:rsidR="00000000" w:rsidRPr="00000000">
        <w:rPr>
          <w:i w:val="1"/>
          <w:iCs w:val="1"/>
          <w:rtl w:val="0"/>
        </w:rPr>
        <w:t xml:space="preserve">embedding</w:t>
      </w:r>
      <w:r w:rsidDel="00000000" w:rsidR="00000000" w:rsidRPr="00000000">
        <w:rPr>
          <w:rtl w:val="0"/>
        </w:rPr>
        <w:t xml:space="preserve">. Esto sugiere que los desafíos computacionales de las RNN podrán superarse migrando a arquitecturas de tipo Transformer y su mecanismo de auto-atención y procesamiento paralelo más eficiente.</w:t>
      </w:r>
    </w:p>
    <w:p w:rsidR="00000000" w:rsidDel="00000000" w:rsidP="00000000" w:rsidRDefault="00000000" w:rsidRPr="00000000" w14:paraId="0000004C">
      <w:pPr>
        <w:pStyle w:val="Heading1"/>
        <w:numPr>
          <w:ilvl w:val="0"/>
          <w:numId w:val="2"/>
        </w:numPr>
        <w:ind w:left="720" w:hanging="360"/>
        <w:rPr>
          <w:b w:val="1"/>
          <w:bCs w:val="1"/>
        </w:rPr>
      </w:pPr>
      <w:bookmarkStart w:colFirst="0" w:colLast="0" w:name="_heading=h.6bu5s7mqm6eh" w:id="0"/>
      <w:bookmarkEnd w:id="0"/>
      <w:r w:rsidDel="00000000" w:rsidR="00000000" w:rsidRPr="00000000">
        <w:rPr>
          <w:b w:val="1"/>
          <w:bCs w:val="1"/>
          <w:sz w:val="22"/>
          <w:szCs w:val="22"/>
          <w:rtl w:val="0"/>
        </w:rPr>
        <w:t xml:space="preserve">Discusión</w:t>
      </w:r>
      <w:r w:rsidDel="00000000" w:rsidR="00000000" w:rsidRPr="00000000">
        <w:rPr>
          <w:rtl w:val="0"/>
        </w:rPr>
      </w:r>
    </w:p>
    <w:p w:rsidR="00000000" w:rsidDel="00000000" w:rsidP="00000000" w:rsidRDefault="00000000" w:rsidRPr="00000000" w14:paraId="0000004D">
      <w:pPr>
        <w:widowControl w:val="0"/>
        <w:ind w:firstLine="204"/>
        <w:jc w:val="both"/>
        <w:rPr/>
      </w:pPr>
      <w:r w:rsidDel="00000000" w:rsidR="00000000" w:rsidRPr="00000000">
        <w:rPr>
          <w:rtl w:val="0"/>
        </w:rPr>
        <w:t xml:space="preserve">En el modelo GRU, la clase con la métrica más baja es la </w:t>
      </w:r>
      <w:r w:rsidDel="00000000" w:rsidR="00000000" w:rsidRPr="00000000">
        <w:rPr>
          <w:rtl w:val="0"/>
        </w:rPr>
        <w:t xml:space="preserve">Precisión de la clase Positiva</w:t>
      </w:r>
      <w:r w:rsidDel="00000000" w:rsidR="00000000" w:rsidRPr="00000000">
        <w:rPr>
          <w:rtl w:val="0"/>
        </w:rPr>
        <w:t xml:space="preserve"> (aprox 85.8%). Como se observa en la figura 3 encontramos 272</w:t>
      </w:r>
      <w:r w:rsidDel="00000000" w:rsidR="00000000" w:rsidRPr="00000000">
        <w:rPr>
          <w:rtl w:val="0"/>
        </w:rPr>
        <w:t xml:space="preserve"> Falsos Positivos,</w:t>
      </w:r>
      <w:r w:rsidDel="00000000" w:rsidR="00000000" w:rsidRPr="00000000">
        <w:rPr>
          <w:rtl w:val="0"/>
        </w:rPr>
        <w:t xml:space="preserve"> que son reseñas negativas clasificadas erróneamente. El modelo también generó 318</w:t>
      </w:r>
      <w:r w:rsidDel="00000000" w:rsidR="00000000" w:rsidRPr="00000000">
        <w:rPr>
          <w:rtl w:val="0"/>
        </w:rPr>
        <w:t xml:space="preserve"> Falsos Negativos</w:t>
      </w:r>
      <w:r w:rsidDel="00000000" w:rsidR="00000000" w:rsidRPr="00000000">
        <w:rPr>
          <w:rtl w:val="0"/>
        </w:rPr>
        <w:t xml:space="preserve">, que eran reseñas p</w:t>
      </w:r>
      <w:r w:rsidDel="00000000" w:rsidR="00000000" w:rsidRPr="00000000">
        <w:rPr>
          <w:rtl w:val="0"/>
        </w:rPr>
        <w:t xml:space="preserve">ositivas</w:t>
      </w:r>
      <w:r w:rsidDel="00000000" w:rsidR="00000000" w:rsidRPr="00000000">
        <w:rPr>
          <w:rtl w:val="0"/>
        </w:rPr>
        <w:t xml:space="preserve"> clasificadas erróneamente. La principal causa de ambos errores radica en la limitación de la arquitectura RNN para capturar un léxico completo y sutil, lo cual se intentó mitigar con un mayor nivel de palabras en la fase de </w:t>
      </w:r>
      <w:r w:rsidDel="00000000" w:rsidR="00000000" w:rsidRPr="00000000">
        <w:rPr>
          <w:i w:val="1"/>
          <w:iCs w:val="1"/>
          <w:rtl w:val="0"/>
        </w:rPr>
        <w:t xml:space="preserve">embedding</w:t>
      </w:r>
      <w:r w:rsidDel="00000000" w:rsidR="00000000" w:rsidRPr="00000000">
        <w:rPr>
          <w:rtl w:val="0"/>
        </w:rPr>
        <w:t xml:space="preserve">, evitando así el sesgo en el contexto, a pesar de la limitación computacional mencionada anteriormente.</w:t>
      </w:r>
    </w:p>
    <w:p w:rsidR="00000000" w:rsidDel="00000000" w:rsidP="00000000" w:rsidRDefault="00000000" w:rsidRPr="00000000" w14:paraId="0000004E">
      <w:pPr>
        <w:widowControl w:val="0"/>
        <w:ind w:firstLine="204"/>
        <w:jc w:val="both"/>
        <w:rPr>
          <w:sz w:val="16"/>
          <w:szCs w:val="16"/>
        </w:rPr>
      </w:pPr>
      <w:r w:rsidDel="00000000" w:rsidR="00000000" w:rsidRPr="00000000">
        <w:rPr>
          <w:rtl w:val="0"/>
        </w:rPr>
      </w:r>
    </w:p>
    <w:p w:rsidR="00000000" w:rsidDel="00000000" w:rsidP="00000000" w:rsidRDefault="00000000" w:rsidRPr="00000000" w14:paraId="0000004F">
      <w:pPr>
        <w:widowControl w:val="0"/>
        <w:ind w:firstLine="204"/>
        <w:jc w:val="both"/>
        <w:rPr/>
      </w:pPr>
      <w:r w:rsidDel="00000000" w:rsidR="00000000" w:rsidRPr="00000000">
        <w:rPr>
          <w:rtl w:val="0"/>
        </w:rPr>
        <w:t xml:space="preserve">El rendimiento del 87% es consistente con los resultados de otros estudios que utilizan arquitecturas RNN en </w:t>
      </w:r>
      <w:r w:rsidDel="00000000" w:rsidR="00000000" w:rsidRPr="00000000">
        <w:rPr>
          <w:i w:val="1"/>
          <w:iCs w:val="1"/>
          <w:rtl w:val="0"/>
        </w:rPr>
        <w:t xml:space="preserve">datasets</w:t>
      </w:r>
      <w:r w:rsidDel="00000000" w:rsidR="00000000" w:rsidRPr="00000000">
        <w:rPr>
          <w:rtl w:val="0"/>
        </w:rPr>
        <w:t xml:space="preserve"> de reseñas de películas como por ejemplo Luo et al., RNN–Ensemble (2021) [3] - accuracy 86.31%, validando la efectividad del enfoque GRU.</w:t>
      </w:r>
    </w:p>
    <w:p w:rsidR="00000000" w:rsidDel="00000000" w:rsidP="00000000" w:rsidRDefault="00000000" w:rsidRPr="00000000" w14:paraId="00000050">
      <w:pPr>
        <w:widowControl w:val="0"/>
        <w:ind w:firstLine="204"/>
        <w:jc w:val="both"/>
        <w:rPr>
          <w:sz w:val="16"/>
          <w:szCs w:val="16"/>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Por último con el actual experimento pudimos evidenciar que las RNN son intensivas en  el uso de carga computacional especialmente en memoria, por su condición de extraer de manera secuencial las características de secuencia como ejemplo las palabras. Aun así las RRN pueden ser muy eficientes en ambientes por ejemplo de secuencias cortas, poco profundas y donde las latencias o la consideración de procesamiento cercanas al tiempo real como podría ser Sugerencia de Siguientes Palabras en Interacciones de Baja Latencia (ejemplo Autocompletado de Comandos en una Terminal o IDE (Entorno de Desarrollo Integrado)</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53">
      <w:pPr>
        <w:pStyle w:val="Heading1"/>
        <w:ind w:left="0" w:firstLine="0"/>
        <w:rPr/>
      </w:pPr>
      <w:bookmarkStart w:colFirst="0" w:colLast="0" w:name="_heading=h.8pr0ippz0urz" w:id="1"/>
      <w:bookmarkEnd w:id="1"/>
      <w:r w:rsidDel="00000000" w:rsidR="00000000" w:rsidRPr="00000000">
        <w:rPr>
          <w:b w:val="1"/>
          <w:bCs w:val="1"/>
          <w:sz w:val="22"/>
          <w:szCs w:val="22"/>
          <w:rtl w:val="0"/>
        </w:rPr>
        <w:t xml:space="preserve">Referencias</w:t>
      </w:r>
      <w:r w:rsidDel="00000000" w:rsidR="00000000" w:rsidRPr="00000000">
        <w:rPr>
          <w:rtl w:val="0"/>
        </w:rPr>
      </w:r>
    </w:p>
    <w:p w:rsidR="00000000" w:rsidDel="00000000" w:rsidP="00000000" w:rsidRDefault="00000000" w:rsidRPr="00000000" w14:paraId="00000054">
      <w:pPr>
        <w:numPr>
          <w:ilvl w:val="0"/>
          <w:numId w:val="1"/>
        </w:numPr>
        <w:spacing w:after="240" w:before="240" w:lineRule="auto"/>
        <w:ind w:left="360"/>
      </w:pPr>
      <w:r w:rsidDel="00000000" w:rsidR="00000000" w:rsidRPr="00000000">
        <w:rPr>
          <w:rtl w:val="0"/>
        </w:rPr>
        <w:t xml:space="preserve">A. Vaswani, N. Shazeer, N. Parmar, J. Uszkoreit, L. Jones, A. N. Gomez, Ł. Kaiser, and I. Polosukhin, “Attention Is All You Need,” </w:t>
      </w:r>
      <w:r w:rsidDel="00000000" w:rsidR="00000000" w:rsidRPr="00000000">
        <w:rPr>
          <w:i w:val="1"/>
          <w:iCs w:val="1"/>
          <w:rtl w:val="0"/>
        </w:rPr>
        <w:t xml:space="preserve">Advances in Neural Information Processing Systems</w:t>
      </w:r>
      <w:r w:rsidDel="00000000" w:rsidR="00000000" w:rsidRPr="00000000">
        <w:rPr>
          <w:rtl w:val="0"/>
        </w:rPr>
        <w:t xml:space="preserve">, vol. 30, pp. 5998–6008, 2017. [Online]. Available: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https://arxiv.org/pdf/1706.03762v6</w:t>
        </w:r>
      </w:hyperlink>
      <w:r w:rsidDel="00000000" w:rsidR="00000000" w:rsidRPr="00000000">
        <w:rPr>
          <w:rtl w:val="0"/>
        </w:rPr>
      </w:r>
    </w:p>
    <w:p w:rsidR="00000000" w:rsidDel="00000000" w:rsidP="00000000" w:rsidRDefault="00000000" w:rsidRPr="00000000" w14:paraId="00000055">
      <w:pPr>
        <w:numPr>
          <w:ilvl w:val="0"/>
          <w:numId w:val="1"/>
        </w:numPr>
        <w:spacing w:after="240" w:before="240" w:lineRule="auto"/>
        <w:ind w:left="360"/>
      </w:pPr>
      <w:r w:rsidDel="00000000" w:rsidR="00000000" w:rsidRPr="00000000">
        <w:rPr>
          <w:rtl w:val="0"/>
        </w:rPr>
        <w:t xml:space="preserve">Y. H., “IMDB Movie Ratings – Sentiment Analysis,” </w:t>
      </w:r>
      <w:r w:rsidDel="00000000" w:rsidR="00000000" w:rsidRPr="00000000">
        <w:rPr>
          <w:i w:val="1"/>
          <w:iCs w:val="1"/>
          <w:rtl w:val="0"/>
        </w:rPr>
        <w:t xml:space="preserve">Kaggle Hub</w:t>
      </w:r>
      <w:r w:rsidDel="00000000" w:rsidR="00000000" w:rsidRPr="00000000">
        <w:rPr>
          <w:rtl w:val="0"/>
        </w:rPr>
        <w:t xml:space="preserve">, Nov. 2025. [Online]. Available: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https://www.kaggle.com/datasets/yasserh/imdb-movie-ratings-sentiment-analysis</w:t>
        </w:r>
      </w:hyperlink>
      <w:r w:rsidDel="00000000" w:rsidR="00000000" w:rsidRPr="00000000">
        <w:rPr>
          <w:rtl w:val="0"/>
        </w:rPr>
      </w:r>
    </w:p>
    <w:p w:rsidR="00000000" w:rsidDel="00000000" w:rsidP="00000000" w:rsidRDefault="00000000" w:rsidRPr="00000000" w14:paraId="00000056">
      <w:pPr>
        <w:numPr>
          <w:ilvl w:val="0"/>
          <w:numId w:val="1"/>
        </w:numPr>
        <w:spacing w:after="240" w:before="240" w:lineRule="auto"/>
        <w:ind w:left="360"/>
      </w:pPr>
      <w:r w:rsidDel="00000000" w:rsidR="00000000" w:rsidRPr="00000000">
        <w:rPr>
          <w:rtl w:val="0"/>
        </w:rPr>
        <w:t xml:space="preserve">S. Luo, Y. Gu, X. Yao, and W. Fan, “Research on Text Sentiment Analysis Based on Neural Network and Ensemble Learning,” </w:t>
      </w:r>
      <w:r w:rsidDel="00000000" w:rsidR="00000000" w:rsidRPr="00000000">
        <w:rPr>
          <w:i w:val="1"/>
          <w:iCs w:val="1"/>
          <w:rtl w:val="0"/>
        </w:rPr>
        <w:t xml:space="preserve">Revue d’Intelligence Artificielle</w:t>
      </w:r>
      <w:r w:rsidDel="00000000" w:rsidR="00000000" w:rsidRPr="00000000">
        <w:rPr>
          <w:rtl w:val="0"/>
        </w:rPr>
        <w:t xml:space="preserve">, vol. 35, no. 1, pp. 63–70, Feb. 2021, doi: 10.18280/ria.350107. [Online]. Available: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https://www.iieta.org/journals/ria/paper/10.18280/ria.350107</w:t>
        </w:r>
      </w:hyperlink>
      <w:r w:rsidDel="00000000" w:rsidR="00000000" w:rsidRPr="00000000">
        <w:rPr>
          <w:rtl w:val="0"/>
        </w:rPr>
      </w:r>
    </w:p>
    <w:p w:rsidR="00000000" w:rsidDel="00000000" w:rsidP="00000000" w:rsidRDefault="00000000" w:rsidRPr="00000000" w14:paraId="00000057">
      <w:pPr>
        <w:spacing w:after="240" w:before="240" w:lineRule="auto"/>
        <w:ind w:left="0" w:firstLine="0"/>
        <w:rPr/>
      </w:pPr>
      <w:r w:rsidDel="00000000" w:rsidR="00000000" w:rsidRPr="00000000">
        <w:rPr>
          <w:rtl w:val="0"/>
        </w:rPr>
      </w:r>
    </w:p>
    <w:p w:rsidR="00000000" w:rsidDel="00000000" w:rsidP="00000000" w:rsidRDefault="00000000" w:rsidRPr="00000000" w14:paraId="00000058">
      <w:pPr>
        <w:spacing w:after="240" w:before="240" w:lineRule="auto"/>
        <w:ind w:left="0" w:firstLine="0"/>
        <w:rPr/>
      </w:pPr>
      <w:r w:rsidDel="00000000" w:rsidR="00000000" w:rsidRPr="00000000">
        <w:rPr>
          <w:rtl w:val="0"/>
        </w:rPr>
      </w:r>
    </w:p>
    <w:p w:rsidR="00000000" w:rsidDel="00000000" w:rsidP="00000000" w:rsidRDefault="00000000" w:rsidRPr="00000000" w14:paraId="00000059">
      <w:pPr>
        <w:spacing w:after="240" w:before="240" w:lineRule="auto"/>
        <w:ind w:left="0" w:firstLine="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18"/>
          <w:szCs w:val="18"/>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sectPr>
      <w:headerReference r:id="rId19" w:type="default"/>
      <w:headerReference r:id="rId20" w:type="first"/>
      <w:headerReference r:id="rId21" w:type="even"/>
      <w:footerReference r:id="rId22" w:type="default"/>
      <w:footerReference r:id="rId23" w:type="first"/>
      <w:footerReference r:id="rId24" w:type="even"/>
      <w:pgSz w:h="15840" w:w="12240" w:orient="portrait"/>
      <w:pgMar w:bottom="1622" w:top="1440" w:left="1440" w:right="902" w:header="431" w:footer="431"/>
      <w:pgNumType w:start="1"/>
      <w:cols w:equalWidth="0" w:num="2">
        <w:col w:space="544" w:w="4677"/>
        <w:col w:space="0" w:w="467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ind w:left="432" w:hanging="432"/>
    </w:pPr>
    <w:rPr/>
  </w:style>
  <w:style w:type="paragraph" w:styleId="Heading2">
    <w:name w:val="heading 2"/>
    <w:basedOn w:val="Normal"/>
    <w:next w:val="Normal"/>
    <w:pPr>
      <w:keepNext w:val="1"/>
      <w:spacing w:after="120" w:before="240" w:lineRule="auto"/>
      <w:ind w:left="578" w:hanging="578"/>
    </w:pPr>
    <w:rPr/>
  </w:style>
  <w:style w:type="paragraph" w:styleId="Heading3">
    <w:name w:val="heading 3"/>
    <w:basedOn w:val="Normal"/>
    <w:next w:val="Normal"/>
    <w:pPr>
      <w:keepNext w:val="1"/>
      <w:ind w:left="720" w:hanging="720"/>
    </w:pPr>
    <w:rPr>
      <w:i w:val="1"/>
      <w:iCs w:val="1"/>
    </w:rPr>
  </w:style>
  <w:style w:type="paragraph" w:styleId="Heading4">
    <w:name w:val="heading 4"/>
    <w:basedOn w:val="Normal"/>
    <w:next w:val="Normal"/>
    <w:pPr>
      <w:keepNext w:val="1"/>
      <w:spacing w:after="60" w:before="240" w:lineRule="auto"/>
      <w:ind w:left="864" w:hanging="864"/>
    </w:pPr>
    <w:rPr/>
  </w:style>
  <w:style w:type="paragraph" w:styleId="Heading5">
    <w:name w:val="heading 5"/>
    <w:basedOn w:val="Normal"/>
    <w:next w:val="Normal"/>
    <w:pPr>
      <w:spacing w:after="60" w:before="240" w:lineRule="auto"/>
      <w:ind w:left="1008" w:hanging="1008"/>
    </w:pPr>
    <w:rPr>
      <w:sz w:val="18"/>
      <w:szCs w:val="18"/>
    </w:rPr>
  </w:style>
  <w:style w:type="paragraph" w:styleId="Heading6">
    <w:name w:val="heading 6"/>
    <w:basedOn w:val="Normal"/>
    <w:next w:val="Normal"/>
    <w:pPr>
      <w:spacing w:after="60" w:before="240" w:lineRule="auto"/>
      <w:ind w:left="1152" w:hanging="1152"/>
    </w:pPr>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qFormat w:val="1"/>
    <w:pPr>
      <w:numPr>
        <w:ilvl w:val="6"/>
        <w:numId w:val="2"/>
      </w:numPr>
      <w:spacing w:after="60" w:before="240"/>
      <w:outlineLvl w:val="6"/>
    </w:pPr>
    <w:rPr>
      <w:sz w:val="16"/>
      <w:szCs w:val="16"/>
    </w:rPr>
  </w:style>
  <w:style w:type="paragraph" w:styleId="Heading8">
    <w:name w:val="heading 8"/>
    <w:basedOn w:val="Normal"/>
    <w:next w:val="Normal"/>
    <w:qFormat w:val="1"/>
    <w:pPr>
      <w:numPr>
        <w:ilvl w:val="7"/>
        <w:numId w:val="2"/>
      </w:numPr>
      <w:spacing w:after="60" w:before="240"/>
      <w:outlineLvl w:val="7"/>
    </w:pPr>
  </w:style>
  <w:style w:type="paragraph" w:styleId="Heading9">
    <w:name w:val="heading 9"/>
    <w:basedOn w:val="Normal"/>
    <w:next w:val="Normal"/>
    <w:qFormat w:val="1"/>
    <w:pPr>
      <w:numPr>
        <w:ilvl w:val="8"/>
        <w:numId w:val="2"/>
      </w:numPr>
      <w:spacing w:after="60" w:before="240"/>
      <w:outlineLvl w:val="8"/>
    </w:pPr>
    <w:rPr>
      <w:sz w:val="16"/>
      <w:szCs w:val="1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WW8Num1z0" w:customStyle="1">
    <w:name w:val="WW8Num1z0"/>
  </w:style>
  <w:style w:type="character" w:styleId="WW8Num1z1" w:customStyle="1">
    <w:name w:val="WW8Num1z1"/>
  </w:style>
  <w:style w:type="character" w:styleId="WW8Num1z2" w:customStyle="1">
    <w:name w:val="WW8Num1z2"/>
  </w:style>
  <w:style w:type="character" w:styleId="WW8Num1z3" w:customStyle="1">
    <w:name w:val="WW8Num1z3"/>
  </w:style>
  <w:style w:type="character" w:styleId="WW8Num1z4" w:customStyle="1">
    <w:name w:val="WW8Num1z4"/>
  </w:style>
  <w:style w:type="character" w:styleId="WW8Num1z5" w:customStyle="1">
    <w:name w:val="WW8Num1z5"/>
  </w:style>
  <w:style w:type="character" w:styleId="WW8Num1z6" w:customStyle="1">
    <w:name w:val="WW8Num1z6"/>
  </w:style>
  <w:style w:type="character" w:styleId="WW8Num1z7" w:customStyle="1">
    <w:name w:val="WW8Num1z7"/>
  </w:style>
  <w:style w:type="character" w:styleId="WW8Num1z8" w:customStyle="1">
    <w:name w:val="WW8Num1z8"/>
  </w:style>
  <w:style w:type="character" w:styleId="WW8Num2z0" w:customStyle="1">
    <w:name w:val="WW8Num2z0"/>
  </w:style>
  <w:style w:type="character" w:styleId="WW8Num3z0" w:customStyle="1">
    <w:name w:val="WW8Num3z0"/>
  </w:style>
  <w:style w:type="character" w:styleId="WW8Num3z1" w:customStyle="1">
    <w:name w:val="WW8Num3z1"/>
  </w:style>
  <w:style w:type="character" w:styleId="WW8Num3z2" w:customStyle="1">
    <w:name w:val="WW8Num3z2"/>
  </w:style>
  <w:style w:type="character" w:styleId="WW8Num3z3" w:customStyle="1">
    <w:name w:val="WW8Num3z3"/>
  </w:style>
  <w:style w:type="character" w:styleId="WW8Num3z4" w:customStyle="1">
    <w:name w:val="WW8Num3z4"/>
  </w:style>
  <w:style w:type="character" w:styleId="WW8Num3z5" w:customStyle="1">
    <w:name w:val="WW8Num3z5"/>
  </w:style>
  <w:style w:type="character" w:styleId="WW8Num3z6" w:customStyle="1">
    <w:name w:val="WW8Num3z6"/>
  </w:style>
  <w:style w:type="character" w:styleId="WW8Num3z7" w:customStyle="1">
    <w:name w:val="WW8Num3z7"/>
  </w:style>
  <w:style w:type="character" w:styleId="WW8Num3z8" w:customStyle="1">
    <w:name w:val="WW8Num3z8"/>
  </w:style>
  <w:style w:type="character" w:styleId="WW8Num4z0" w:customStyle="1">
    <w:name w:val="WW8Num4z0"/>
  </w:style>
  <w:style w:type="character" w:styleId="WW8Num5z0" w:customStyle="1">
    <w:name w:val="WW8Num5z0"/>
  </w:style>
  <w:style w:type="character" w:styleId="WW8Num6z0" w:customStyle="1">
    <w:name w:val="WW8Num6z0"/>
  </w:style>
  <w:style w:type="character" w:styleId="WW8Num7z0" w:customStyle="1">
    <w:name w:val="WW8Num7z0"/>
  </w:style>
  <w:style w:type="character" w:styleId="WW8Num8z0" w:customStyle="1">
    <w:name w:val="WW8Num8z0"/>
  </w:style>
  <w:style w:type="character" w:styleId="WW8Num9z0" w:customStyle="1">
    <w:name w:val="WW8Num9z0"/>
  </w:style>
  <w:style w:type="character" w:styleId="WW8Num9z1" w:customStyle="1">
    <w:name w:val="WW8Num9z1"/>
  </w:style>
  <w:style w:type="character" w:styleId="WW8Num9z2" w:customStyle="1">
    <w:name w:val="WW8Num9z2"/>
  </w:style>
  <w:style w:type="character" w:styleId="WW8Num9z3" w:customStyle="1">
    <w:name w:val="WW8Num9z3"/>
  </w:style>
  <w:style w:type="character" w:styleId="WW8Num9z4" w:customStyle="1">
    <w:name w:val="WW8Num9z4"/>
  </w:style>
  <w:style w:type="character" w:styleId="WW8Num9z5" w:customStyle="1">
    <w:name w:val="WW8Num9z5"/>
  </w:style>
  <w:style w:type="character" w:styleId="WW8Num9z6" w:customStyle="1">
    <w:name w:val="WW8Num9z6"/>
  </w:style>
  <w:style w:type="character" w:styleId="WW8Num9z7" w:customStyle="1">
    <w:name w:val="WW8Num9z7"/>
  </w:style>
  <w:style w:type="character" w:styleId="WW8Num9z8" w:customStyle="1">
    <w:name w:val="WW8Num9z8"/>
  </w:style>
  <w:style w:type="character" w:styleId="WW8Num10z0" w:customStyle="1">
    <w:name w:val="WW8Num10z0"/>
  </w:style>
  <w:style w:type="character" w:styleId="WW8Num11z0" w:customStyle="1">
    <w:name w:val="WW8Num11z0"/>
  </w:style>
  <w:style w:type="character" w:styleId="WW8Num11z1" w:customStyle="1">
    <w:name w:val="WW8Num11z1"/>
  </w:style>
  <w:style w:type="character" w:styleId="WW8Num11z2" w:customStyle="1">
    <w:name w:val="WW8Num11z2"/>
  </w:style>
  <w:style w:type="character" w:styleId="WW8Num11z3" w:customStyle="1">
    <w:name w:val="WW8Num11z3"/>
  </w:style>
  <w:style w:type="character" w:styleId="WW8Num11z4" w:customStyle="1">
    <w:name w:val="WW8Num11z4"/>
  </w:style>
  <w:style w:type="character" w:styleId="WW8Num11z5" w:customStyle="1">
    <w:name w:val="WW8Num11z5"/>
  </w:style>
  <w:style w:type="character" w:styleId="WW8Num11z6" w:customStyle="1">
    <w:name w:val="WW8Num11z6"/>
  </w:style>
  <w:style w:type="character" w:styleId="WW8Num11z7" w:customStyle="1">
    <w:name w:val="WW8Num11z7"/>
  </w:style>
  <w:style w:type="character" w:styleId="WW8Num11z8" w:customStyle="1">
    <w:name w:val="WW8Num11z8"/>
  </w:style>
  <w:style w:type="character" w:styleId="WW8Num12z0" w:customStyle="1">
    <w:name w:val="WW8Num12z0"/>
  </w:style>
  <w:style w:type="character" w:styleId="WW8Num13z0" w:customStyle="1">
    <w:name w:val="WW8Num13z0"/>
  </w:style>
  <w:style w:type="character" w:styleId="WW8Num13z1" w:customStyle="1">
    <w:name w:val="WW8Num13z1"/>
  </w:style>
  <w:style w:type="character" w:styleId="WW8Num13z2" w:customStyle="1">
    <w:name w:val="WW8Num13z2"/>
  </w:style>
  <w:style w:type="character" w:styleId="WW8Num13z3" w:customStyle="1">
    <w:name w:val="WW8Num13z3"/>
  </w:style>
  <w:style w:type="character" w:styleId="WW8Num13z4" w:customStyle="1">
    <w:name w:val="WW8Num13z4"/>
  </w:style>
  <w:style w:type="character" w:styleId="WW8Num13z5" w:customStyle="1">
    <w:name w:val="WW8Num13z5"/>
  </w:style>
  <w:style w:type="character" w:styleId="WW8Num13z6" w:customStyle="1">
    <w:name w:val="WW8Num13z6"/>
  </w:style>
  <w:style w:type="character" w:styleId="WW8Num13z7" w:customStyle="1">
    <w:name w:val="WW8Num13z7"/>
  </w:style>
  <w:style w:type="character" w:styleId="WW8Num13z8" w:customStyle="1">
    <w:name w:val="WW8Num13z8"/>
  </w:style>
  <w:style w:type="character" w:styleId="WW8Num14z0" w:customStyle="1">
    <w:name w:val="WW8Num14z0"/>
  </w:style>
  <w:style w:type="character" w:styleId="WW8Num14z1" w:customStyle="1">
    <w:name w:val="WW8Num14z1"/>
  </w:style>
  <w:style w:type="character" w:styleId="WW8Num14z2" w:customStyle="1">
    <w:name w:val="WW8Num14z2"/>
  </w:style>
  <w:style w:type="character" w:styleId="WW8Num14z3" w:customStyle="1">
    <w:name w:val="WW8Num14z3"/>
  </w:style>
  <w:style w:type="character" w:styleId="WW8Num14z4" w:customStyle="1">
    <w:name w:val="WW8Num14z4"/>
  </w:style>
  <w:style w:type="character" w:styleId="WW8Num14z5" w:customStyle="1">
    <w:name w:val="WW8Num14z5"/>
  </w:style>
  <w:style w:type="character" w:styleId="WW8Num14z6" w:customStyle="1">
    <w:name w:val="WW8Num14z6"/>
  </w:style>
  <w:style w:type="character" w:styleId="WW8Num14z7" w:customStyle="1">
    <w:name w:val="WW8Num14z7"/>
  </w:style>
  <w:style w:type="character" w:styleId="WW8Num14z8" w:customStyle="1">
    <w:name w:val="WW8Num14z8"/>
  </w:style>
  <w:style w:type="character" w:styleId="WW8Num15z0" w:customStyle="1">
    <w:name w:val="WW8Num15z0"/>
  </w:style>
  <w:style w:type="character" w:styleId="WW8Num16z0" w:customStyle="1">
    <w:name w:val="WW8Num16z0"/>
  </w:style>
  <w:style w:type="character" w:styleId="WW8Num17z0" w:customStyle="1">
    <w:name w:val="WW8Num17z0"/>
  </w:style>
  <w:style w:type="character" w:styleId="WW8Num17z1" w:customStyle="1">
    <w:name w:val="WW8Num17z1"/>
  </w:style>
  <w:style w:type="character" w:styleId="WW8Num17z2" w:customStyle="1">
    <w:name w:val="WW8Num17z2"/>
  </w:style>
  <w:style w:type="character" w:styleId="WW8Num17z3" w:customStyle="1">
    <w:name w:val="WW8Num17z3"/>
  </w:style>
  <w:style w:type="character" w:styleId="WW8Num17z4" w:customStyle="1">
    <w:name w:val="WW8Num17z4"/>
  </w:style>
  <w:style w:type="character" w:styleId="WW8Num17z5" w:customStyle="1">
    <w:name w:val="WW8Num17z5"/>
  </w:style>
  <w:style w:type="character" w:styleId="WW8Num17z6" w:customStyle="1">
    <w:name w:val="WW8Num17z6"/>
  </w:style>
  <w:style w:type="character" w:styleId="WW8Num17z7" w:customStyle="1">
    <w:name w:val="WW8Num17z7"/>
  </w:style>
  <w:style w:type="character" w:styleId="WW8Num17z8" w:customStyle="1">
    <w:name w:val="WW8Num17z8"/>
  </w:style>
  <w:style w:type="character" w:styleId="WW8Num18z0" w:customStyle="1">
    <w:name w:val="WW8Num18z0"/>
  </w:style>
  <w:style w:type="character" w:styleId="WW8Num19z0" w:customStyle="1">
    <w:name w:val="WW8Num19z0"/>
  </w:style>
  <w:style w:type="character" w:styleId="WW8Num19z1" w:customStyle="1">
    <w:name w:val="WW8Num19z1"/>
  </w:style>
  <w:style w:type="character" w:styleId="WW8Num19z2" w:customStyle="1">
    <w:name w:val="WW8Num19z2"/>
  </w:style>
  <w:style w:type="character" w:styleId="WW8Num19z3" w:customStyle="1">
    <w:name w:val="WW8Num19z3"/>
  </w:style>
  <w:style w:type="character" w:styleId="WW8Num19z4" w:customStyle="1">
    <w:name w:val="WW8Num19z4"/>
  </w:style>
  <w:style w:type="character" w:styleId="WW8Num19z5" w:customStyle="1">
    <w:name w:val="WW8Num19z5"/>
  </w:style>
  <w:style w:type="character" w:styleId="WW8Num19z6" w:customStyle="1">
    <w:name w:val="WW8Num19z6"/>
  </w:style>
  <w:style w:type="character" w:styleId="WW8Num19z7" w:customStyle="1">
    <w:name w:val="WW8Num19z7"/>
  </w:style>
  <w:style w:type="character" w:styleId="WW8Num19z8" w:customStyle="1">
    <w:name w:val="WW8Num19z8"/>
  </w:style>
  <w:style w:type="character" w:styleId="MemberType" w:customStyle="1">
    <w:name w:val="MemberType"/>
  </w:style>
  <w:style w:type="character" w:styleId="FootnoteCharacters" w:customStyle="1">
    <w:name w:val="Footnote Characters"/>
    <w:rPr>
      <w:vertAlign w:val="superscript"/>
    </w:rPr>
  </w:style>
  <w:style w:type="character" w:styleId="Hyperlink">
    <w:name w:val="Hyperlink"/>
  </w:style>
  <w:style w:type="character" w:styleId="FollowedHyperlink">
    <w:name w:val="FollowedHyperlink"/>
  </w:style>
  <w:style w:type="character" w:styleId="PageNumber">
    <w:name w:val="page number"/>
    <w:basedOn w:val="DefaultParagraphFont"/>
  </w:style>
  <w:style w:type="character" w:styleId="Heading1Char" w:customStyle="1">
    <w:name w:val="Heading 1 Char"/>
  </w:style>
  <w:style w:type="character" w:styleId="TextChar" w:customStyle="1">
    <w:name w:val="Text Cha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customStyle="1">
    <w:name w:val="Endnote Characters"/>
  </w:style>
  <w:style w:type="paragraph" w:styleId="Heading" w:customStyle="1">
    <w:name w:val="Heading"/>
    <w:basedOn w:val="Normal"/>
    <w:next w:val="Normal"/>
    <w:pPr>
      <w:jc w:val="center"/>
    </w:pPr>
  </w:style>
  <w:style w:type="paragraph" w:styleId="BodyText">
    <w:name w:val="Body Text"/>
    <w:basedOn w:val="Normal"/>
    <w:pPr>
      <w:spacing w:after="140" w:line="288" w:lineRule="auto"/>
    </w:pPr>
  </w:style>
  <w:style w:type="paragraph" w:styleId="List">
    <w:name w:val="List"/>
    <w:basedOn w:val="BodyText"/>
    <w:rPr>
      <w:rFonts w:cs="Mangal"/>
    </w:rPr>
  </w:style>
  <w:style w:type="paragraph" w:styleId="Caption">
    <w:name w:val="caption"/>
    <w:basedOn w:val="Normal"/>
    <w:next w:val="Normal"/>
    <w:qFormat w:val="1"/>
    <w:rPr>
      <w:b w:val="1"/>
      <w:bCs w:val="1"/>
    </w:rPr>
  </w:style>
  <w:style w:type="paragraph" w:styleId="Index" w:customStyle="1">
    <w:name w:val="Index"/>
    <w:basedOn w:val="Normal"/>
    <w:pPr>
      <w:suppressLineNumbers w:val="1"/>
    </w:pPr>
    <w:rPr>
      <w:rFonts w:cs="Mangal"/>
    </w:rPr>
  </w:style>
  <w:style w:type="paragraph" w:styleId="Abstract" w:customStyle="1">
    <w:name w:val="Abstract"/>
    <w:basedOn w:val="Normal"/>
    <w:next w:val="Normal"/>
    <w:pPr>
      <w:spacing w:before="20"/>
      <w:ind w:firstLine="202"/>
      <w:jc w:val="both"/>
    </w:pPr>
  </w:style>
  <w:style w:type="paragraph" w:styleId="Authors" w:customStyle="1">
    <w:name w:val="Authors"/>
    <w:basedOn w:val="Normal"/>
    <w:next w:val="Normal"/>
    <w:pPr>
      <w:spacing w:after="320"/>
      <w:jc w:val="center"/>
    </w:pPr>
    <w:rPr>
      <w:sz w:val="22"/>
      <w:szCs w:val="22"/>
    </w:rPr>
  </w:style>
  <w:style w:type="paragraph" w:styleId="FootnoteText">
    <w:name w:val="footnote text"/>
    <w:basedOn w:val="Normal"/>
    <w:pPr>
      <w:ind w:firstLine="202"/>
      <w:jc w:val="both"/>
    </w:pPr>
    <w:rPr>
      <w:sz w:val="16"/>
      <w:szCs w:val="16"/>
    </w:rPr>
  </w:style>
  <w:style w:type="paragraph" w:styleId="References" w:customStyle="1">
    <w:name w:val="References"/>
    <w:basedOn w:val="Normal"/>
    <w:pPr>
      <w:numPr>
        <w:numId w:val="3"/>
      </w:numPr>
      <w:jc w:val="both"/>
    </w:pPr>
    <w:rPr>
      <w:sz w:val="18"/>
      <w:szCs w:val="16"/>
    </w:rPr>
  </w:style>
  <w:style w:type="paragraph" w:styleId="IndexTerms" w:customStyle="1">
    <w:name w:val="IndexTerms"/>
    <w:basedOn w:val="Normal"/>
    <w:next w:val="Normal"/>
    <w:pPr>
      <w:ind w:firstLine="202"/>
      <w:jc w:val="both"/>
    </w:pPr>
  </w:style>
  <w:style w:type="paragraph" w:styleId="Footer">
    <w:name w:val="footer"/>
    <w:basedOn w:val="Normal"/>
    <w:pPr>
      <w:tabs>
        <w:tab w:val="center" w:pos="4320"/>
        <w:tab w:val="right" w:pos="8640"/>
      </w:tabs>
    </w:pPr>
  </w:style>
  <w:style w:type="paragraph" w:styleId="Text" w:customStyle="1">
    <w:name w:val="Text"/>
    <w:basedOn w:val="Normal"/>
    <w:pPr>
      <w:widowControl w:val="0"/>
      <w:ind w:firstLine="204"/>
      <w:jc w:val="both"/>
    </w:pPr>
  </w:style>
  <w:style w:type="paragraph" w:styleId="FigureCaption" w:customStyle="1">
    <w:name w:val="Figure Caption"/>
    <w:basedOn w:val="Normal"/>
    <w:pPr>
      <w:jc w:val="both"/>
    </w:pPr>
    <w:rPr>
      <w:sz w:val="18"/>
      <w:szCs w:val="16"/>
    </w:rPr>
  </w:style>
  <w:style w:type="paragraph" w:styleId="TableTitle" w:customStyle="1">
    <w:name w:val="Table Title"/>
    <w:basedOn w:val="Normal"/>
    <w:pPr>
      <w:jc w:val="center"/>
    </w:pPr>
    <w:rPr>
      <w:smallCaps w:val="1"/>
      <w:sz w:val="16"/>
      <w:szCs w:val="16"/>
    </w:rPr>
  </w:style>
  <w:style w:type="paragraph" w:styleId="ReferenceHead" w:customStyle="1">
    <w:name w:val="Reference Head"/>
    <w:basedOn w:val="Heading1"/>
    <w:pPr>
      <w:numPr>
        <w:numId w:val="0"/>
      </w:numPr>
    </w:pPr>
  </w:style>
  <w:style w:type="paragraph" w:styleId="Header">
    <w:name w:val="header"/>
    <w:basedOn w:val="Normal"/>
    <w:pPr>
      <w:tabs>
        <w:tab w:val="center" w:pos="4320"/>
        <w:tab w:val="right" w:pos="8640"/>
      </w:tabs>
    </w:pPr>
  </w:style>
  <w:style w:type="paragraph" w:styleId="Equation" w:customStyle="1">
    <w:name w:val="Equation"/>
    <w:basedOn w:val="Normal"/>
    <w:next w:val="Normal"/>
    <w:pPr>
      <w:widowControl w:val="0"/>
      <w:tabs>
        <w:tab w:val="right" w:pos="5040"/>
      </w:tabs>
      <w:spacing w:line="252" w:lineRule="auto"/>
      <w:jc w:val="both"/>
    </w:pPr>
  </w:style>
  <w:style w:type="paragraph" w:styleId="BodyTextIndent">
    <w:name w:val="Body Text Indent"/>
    <w:basedOn w:val="Normal"/>
    <w:pPr>
      <w:ind w:left="630" w:hanging="630"/>
    </w:pPr>
    <w:rPr>
      <w:szCs w:val="24"/>
    </w:rPr>
  </w:style>
  <w:style w:type="paragraph" w:styleId="FrameContents" w:customStyle="1">
    <w:name w:val="Frame Contents"/>
    <w:basedOn w:val="Normal"/>
  </w:style>
  <w:style w:type="paragraph" w:styleId="TableContents" w:customStyle="1">
    <w:name w:val="Table Contents"/>
    <w:basedOn w:val="Normal"/>
    <w:pPr>
      <w:suppressLineNumbers w:val="1"/>
    </w:pPr>
  </w:style>
  <w:style w:type="paragraph" w:styleId="TableHeading" w:customStyle="1">
    <w:name w:val="Table Heading"/>
    <w:basedOn w:val="TableContents"/>
    <w:pPr>
      <w:jc w:val="center"/>
    </w:pPr>
    <w:rPr>
      <w:b w:val="1"/>
      <w:bCs w:val="1"/>
    </w:rPr>
  </w:style>
  <w:style w:type="paragraph" w:styleId="BalloonText">
    <w:name w:val="Balloon Text"/>
    <w:basedOn w:val="Normal"/>
    <w:link w:val="BalloonTextChar"/>
    <w:uiPriority w:val="99"/>
    <w:semiHidden w:val="1"/>
    <w:unhideWhenUsed w:val="1"/>
    <w:rsid w:val="00E6288E"/>
    <w:rPr>
      <w:rFonts w:ascii="SimSun" w:eastAsia="SimSun"/>
      <w:sz w:val="18"/>
      <w:szCs w:val="18"/>
    </w:rPr>
  </w:style>
  <w:style w:type="character" w:styleId="BalloonTextChar" w:customStyle="1">
    <w:name w:val="Balloon Text Char"/>
    <w:link w:val="BalloonText"/>
    <w:uiPriority w:val="99"/>
    <w:semiHidden w:val="1"/>
    <w:rsid w:val="00E6288E"/>
    <w:rPr>
      <w:rFonts w:ascii="SimSun" w:eastAsia="SimSun"/>
      <w:sz w:val="18"/>
      <w:szCs w:val="18"/>
      <w:lang w:eastAsia="en-US"/>
    </w:rPr>
  </w:style>
  <w:style w:type="character" w:styleId="PlaceholderText">
    <w:name w:val="Placeholder Text"/>
    <w:basedOn w:val="DefaultParagraphFont"/>
    <w:uiPriority w:val="99"/>
    <w:unhideWhenUsed w:val="1"/>
    <w:rsid w:val="00D01EE8"/>
    <w:rPr>
      <w:color w:val="808080"/>
    </w:rPr>
  </w:style>
  <w:style w:type="character" w:styleId="UnresolvedMention">
    <w:name w:val="Unresolved Mention"/>
    <w:basedOn w:val="DefaultParagraphFont"/>
    <w:uiPriority w:val="99"/>
    <w:semiHidden w:val="1"/>
    <w:unhideWhenUsed w:val="1"/>
    <w:rsid w:val="002C1FC7"/>
    <w:rPr>
      <w:color w:val="605e5c"/>
      <w:shd w:color="auto" w:fill="e1dfdd" w:val="clear"/>
    </w:rPr>
  </w:style>
  <w:style w:type="paragraph" w:styleId="NormalWeb">
    <w:name w:val="Normal (Web)"/>
    <w:basedOn w:val="Normal"/>
    <w:uiPriority w:val="99"/>
    <w:semiHidden w:val="1"/>
    <w:unhideWhenUsed w:val="1"/>
    <w:rsid w:val="002C1FC7"/>
    <w:rPr>
      <w:sz w:val="24"/>
      <w:szCs w:val="24"/>
    </w:rPr>
  </w:style>
  <w:style w:type="paragraph" w:styleId="ListParagraph">
    <w:name w:val="List Paragraph"/>
    <w:basedOn w:val="Normal"/>
    <w:uiPriority w:val="72"/>
    <w:qFormat w:val="1"/>
    <w:rsid w:val="00DD5D50"/>
    <w:pPr>
      <w:ind w:left="720"/>
      <w:contextualSpacing w:val="1"/>
    </w:pPr>
  </w:style>
  <w:style w:type="table" w:styleId="TableGrid">
    <w:name w:val="Table Grid"/>
    <w:basedOn w:val="TableNormal"/>
    <w:uiPriority w:val="59"/>
    <w:rsid w:val="00D63E1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3.png"/><Relationship Id="rId22" Type="http://schemas.openxmlformats.org/officeDocument/2006/relationships/footer" Target="footer1.xml"/><Relationship Id="rId10" Type="http://schemas.openxmlformats.org/officeDocument/2006/relationships/image" Target="media/image4.png"/><Relationship Id="rId21" Type="http://schemas.openxmlformats.org/officeDocument/2006/relationships/header" Target="header3.xml"/><Relationship Id="rId13" Type="http://schemas.openxmlformats.org/officeDocument/2006/relationships/hyperlink" Target="https://arxiv.org/pdf/1706.03762v6" TargetMode="External"/><Relationship Id="rId24" Type="http://schemas.openxmlformats.org/officeDocument/2006/relationships/footer" Target="footer3.xml"/><Relationship Id="rId12" Type="http://schemas.openxmlformats.org/officeDocument/2006/relationships/image" Target="media/image1.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kaggle.com/datasets/yasserh/imdb-movie-ratings-sentiment-analysis" TargetMode="External"/><Relationship Id="rId14" Type="http://schemas.openxmlformats.org/officeDocument/2006/relationships/hyperlink" Target="https://arxiv.org/pdf/1706.03762v6" TargetMode="External"/><Relationship Id="rId17" Type="http://schemas.openxmlformats.org/officeDocument/2006/relationships/hyperlink" Target="https://www.iieta.org/journals/ria/paper/10.18280/ria.350107" TargetMode="External"/><Relationship Id="rId16" Type="http://schemas.openxmlformats.org/officeDocument/2006/relationships/hyperlink" Target="https://www.kaggle.com/datasets/yasserh/imdb-movie-ratings-sentiment-analysis"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www.iieta.org/journals/ria/paper/10.18280/ria.350107" TargetMode="External"/><Relationship Id="rId7" Type="http://schemas.openxmlformats.org/officeDocument/2006/relationships/image" Target="media/image5.png"/><Relationship Id="rId8" Type="http://schemas.openxmlformats.org/officeDocument/2006/relationships/hyperlink" Target="http://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20GreRSwORY+DRClSKNpPCtiGg==">CgMxLjAaHwoBMBIaChgICVIUChJ0YWJsZS45b2RrMnRyNDhobmYyDmguNmJ1NXM3bXFtNmVoMg5oLjhwcjBpcHB6MHVyejgAciExVEk4bnJsVnZpc3RreVJBdUJ2Tm9TdmNwLU1jZUlFNDg=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2021-05-11T23:32:00Z</dcterms:created>
</cp:coreProperties>
</file>