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SQL Assignment 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First, import dataset from MYSQL work branch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Some question just needs an answer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Example: what is average of salaries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Answer: 2000$</w:t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Queries will be on the following database: 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0" distR="0">
            <wp:extent cx="6858000" cy="3852597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the "Customer Name" and "City" columns from the "Customers" table.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Q.2: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What is the number of different (distinct) customer countries?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Q.3: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the customers from the country "London", in the "Customers" table: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Q.4: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Show the Customer information with code 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highlight w:val="white"/>
          <w:rtl w:val="0"/>
        </w:rPr>
        <w:t xml:space="preserve">C00015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Q.5: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fields from "Customers" where country is 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USA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" or 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India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Q.6: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fields from "Customers" where city is NOT 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Bangalore"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Q.7: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highlight w:val="white"/>
          <w:rtl w:val="0"/>
        </w:rPr>
        <w:t xml:space="preserve">selects all customers from the "Customers" table, sorted DESCENDING by the "city" column.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Q.8: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finds the biggest amount of order: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Q.9: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finds the number of orders.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Q.10: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finds the average amount of all orders.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Q.11: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customers with a Customer Name starting with "m".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Q.12: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customers with a Customer Name starting with "s".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Q.13: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customers that are in 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Australia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", 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USA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" or "UK".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Q.14: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orders in January.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Q.15: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the customers with amount payment between 1000 and 4000.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Q.16: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selects all orders with customer information.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Q.17: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select all customers, and any orders information they might have.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Q.18: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lists the number of customers in each country.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Q.19: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lists the number of orders sent by each agent.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Q.20: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 lists the number of customers in each country. Only include countries with more than 5 customers.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