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Asteron Vendor Access Standard</w:t>
      </w:r>
    </w:p>
    <w:p>
      <w:pPr>
        <w:pStyle w:val="Subtitle"/>
      </w:pPr>
      <w:r>
        <w:rPr>
          <w:color w:val="2A6F97"/>
          <w:sz w:val="24"/>
        </w:rPr>
        <w:t>Control requirements for third-party access to production systems</w:t>
      </w:r>
    </w:p>
    <w:tbl>
      <w:tblPr>
        <w:tblW w:type="auto" w:w="0"/>
        <w:tblLayout w:type="fixed"/>
        <w:tblLook w:firstColumn="1" w:firstRow="1" w:lastColumn="0" w:lastRow="0" w:noHBand="0" w:noVBand="1" w:val="04A0"/>
        <w:tblBorders>
          <w:top w:val="single" w:sz="6" w:color="D9E1E8"/>
          <w:left w:val="single" w:sz="6" w:color="D9E1E8"/>
          <w:bottom w:val="single" w:sz="6" w:color="D9E1E8"/>
          <w:right w:val="single" w:sz="6" w:color="D9E1E8"/>
          <w:insideH w:val="single" w:sz="6" w:color="D9E1E8"/>
          <w:insideV w:val="single" w:sz="6" w:color="D9E1E8"/>
        </w:tblBorders>
      </w:tblPr>
      <w:tblGrid>
        <w:gridCol w:w="2469"/>
        <w:gridCol w:w="2469"/>
        <w:gridCol w:w="2469"/>
        <w:gridCol w:w="2469"/>
      </w:tblGrid>
      <w:tr>
        <w:tc>
          <w:tcPr>
            <w:tcW w:type="dxa" w:w="1584"/>
            <w:vAlign w:val="center"/>
            <w:tcMar>
              <w:top w:w="120" w:type="dxa"/>
              <w:start w:w="140" w:type="dxa"/>
              <w:bottom w:w="120" w:type="dxa"/>
              <w:end w:w="140" w:type="dxa"/>
            </w:tcMar>
            <w:shd w:fill="EAF3F8"/>
          </w:tcPr>
          <w:p>
            <w:pPr>
              <w:spacing w:after="0"/>
            </w:pPr>
            <w:r>
              <w:rPr>
                <w:b/>
                <w:sz w:val="18"/>
              </w:rPr>
              <w:t>Owner</w:t>
            </w:r>
          </w:p>
        </w:tc>
        <w:tc>
          <w:tcPr>
            <w:tcW w:type="dxa" w:w="3240"/>
            <w:vAlign w:val="center"/>
            <w:tcMar>
              <w:top w:w="120" w:type="dxa"/>
              <w:start w:w="140" w:type="dxa"/>
              <w:bottom w:w="120" w:type="dxa"/>
              <w:end w:w="140" w:type="dxa"/>
            </w:tcMar>
          </w:tcPr>
          <w:p>
            <w:pPr>
              <w:spacing w:after="0"/>
            </w:pPr>
            <w:r>
              <w:rPr>
                <w:sz w:val="18"/>
              </w:rPr>
              <w:t>Security Operations</w:t>
            </w:r>
          </w:p>
        </w:tc>
        <w:tc>
          <w:tcPr>
            <w:tcW w:type="dxa" w:w="1584"/>
            <w:vAlign w:val="center"/>
            <w:tcMar>
              <w:top w:w="120" w:type="dxa"/>
              <w:start w:w="140" w:type="dxa"/>
              <w:bottom w:w="120" w:type="dxa"/>
              <w:end w:w="140" w:type="dxa"/>
            </w:tcMar>
            <w:shd w:fill="EAF3F8"/>
          </w:tcPr>
          <w:p>
            <w:pPr>
              <w:spacing w:after="0"/>
            </w:pPr>
            <w:r>
              <w:rPr>
                <w:b/>
                <w:sz w:val="18"/>
              </w:rPr>
              <w:t>Version</w:t>
            </w:r>
          </w:p>
        </w:tc>
        <w:tc>
          <w:tcPr>
            <w:tcW w:type="dxa" w:w="3240"/>
            <w:vAlign w:val="center"/>
            <w:tcMar>
              <w:top w:w="120" w:type="dxa"/>
              <w:start w:w="140" w:type="dxa"/>
              <w:bottom w:w="120" w:type="dxa"/>
              <w:end w:w="140" w:type="dxa"/>
            </w:tcMar>
          </w:tcPr>
          <w:p>
            <w:pPr>
              <w:spacing w:after="0"/>
            </w:pPr>
            <w:r>
              <w:rPr>
                <w:sz w:val="18"/>
              </w:rPr>
              <w:t>3.2</w:t>
            </w:r>
          </w:p>
        </w:tc>
      </w:tr>
      <w:tr>
        <w:tc>
          <w:tcPr>
            <w:tcW w:type="dxa" w:w="1584"/>
            <w:vAlign w:val="center"/>
            <w:tcMar>
              <w:top w:w="120" w:type="dxa"/>
              <w:start w:w="140" w:type="dxa"/>
              <w:bottom w:w="120" w:type="dxa"/>
              <w:end w:w="140" w:type="dxa"/>
            </w:tcMar>
            <w:shd w:fill="EAF3F8"/>
          </w:tcPr>
          <w:p>
            <w:pPr>
              <w:spacing w:after="0"/>
            </w:pPr>
            <w:r>
              <w:rPr>
                <w:b/>
                <w:sz w:val="18"/>
              </w:rPr>
              <w:t>Effective</w:t>
            </w:r>
          </w:p>
        </w:tc>
        <w:tc>
          <w:tcPr>
            <w:tcW w:type="dxa" w:w="3240"/>
            <w:vAlign w:val="center"/>
            <w:tcMar>
              <w:top w:w="120" w:type="dxa"/>
              <w:start w:w="140" w:type="dxa"/>
              <w:bottom w:w="120" w:type="dxa"/>
              <w:end w:w="140" w:type="dxa"/>
            </w:tcMar>
          </w:tcPr>
          <w:p>
            <w:pPr>
              <w:spacing w:after="0"/>
            </w:pPr>
            <w:r>
              <w:rPr>
                <w:sz w:val="18"/>
              </w:rPr>
              <w:t>15 August 2026</w:t>
            </w:r>
          </w:p>
        </w:tc>
        <w:tc>
          <w:tcPr>
            <w:tcW w:type="dxa" w:w="1584"/>
            <w:vAlign w:val="center"/>
            <w:tcMar>
              <w:top w:w="120" w:type="dxa"/>
              <w:start w:w="140" w:type="dxa"/>
              <w:bottom w:w="120" w:type="dxa"/>
              <w:end w:w="140" w:type="dxa"/>
            </w:tcMar>
            <w:shd w:fill="EAF3F8"/>
          </w:tcPr>
          <w:p>
            <w:pPr>
              <w:spacing w:after="0"/>
            </w:pPr>
            <w:r>
              <w:rPr>
                <w:b/>
                <w:sz w:val="18"/>
              </w:rPr>
              <w:t>Review</w:t>
            </w:r>
          </w:p>
        </w:tc>
        <w:tc>
          <w:tcPr>
            <w:tcW w:type="dxa" w:w="3240"/>
            <w:vAlign w:val="center"/>
            <w:tcMar>
              <w:top w:w="120" w:type="dxa"/>
              <w:start w:w="140" w:type="dxa"/>
              <w:bottom w:w="120" w:type="dxa"/>
              <w:end w:w="140" w:type="dxa"/>
            </w:tcMar>
          </w:tcPr>
          <w:p>
            <w:pPr>
              <w:spacing w:after="0"/>
            </w:pPr>
            <w:r>
              <w:rPr>
                <w:sz w:val="18"/>
              </w:rPr>
              <w:t>15 February 2027</w:t>
            </w:r>
          </w:p>
        </w:tc>
      </w:tr>
    </w:tbl>
    <w:p>
      <w:pPr>
        <w:pStyle w:val="Heading1"/>
      </w:pPr>
      <w:r>
        <w:t>Purpose and scope</w:t>
      </w:r>
    </w:p>
    <w:p>
      <w:r>
        <w:t>This standard defines how Asteron Systems grants, monitors, reviews, and removes access for vendors and contractors. It applies to production systems, customer data environments, administrative consoles, and support tooling.</w:t>
      </w:r>
    </w:p>
    <w:p>
      <w:r>
        <w:t>Third-party access is temporary by default. Every account must have a named internal sponsor, a documented business purpose, an approved end date, and controls that allow Security Operations to reconstruct the session.</w:t>
      </w:r>
    </w:p>
    <w:p>
      <w:pPr>
        <w:pStyle w:val="Heading1"/>
      </w:pPr>
      <w:r>
        <w:t>Access approval</w:t>
      </w:r>
    </w:p>
    <w:p>
      <w:r>
        <w:t>A vendor access request requires approval from the system owner and Security Operations. Access to restricted customer data also requires approval from the Data Protection Officer. Shared vendor accounts are prohibited.</w:t>
      </w:r>
    </w:p>
    <w:tbl>
      <w:tblPr>
        <w:tblW w:type="auto" w:w="0"/>
        <w:tblLayout w:type="fixed"/>
        <w:tblLook w:firstColumn="1" w:firstRow="1" w:lastColumn="0" w:lastRow="0" w:noHBand="0" w:noVBand="1" w:val="04A0"/>
        <w:tblBorders>
          <w:top w:val="single" w:sz="6" w:color="D9E1E8"/>
          <w:left w:val="single" w:sz="6" w:color="D9E1E8"/>
          <w:bottom w:val="single" w:sz="6" w:color="D9E1E8"/>
          <w:right w:val="single" w:sz="6" w:color="D9E1E8"/>
          <w:insideH w:val="single" w:sz="6" w:color="D9E1E8"/>
          <w:insideV w:val="single" w:sz="6" w:color="D9E1E8"/>
        </w:tblBorders>
      </w:tblPr>
      <w:tblGrid>
        <w:gridCol w:w="3293"/>
        <w:gridCol w:w="3293"/>
        <w:gridCol w:w="3293"/>
      </w:tblGrid>
      <w:tr>
        <w:tc>
          <w:tcPr>
            <w:tcW w:type="dxa" w:w="2952"/>
            <w:shd w:fill="17324D"/>
            <w:tcMar>
              <w:top w:w="120" w:type="dxa"/>
              <w:start w:w="140" w:type="dxa"/>
              <w:bottom w:w="120" w:type="dxa"/>
              <w:end w:w="140" w:type="dxa"/>
            </w:tcMar>
            <w:vAlign w:val="center"/>
          </w:tcPr>
          <w:p>
            <w:r>
              <w:rPr>
                <w:b/>
                <w:color w:val="FFFFFF"/>
                <w:sz w:val="18"/>
              </w:rPr>
              <w:t>Access type</w:t>
            </w:r>
          </w:p>
        </w:tc>
        <w:tc>
          <w:tcPr>
            <w:tcW w:type="dxa" w:w="3024"/>
            <w:shd w:fill="17324D"/>
            <w:tcMar>
              <w:top w:w="120" w:type="dxa"/>
              <w:start w:w="140" w:type="dxa"/>
              <w:bottom w:w="120" w:type="dxa"/>
              <w:end w:w="140" w:type="dxa"/>
            </w:tcMar>
            <w:vAlign w:val="center"/>
          </w:tcPr>
          <w:p>
            <w:r>
              <w:rPr>
                <w:b/>
                <w:color w:val="FFFFFF"/>
                <w:sz w:val="18"/>
              </w:rPr>
              <w:t>Required approvers</w:t>
            </w:r>
          </w:p>
        </w:tc>
        <w:tc>
          <w:tcPr>
            <w:tcW w:type="dxa" w:w="3456"/>
            <w:shd w:fill="17324D"/>
            <w:tcMar>
              <w:top w:w="120" w:type="dxa"/>
              <w:start w:w="140" w:type="dxa"/>
              <w:bottom w:w="120" w:type="dxa"/>
              <w:end w:w="140" w:type="dxa"/>
            </w:tcMar>
            <w:vAlign w:val="center"/>
          </w:tcPr>
          <w:p>
            <w:r>
              <w:rPr>
                <w:b/>
                <w:color w:val="FFFFFF"/>
                <w:sz w:val="18"/>
              </w:rPr>
              <w:t>Maximum initial duration</w:t>
            </w:r>
          </w:p>
        </w:tc>
      </w:tr>
      <w:tr>
        <w:tc>
          <w:tcPr>
            <w:tcW w:type="dxa" w:w="3293"/>
            <w:tcMar>
              <w:top w:w="120" w:type="dxa"/>
              <w:start w:w="140" w:type="dxa"/>
              <w:bottom w:w="120" w:type="dxa"/>
              <w:end w:w="140" w:type="dxa"/>
            </w:tcMar>
            <w:vAlign w:val="center"/>
          </w:tcPr>
          <w:p>
            <w:pPr>
              <w:spacing w:after="0"/>
            </w:pPr>
            <w:r>
              <w:rPr>
                <w:sz w:val="18"/>
              </w:rPr>
              <w:t>Standard support</w:t>
            </w:r>
          </w:p>
        </w:tc>
        <w:tc>
          <w:tcPr>
            <w:tcW w:type="dxa" w:w="3293"/>
            <w:tcMar>
              <w:top w:w="120" w:type="dxa"/>
              <w:start w:w="140" w:type="dxa"/>
              <w:bottom w:w="120" w:type="dxa"/>
              <w:end w:w="140" w:type="dxa"/>
            </w:tcMar>
            <w:vAlign w:val="center"/>
          </w:tcPr>
          <w:p>
            <w:pPr>
              <w:spacing w:after="0"/>
            </w:pPr>
            <w:r>
              <w:rPr>
                <w:sz w:val="18"/>
              </w:rPr>
              <w:t>System owner and Security Operations</w:t>
            </w:r>
          </w:p>
        </w:tc>
        <w:tc>
          <w:tcPr>
            <w:tcW w:type="dxa" w:w="3293"/>
            <w:tcMar>
              <w:top w:w="120" w:type="dxa"/>
              <w:start w:w="140" w:type="dxa"/>
              <w:bottom w:w="120" w:type="dxa"/>
              <w:end w:w="140" w:type="dxa"/>
            </w:tcMar>
            <w:vAlign w:val="center"/>
          </w:tcPr>
          <w:p>
            <w:pPr>
              <w:spacing w:after="0"/>
            </w:pPr>
            <w:r>
              <w:rPr>
                <w:sz w:val="18"/>
              </w:rPr>
              <w:t>30 calendar days</w:t>
            </w:r>
          </w:p>
        </w:tc>
      </w:tr>
      <w:tr>
        <w:tc>
          <w:tcPr>
            <w:tcW w:type="dxa" w:w="3293"/>
            <w:tcMar>
              <w:top w:w="120" w:type="dxa"/>
              <w:start w:w="140" w:type="dxa"/>
              <w:bottom w:w="120" w:type="dxa"/>
              <w:end w:w="140" w:type="dxa"/>
            </w:tcMar>
            <w:vAlign w:val="center"/>
            <w:shd w:fill="F4F8FB"/>
          </w:tcPr>
          <w:p>
            <w:pPr>
              <w:spacing w:after="0"/>
            </w:pPr>
            <w:r>
              <w:rPr>
                <w:sz w:val="18"/>
              </w:rPr>
              <w:t>Privileged production</w:t>
            </w:r>
          </w:p>
        </w:tc>
        <w:tc>
          <w:tcPr>
            <w:tcW w:type="dxa" w:w="3293"/>
            <w:tcMar>
              <w:top w:w="120" w:type="dxa"/>
              <w:start w:w="140" w:type="dxa"/>
              <w:bottom w:w="120" w:type="dxa"/>
              <w:end w:w="140" w:type="dxa"/>
            </w:tcMar>
            <w:vAlign w:val="center"/>
            <w:shd w:fill="F4F8FB"/>
          </w:tcPr>
          <w:p>
            <w:pPr>
              <w:spacing w:after="0"/>
            </w:pPr>
            <w:r>
              <w:rPr>
                <w:sz w:val="18"/>
              </w:rPr>
              <w:t>System owner and Security Operations</w:t>
            </w:r>
          </w:p>
        </w:tc>
        <w:tc>
          <w:tcPr>
            <w:tcW w:type="dxa" w:w="3293"/>
            <w:tcMar>
              <w:top w:w="120" w:type="dxa"/>
              <w:start w:w="140" w:type="dxa"/>
              <w:bottom w:w="120" w:type="dxa"/>
              <w:end w:w="140" w:type="dxa"/>
            </w:tcMar>
            <w:vAlign w:val="center"/>
            <w:shd w:fill="F4F8FB"/>
          </w:tcPr>
          <w:p>
            <w:pPr>
              <w:spacing w:after="0"/>
            </w:pPr>
            <w:r>
              <w:rPr>
                <w:sz w:val="18"/>
              </w:rPr>
              <w:t>7 calendar days</w:t>
            </w:r>
          </w:p>
        </w:tc>
      </w:tr>
      <w:tr>
        <w:tc>
          <w:tcPr>
            <w:tcW w:type="dxa" w:w="3293"/>
            <w:tcMar>
              <w:top w:w="120" w:type="dxa"/>
              <w:start w:w="140" w:type="dxa"/>
              <w:bottom w:w="120" w:type="dxa"/>
              <w:end w:w="140" w:type="dxa"/>
            </w:tcMar>
            <w:vAlign w:val="center"/>
          </w:tcPr>
          <w:p>
            <w:pPr>
              <w:spacing w:after="0"/>
            </w:pPr>
            <w:r>
              <w:rPr>
                <w:sz w:val="18"/>
              </w:rPr>
              <w:t>Restricted customer data</w:t>
            </w:r>
          </w:p>
        </w:tc>
        <w:tc>
          <w:tcPr>
            <w:tcW w:type="dxa" w:w="3293"/>
            <w:tcMar>
              <w:top w:w="120" w:type="dxa"/>
              <w:start w:w="140" w:type="dxa"/>
              <w:bottom w:w="120" w:type="dxa"/>
              <w:end w:w="140" w:type="dxa"/>
            </w:tcMar>
            <w:vAlign w:val="center"/>
          </w:tcPr>
          <w:p>
            <w:pPr>
              <w:spacing w:after="0"/>
            </w:pPr>
            <w:r>
              <w:rPr>
                <w:sz w:val="18"/>
              </w:rPr>
              <w:t>System owner, Security Operations, and DPO</w:t>
            </w:r>
          </w:p>
        </w:tc>
        <w:tc>
          <w:tcPr>
            <w:tcW w:type="dxa" w:w="3293"/>
            <w:tcMar>
              <w:top w:w="120" w:type="dxa"/>
              <w:start w:w="140" w:type="dxa"/>
              <w:bottom w:w="120" w:type="dxa"/>
              <w:end w:w="140" w:type="dxa"/>
            </w:tcMar>
            <w:vAlign w:val="center"/>
          </w:tcPr>
          <w:p>
            <w:pPr>
              <w:spacing w:after="0"/>
            </w:pPr>
            <w:r>
              <w:rPr>
                <w:sz w:val="18"/>
              </w:rPr>
              <w:t>24 hours</w:t>
            </w:r>
          </w:p>
        </w:tc>
      </w:tr>
    </w:tbl>
    <w:p>
      <w:pPr>
        <w:pStyle w:val="Heading1"/>
      </w:pPr>
      <w:r>
        <w:t>Authentication and session controls</w:t>
      </w:r>
    </w:p>
    <w:p>
      <w:pPr>
        <w:pStyle w:val="ListBullet"/>
      </w:pPr>
      <w:r>
        <w:t>Multi-factor authentication is mandatory for every vendor account.</w:t>
      </w:r>
    </w:p>
    <w:p>
      <w:pPr>
        <w:pStyle w:val="ListBullet"/>
      </w:pPr>
      <w:r>
        <w:t>Privileged sessions must pass through the managed access gateway. Direct administrative access from the public internet is prohibited.</w:t>
      </w:r>
    </w:p>
    <w:p>
      <w:pPr>
        <w:pStyle w:val="ListBullet"/>
      </w:pPr>
      <w:r>
        <w:t>Session recordings for privileged vendor access must be retained for 180 days.</w:t>
      </w:r>
    </w:p>
    <w:p>
      <w:pPr>
        <w:pStyle w:val="ListBullet"/>
      </w:pPr>
      <w:r>
        <w:t>Vendors may connect only from registered devices that use full-disk encryption and a supported endpoint protection agent.</w:t>
      </w:r>
    </w:p>
    <w:p>
      <w:pPr>
        <w:pStyle w:val="Heading1"/>
      </w:pPr>
      <w:r>
        <w:t>Review and removal</w:t>
      </w:r>
    </w:p>
    <w:p>
      <w:r>
        <w:t>Security Operations reviews active vendor accounts on the first business day of every month. The internal sponsor must confirm that access remains necessary. Unconfirmed access is suspended within one business day.</w:t>
      </w:r>
    </w:p>
    <w:p>
      <w:r>
        <w:t>When a contract ends or a sponsor requests removal, vendor access must be revoked within four hours. Emergency revocation requests are handled immediately through the security hotline.</w:t>
      </w:r>
    </w:p>
    <w:p>
      <w:pPr>
        <w:pStyle w:val="Heading1"/>
      </w:pPr>
      <w:r>
        <w:t>Exceptions and evidence</w:t>
      </w:r>
    </w:p>
    <w:p>
      <w:r>
        <w:t>Exceptions require written approval from the Chief Information Security Officer, must identify compensating controls, and may not exceed 14 calendar days. Access approvals, review confirmations, gateway logs, and revocation records must be retained for one year.</w:t>
      </w:r>
    </w:p>
    <w:p>
      <w:r>
        <w:t>Control owners must provide these records to Internal Audit within three business days of a written request.</w:t>
      </w:r>
    </w:p>
    <w:sectPr w:rsidR="00FC693F" w:rsidRPr="0006063C" w:rsidSect="00034616">
      <w:footerReference w:type="default" r:id="rId9"/>
      <w:pgSz w:w="12240" w:h="15840"/>
      <w:pgMar w:top="1037" w:right="1181" w:bottom="979"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C6975"/>
        <w:sz w:val="16"/>
      </w:rPr>
      <w:t>Asteron Systems  |  Vendor Access Standard  |  Effective 15 August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ptos" w:hAnsi="Aptos"/>
      <w:color w:val="232D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contextualSpacing/>
    </w:pPr>
    <w:rPr>
      <w:rFonts w:asciiTheme="majorHAnsi" w:eastAsiaTheme="majorEastAsia" w:hAnsiTheme="majorHAnsi" w:cstheme="majorBidi" w:ascii="Aptos Display" w:hAnsi="Aptos Display"/>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