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1.png" ContentType="image/png"/>
  <Override PartName="/word/media/rId4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f4ca085df1295e3ff05fa46a8fd0d0e9795e17"/>
      <w:r>
        <w:t xml:space="preserve">Why genomic prediction of colistin resistance does not transfer between</w:t>
      </w:r>
      <w:r>
        <w:t xml:space="preserve"> </w:t>
      </w:r>
      <w:r>
        <w:rPr>
          <w:i/>
        </w:rPr>
        <w:t xml:space="preserve">Klebsiella pneumoniae</w:t>
      </w:r>
      <w:r>
        <w:t xml:space="preserve"> </w:t>
      </w:r>
      <w:r>
        <w:t xml:space="preserve">collections</w:t>
      </w:r>
      <w:bookmarkEnd w:id="20"/>
    </w:p>
    <w:p>
      <w:pPr>
        <w:pStyle w:val="FirstParagraph"/>
      </w:pPr>
      <w:r>
        <w:t xml:space="preserve">Md Omar Faruqe and Md Humayun Kabir</w:t>
      </w:r>
    </w:p>
    <w:p>
      <w:pPr>
        <w:pStyle w:val="BodyText"/>
      </w:pPr>
      <w:r>
        <w:t xml:space="preserve">Department of Computer Science and Engineering, University of Rajshahi, Rajshahi 6205, Bangladesh</w:t>
      </w:r>
    </w:p>
    <w:p>
      <w:pPr>
        <w:pStyle w:val="BodyText"/>
      </w:pPr>
      <w:r>
        <w:t xml:space="preserve">Correspondence: Md Humayun Kabir (hkj_cse@ru.ac.bd)</w:t>
      </w:r>
    </w:p>
    <w:p>
      <w:pPr>
        <w:pStyle w:val="BodyText"/>
      </w:pPr>
      <w:r>
        <w:t xml:space="preserve">Code and data: https://github.com/omarfaruqe/klebsiella-amr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mpact-statement"/>
      <w:r>
        <w:t xml:space="preserve">Impact Statement</w:t>
      </w:r>
      <w:bookmarkEnd w:id="21"/>
    </w:p>
    <w:p>
      <w:pPr>
        <w:pStyle w:val="FirstParagraph"/>
      </w:pPr>
      <w:r>
        <w:t xml:space="preserve">Genomic prediction of antimicrobial resistance is routinely evaluated by splitting genomes at</w:t>
      </w:r>
      <w:r>
        <w:t xml:space="preserve"> </w:t>
      </w:r>
      <w:r>
        <w:t xml:space="preserve">random, a design that places near-identical isolates on both sides of the split. This study shows,</w:t>
      </w:r>
      <w:r>
        <w:t xml:space="preserve"> </w:t>
      </w:r>
      <w:r>
        <w:t xml:space="preserve">for one well-defined mechanism, what that design conceals. A targeted check for disruption of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— the commonest route to colistin resistance in</w:t>
      </w:r>
      <w:r>
        <w:t xml:space="preserve"> </w:t>
      </w:r>
      <w:r>
        <w:rPr>
          <w:i/>
        </w:rPr>
        <w:t xml:space="preserve">Klebsiella pneumoniae</w:t>
      </w:r>
      <w:r>
        <w:t xml:space="preserve">, and one that</w:t>
      </w:r>
      <w:r>
        <w:t xml:space="preserve"> </w:t>
      </w:r>
      <w:r>
        <w:t xml:space="preserve">short-read assemblies systematically hide — recovers substantial sensitivity that gene screens</w:t>
      </w:r>
      <w:r>
        <w:t xml:space="preserve"> </w:t>
      </w:r>
      <w:r>
        <w:t xml:space="preserve">miss, yet the same unfitted rule varies from 39.5% to 70.6% sensitivity between public</w:t>
      </w:r>
      <w:r>
        <w:t xml:space="preserve"> </w:t>
      </w:r>
      <w:r>
        <w:t xml:space="preserve">collections. Machine-learning models outperform the rule under random splitting and fall below it</w:t>
      </w:r>
      <w:r>
        <w:t xml:space="preserve"> </w:t>
      </w:r>
      <w:r>
        <w:t xml:space="preserve">when lineages are held out. For anyone building or evaluating genomic resistance predictors, three</w:t>
      </w:r>
      <w:r>
        <w:t xml:space="preserve"> </w:t>
      </w:r>
      <w:r>
        <w:t xml:space="preserve">consequences follow: reported performance depends on validation design as much as on method;</w:t>
      </w:r>
      <w:r>
        <w:t xml:space="preserve"> </w:t>
      </w:r>
      <w:r>
        <w:t xml:space="preserve">study-aware and lineage-aware splits do not substitute for one another; and external validation on</w:t>
      </w:r>
      <w:r>
        <w:t xml:space="preserve"> </w:t>
      </w:r>
      <w:r>
        <w:t xml:space="preserve">a de-overlapped collection is achievable from public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bstract"/>
      <w:r>
        <w:t xml:space="preserve">Abstract</w:t>
      </w:r>
      <w:bookmarkEnd w:id="22"/>
    </w:p>
    <w:p>
      <w:pPr>
        <w:pStyle w:val="FirstParagraph"/>
      </w:pPr>
      <w:r>
        <w:rPr>
          <w:b/>
        </w:rPr>
        <w:t xml:space="preserve">Background.</w:t>
      </w:r>
      <w:r>
        <w:t xml:space="preserve"> </w:t>
      </w:r>
      <w:r>
        <w:t xml:space="preserve">Genomic prediction of antimicrobial susceptibility is accurate for drugs whose</w:t>
      </w:r>
      <w:r>
        <w:t xml:space="preserve"> </w:t>
      </w:r>
      <w:r>
        <w:t xml:space="preserve">resistance is conferred by acquired genes, but poor for colistin, where resistance in</w:t>
      </w:r>
      <w:r>
        <w:t xml:space="preserve"> </w:t>
      </w:r>
      <w:r>
        <w:rPr>
          <w:i/>
        </w:rPr>
        <w:t xml:space="preserve">Klebsiella pneumoniae</w:t>
      </w:r>
      <w:r>
        <w:t xml:space="preserve"> </w:t>
      </w:r>
      <w:r>
        <w:t xml:space="preserve">arises largely from loss of the chromosomal regulator</w:t>
      </w:r>
      <w:r>
        <w:t xml:space="preserve"> </w:t>
      </w:r>
      <w:r>
        <w:rPr>
          <w:i/>
        </w:rPr>
        <w:t xml:space="preserve">mgrB</w:t>
      </w:r>
      <w:r>
        <w:t xml:space="preserve">. Whether</w:t>
      </w:r>
      <w:r>
        <w:t xml:space="preserve"> </w:t>
      </w:r>
      <w:r>
        <w:t xml:space="preserve">machine learning closes that gap has not been examined at the level of an individual mechanism.</w:t>
      </w:r>
    </w:p>
    <w:p>
      <w:pPr>
        <w:pStyle w:val="BodyText"/>
      </w:pPr>
      <w:r>
        <w:rPr>
          <w:b/>
        </w:rPr>
        <w:t xml:space="preserve">Methods.</w:t>
      </w:r>
      <w:r>
        <w:t xml:space="preserve"> </w:t>
      </w:r>
      <w:r>
        <w:t xml:space="preserve">We assembled 6,652 public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genomes with laboratory susceptibility</w:t>
      </w:r>
      <w:r>
        <w:t xml:space="preserve"> </w:t>
      </w:r>
      <w:r>
        <w:t xml:space="preserve">results, re-interpreted every minimum inhibitory concentration under one standard (EUCAST v16.1),</w:t>
      </w:r>
      <w:r>
        <w:t xml:space="preserve"> </w:t>
      </w:r>
      <w:r>
        <w:t xml:space="preserve">and added a 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check addressing the assembly-break failure mode gene screens miss.</w:t>
      </w:r>
      <w:r>
        <w:t xml:space="preserve"> </w:t>
      </w:r>
      <w:r>
        <w:t xml:space="preserve">Rules were benchmarked against logistic regression and gradient boosting under random,</w:t>
      </w:r>
      <w:r>
        <w:t xml:space="preserve"> </w:t>
      </w:r>
      <w:r>
        <w:t xml:space="preserve">study-aware, lineage-aware and temporal splits, then applied, frozen, to an independent cohort</w:t>
      </w:r>
      <w:r>
        <w:t xml:space="preserve"> </w:t>
      </w:r>
      <w:r>
        <w:t xml:space="preserve">from NCBI Pathogen Detection.</w:t>
      </w:r>
    </w:p>
    <w:p>
      <w:pPr>
        <w:pStyle w:val="BodyText"/>
      </w:pPr>
      <w:r>
        <w:rPr>
          <w:b/>
        </w:rPr>
        <w:t xml:space="preserve">Results.</w:t>
      </w:r>
      <w:r>
        <w:t xml:space="preserve"> </w:t>
      </w:r>
      <w:r>
        <w:t xml:space="preserve">Mechanism-specified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raised colistin sensitivity from 28.3% to 56.7%</w:t>
      </w:r>
      <w:r>
        <w:t xml:space="preserve"> </w:t>
      </w:r>
      <w:r>
        <w:t xml:space="preserve">for AMRFinderPlus and from 39.5% to 45.5% for Kleborate, which already calls MgrB truncations; the</w:t>
      </w:r>
      <w:r>
        <w:t xml:space="preserve"> </w:t>
      </w:r>
      <w:r>
        <w:t xml:space="preserve">breaks carried insertion-sequence signatures. This unfitted rule ranged from 39.5% to 70.6%</w:t>
      </w:r>
      <w:r>
        <w:t xml:space="preserve"> </w:t>
      </w:r>
      <w:r>
        <w:t xml:space="preserve">sensitivity across held-out collections. Models exceeded the rule under random splitting (balanced</w:t>
      </w:r>
      <w:r>
        <w:t xml:space="preserve"> </w:t>
      </w:r>
      <w:r>
        <w:t xml:space="preserve">accuracy 0.844 versus 0.759) but fell below it when sequence types were held out (0.709–0.731), a</w:t>
      </w:r>
      <w:r>
        <w:t xml:space="preserve"> </w:t>
      </w:r>
      <w:r>
        <w:t xml:space="preserve">reversal surviving correction across 54 comparisons. A sequence-type-only predictor reached just</w:t>
      </w:r>
      <w:r>
        <w:t xml:space="preserve"> </w:t>
      </w:r>
      <w:r>
        <w:t xml:space="preserve">0.554, so the advantage was not simple lineage memorisation. On 263 external isolates the frozen</w:t>
      </w:r>
      <w:r>
        <w:t xml:space="preserve"> </w:t>
      </w:r>
      <w:r>
        <w:t xml:space="preserve">rule reached 77.8% sensitivity (95% CI 67.6–85.5) at 99.5% specificity, its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component</w:t>
      </w:r>
      <w:r>
        <w:t xml:space="preserve"> </w:t>
      </w:r>
      <w:r>
        <w:t xml:space="preserve">performing as it had internally.</w:t>
      </w:r>
    </w:p>
    <w:p>
      <w:pPr>
        <w:pStyle w:val="BodyText"/>
      </w:pPr>
      <w:r>
        <w:rPr>
          <w:b/>
        </w:rPr>
        <w:t xml:space="preserve">Conclusions.</w:t>
      </w:r>
      <w:r>
        <w:t xml:space="preserve"> </w:t>
      </w:r>
      <w:r>
        <w:t xml:space="preserve">The apparent superiority of machine learning for colistin is an artefact of</w:t>
      </w:r>
      <w:r>
        <w:t xml:space="preserve"> </w:t>
      </w:r>
      <w:r>
        <w:t xml:space="preserve">validation design. More fundamentally, the mechanistic composition of colistin resistance differs</w:t>
      </w:r>
      <w:r>
        <w:t xml:space="preserve"> </w:t>
      </w:r>
      <w:r>
        <w:t xml:space="preserve">substantially between public collections, so neither rules nor models transfer reliably — a limit</w:t>
      </w:r>
      <w:r>
        <w:t xml:space="preserve"> </w:t>
      </w:r>
      <w:r>
        <w:t xml:space="preserve">random and study-aware validation conceal. Genomic AMR evaluations should report a</w:t>
      </w:r>
      <w:r>
        <w:t xml:space="preserve"> </w:t>
      </w:r>
      <w:r>
        <w:t xml:space="preserve">mechanism-specified rule baseline, harmonise breakpoints, and use lineage-aware splits.</w:t>
      </w:r>
    </w:p>
    <w:p>
      <w:pPr>
        <w:pStyle w:val="Heading2"/>
      </w:pPr>
      <w:bookmarkStart w:id="23" w:name="data-summary"/>
      <w:r>
        <w:t xml:space="preserve">Data Summary</w:t>
      </w:r>
      <w:bookmarkEnd w:id="23"/>
    </w:p>
    <w:p>
      <w:pPr>
        <w:pStyle w:val="FirstParagraph"/>
      </w:pPr>
      <w:r>
        <w:t xml:space="preserve">All data supporting this study are publicly available, and no new sequence data were generated.</w:t>
      </w:r>
    </w:p>
    <w:p>
      <w:pPr>
        <w:pStyle w:val="BodyText"/>
      </w:pPr>
      <w:r>
        <w:t xml:space="preserve">Genome assemblies and antimicrobial susceptibility records for the internal cohort were obtained</w:t>
      </w:r>
      <w:r>
        <w:t xml:space="preserve"> </w:t>
      </w:r>
      <w:r>
        <w:t xml:space="preserve">from BV-BRC (https://www.bv-brc.org). The external validation cohort derives from NCBI Pathogen</w:t>
      </w:r>
      <w:r>
        <w:t xml:space="preserve"> </w:t>
      </w:r>
      <w:r>
        <w:t xml:space="preserve">Detection (https://www.ncbi.nlm.nih.gov/pathogens), retrieved by joining the</w:t>
      </w:r>
      <w:r>
        <w:t xml:space="preserve"> </w:t>
      </w:r>
      <w:r>
        <w:rPr>
          <w:rStyle w:val="VerbatimChar"/>
        </w:rPr>
        <w:t xml:space="preserve">pdbrowser.ast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pdbrowser.isolates</w:t>
      </w:r>
      <w:r>
        <w:t xml:space="preserve"> </w:t>
      </w:r>
      <w:r>
        <w:t xml:space="preserve">tables; the query used is version-controlled alongside the code that consumes</w:t>
      </w:r>
      <w:r>
        <w:t xml:space="preserve"> </w:t>
      </w:r>
      <w:r>
        <w:t xml:space="preserve">it. Assemblies for that cohort were downloaded from NCBI Datasets by assembly accession, and the</w:t>
      </w:r>
      <w:r>
        <w:t xml:space="preserve"> </w:t>
      </w:r>
      <w:r>
        <w:t xml:space="preserve">complete accession list with per-file SHA-256 checksums is provided in the repository. Phenotype</w:t>
      </w:r>
      <w:r>
        <w:t xml:space="preserve"> </w:t>
      </w:r>
      <w:r>
        <w:t xml:space="preserve">interpretation follows the EUCAST Clinical Breakpoint Tables v16.1 (https://www.eucast.org).</w:t>
      </w:r>
    </w:p>
    <w:p>
      <w:pPr>
        <w:pStyle w:val="BodyText"/>
      </w:pPr>
      <w:r>
        <w:t xml:space="preserve">Analysis code, pinned software environments, provenance manifests recording queries, retrieval</w:t>
      </w:r>
      <w:r>
        <w:t xml:space="preserve"> </w:t>
      </w:r>
      <w:r>
        <w:t xml:space="preserve">timestamps and checksums, architecture decision records, derived tables and figure sources are</w:t>
      </w:r>
      <w:r>
        <w:t xml:space="preserve"> </w:t>
      </w:r>
      <w:r>
        <w:t xml:space="preserve">available at https://github.com/omarfaruqe/klebsiella-amr and archived at Zenodo</w:t>
      </w:r>
      <w:r>
        <w:t xml:space="preserve"> </w:t>
      </w:r>
      <w:r>
        <w:t xml:space="preserve">(DOI 10.5281/zenodo.23668062 for the version reported here; 10.5281/zenodo.23634239 resolves to</w:t>
      </w:r>
      <w:r>
        <w:t xml:space="preserve"> </w:t>
      </w:r>
      <w:r>
        <w:t xml:space="preserve">all versions). A model card is at</w:t>
      </w:r>
      <w:r>
        <w:t xml:space="preserve"> </w:t>
      </w:r>
      <w:r>
        <w:rPr>
          <w:rStyle w:val="VerbatimChar"/>
        </w:rPr>
        <w:t xml:space="preserve">docs/model-card.md</w:t>
      </w:r>
      <w:r>
        <w:t xml:space="preserve">. Every reported figure and table regenerates</w:t>
      </w:r>
      <w:r>
        <w:t xml:space="preserve"> </w:t>
      </w:r>
      <w:r>
        <w:t xml:space="preserve">deterministically from the documented pipeline for a fixed seed.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Keywords:</w:t>
      </w:r>
      <w:r>
        <w:t xml:space="preserve"> </w:t>
      </w:r>
      <w:r>
        <w:t xml:space="preserve">antimicrobial resistance,</w:t>
      </w:r>
      <w:r>
        <w:t xml:space="preserve"> </w:t>
      </w:r>
      <w:r>
        <w:rPr>
          <w:i/>
        </w:rPr>
        <w:t xml:space="preserve">Klebsiella pneumoniae</w:t>
      </w:r>
      <w:r>
        <w:t xml:space="preserve">, colistin,</w:t>
      </w:r>
      <w:r>
        <w:t xml:space="preserve"> </w:t>
      </w:r>
      <w:r>
        <w:rPr>
          <w:i/>
        </w:rPr>
        <w:t xml:space="preserve">mgrB</w:t>
      </w:r>
      <w:r>
        <w:t xml:space="preserve">, genomic</w:t>
      </w:r>
      <w:r>
        <w:t xml:space="preserve"> </w:t>
      </w:r>
      <w:r>
        <w:t xml:space="preserve">prediction, external validity, data leakage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ntroduction"/>
      <w:r>
        <w:t xml:space="preserve">1. Introduction</w:t>
      </w:r>
      <w:bookmarkEnd w:id="24"/>
    </w:p>
    <w:p>
      <w:pPr>
        <w:pStyle w:val="FirstParagraph"/>
      </w:pPr>
      <w:r>
        <w:rPr>
          <w:i/>
        </w:rPr>
        <w:t xml:space="preserve">Klebsiella pneumoniae</w:t>
      </w:r>
      <w:r>
        <w:t xml:space="preserve"> </w:t>
      </w:r>
      <w:r>
        <w:t xml:space="preserve">is among the bacterial pathogens responsible for the greatest number of</w:t>
      </w:r>
      <w:r>
        <w:t xml:space="preserve"> </w:t>
      </w:r>
      <w:r>
        <w:t xml:space="preserve">deaths attributable to antimicrobial resistance worldwide [1]. For most drug–organism</w:t>
      </w:r>
      <w:r>
        <w:t xml:space="preserve"> </w:t>
      </w:r>
      <w:r>
        <w:t xml:space="preserve">combinations in this species, resistance is conferred by acquired genes or well-characterised</w:t>
      </w:r>
      <w:r>
        <w:t xml:space="preserve"> </w:t>
      </w:r>
      <w:r>
        <w:t xml:space="preserve">target mutations, and tools such as AMRFinderPlus [2] and Kleborate [3] detect them reliably.</w:t>
      </w:r>
      <w:r>
        <w:t xml:space="preserve"> </w:t>
      </w:r>
      <w:r>
        <w:t xml:space="preserve">Colistin is the conspicuous exception, and the exception matters: colistin is a last-line agent</w:t>
      </w:r>
      <w:r>
        <w:t xml:space="preserve"> </w:t>
      </w:r>
      <w:r>
        <w:t xml:space="preserve">against carbapenem-resistant isolates [4], and resistance arises predominantly not from an</w:t>
      </w:r>
      <w:r>
        <w:t xml:space="preserve"> </w:t>
      </w:r>
      <w:r>
        <w:t xml:space="preserve">acquired gene but from loss of function of</w:t>
      </w:r>
      <w:r>
        <w:t xml:space="preserve"> </w:t>
      </w:r>
      <w:r>
        <w:rPr>
          <w:i/>
        </w:rPr>
        <w:t xml:space="preserve">mgrB</w:t>
      </w:r>
      <w:r>
        <w:t xml:space="preserve">, a 47-codon chromosomal gene encoding a negative</w:t>
      </w:r>
      <w:r>
        <w:t xml:space="preserve"> </w:t>
      </w:r>
      <w:r>
        <w:t xml:space="preserve">regulator of the PhoPQ two-component system. Loss of MgrB de-represses PhoPQ, modifying lipid A</w:t>
      </w:r>
      <w:r>
        <w:t xml:space="preserve"> </w:t>
      </w:r>
      <w:r>
        <w:t xml:space="preserve">and reducing colistin binding [4,5]. Plasmid-borne</w:t>
      </w:r>
      <w:r>
        <w:t xml:space="preserve"> </w:t>
      </w:r>
      <w:r>
        <w:rPr>
          <w:i/>
        </w:rPr>
        <w:t xml:space="preserve">mcr</w:t>
      </w:r>
      <w:r>
        <w:t xml:space="preserve"> </w:t>
      </w:r>
      <w:r>
        <w:t xml:space="preserve">genes provide an acquired route and are globally disseminated [6], but account for a minority of</w:t>
      </w:r>
      <w:r>
        <w:t xml:space="preserve"> </w:t>
      </w:r>
      <w:r>
        <w:t xml:space="preserve">colistin-resistant</w:t>
      </w:r>
      <w:r>
        <w:t xml:space="preserve"> </w:t>
      </w:r>
      <w:r>
        <w:rPr>
          <w:i/>
        </w:rPr>
        <w:t xml:space="preserve">K. pneumoniae</w:t>
      </w:r>
      <w:r>
        <w:t xml:space="preserve">: in the external cohort of Section 3.10, 9 of 81 resistant isolates</w:t>
      </w:r>
      <w:r>
        <w:t xml:space="preserve"> </w:t>
      </w:r>
      <w:r>
        <w:t xml:space="preserve">carried one.</w:t>
      </w:r>
    </w:p>
    <w:p>
      <w:pPr>
        <w:pStyle w:val="BodyText"/>
      </w:pPr>
      <w:r>
        <w:t xml:space="preserve">The commonest route to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loss is insertion-sequence (IS) transposition into the gene [5], which</w:t>
      </w:r>
      <w:r>
        <w:t xml:space="preserve"> </w:t>
      </w:r>
      <w:r>
        <w:t xml:space="preserve">creates a specific detection problem. An IS element inserted into a 144-base-pair coding sequence</w:t>
      </w:r>
      <w:r>
        <w:t xml:space="preserve"> </w:t>
      </w:r>
      <w:r>
        <w:t xml:space="preserve">is typically longer than the repeat a short-read assembler can resolve, so the assembly breaks</w:t>
      </w:r>
      <w:r>
        <w:t xml:space="preserve"> </w:t>
      </w:r>
      <w:r>
        <w:t xml:space="preserve">inside</w:t>
      </w:r>
      <w:r>
        <w:t xml:space="preserve"> </w:t>
      </w:r>
      <w:r>
        <w:rPr>
          <w:i/>
        </w:rPr>
        <w:t xml:space="preserve">mgrB</w:t>
      </w:r>
      <w:r>
        <w:t xml:space="preserve">. A gene-presence screen finds no acquired colistin determinant; a point-mutation</w:t>
      </w:r>
      <w:r>
        <w:t xml:space="preserve"> </w:t>
      </w:r>
      <w:r>
        <w:t xml:space="preserve">screen finds no codon change, because the alignment simply ends. The genome appears wild type at</w:t>
      </w:r>
      <w:r>
        <w:t xml:space="preserve"> </w:t>
      </w:r>
      <w:r>
        <w:t xml:space="preserve">the one locus that matters.</w:t>
      </w:r>
    </w:p>
    <w:p>
      <w:pPr>
        <w:pStyle w:val="BodyText"/>
      </w:pPr>
      <w:r>
        <w:t xml:space="preserve">Two further issues complicate measuring how well genotype predicts phenotype on public data.</w:t>
      </w:r>
      <w:r>
        <w:t xml:space="preserve"> </w:t>
      </w:r>
      <w:r>
        <w:t xml:space="preserve">Deposited labels mix interpretive standards, so identical MICs can be reported susceptible under</w:t>
      </w:r>
      <w:r>
        <w:t xml:space="preserve"> </w:t>
      </w:r>
      <w:r>
        <w:t xml:space="preserve">one CLSI revision and resistant under EUCAST; colistin is especially exposed, because its</w:t>
      </w:r>
      <w:r>
        <w:t xml:space="preserve"> </w:t>
      </w:r>
      <w:r>
        <w:t xml:space="preserve">susceptibility testing is itself difficult and contested [4], and the resulting noise is easily</w:t>
      </w:r>
      <w:r>
        <w:t xml:space="preserve"> </w:t>
      </w:r>
      <w:r>
        <w:t xml:space="preserve">mistaken for genotype error. And public collections are dominated by outbreak investigations and surveys of</w:t>
      </w:r>
      <w:r>
        <w:t xml:space="preserve"> </w:t>
      </w:r>
      <w:r>
        <w:t xml:space="preserve">high-risk clones, so closely related isolates are abundant and random train/test splitting places</w:t>
      </w:r>
      <w:r>
        <w:t xml:space="preserve"> </w:t>
      </w:r>
      <w:r>
        <w:t xml:space="preserve">near-identical genomes on both sides. Yu and colleagues recently demonstrated across more than</w:t>
      </w:r>
      <w:r>
        <w:t xml:space="preserve"> </w:t>
      </w:r>
      <w:r>
        <w:t xml:space="preserve">24,000 genomes from five species that models trained this way substantially conflate lineage</w:t>
      </w:r>
      <w:r>
        <w:t xml:space="preserve"> </w:t>
      </w:r>
      <w:r>
        <w:t xml:space="preserve">markers with resistance determinants, and recommended comparison against rule-based baselines as</w:t>
      </w:r>
      <w:r>
        <w:t xml:space="preserve"> </w:t>
      </w:r>
      <w:r>
        <w:t xml:space="preserve">future work [7].</w:t>
      </w:r>
    </w:p>
    <w:p>
      <w:pPr>
        <w:pStyle w:val="BodyText"/>
      </w:pPr>
      <w:r>
        <w:t xml:space="preserve">Machine learning has been applied to this problem repeatedly, including MIC panel prediction for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[8], and has recently been benchmarked at scale: across 78 species–antibiotic</w:t>
      </w:r>
      <w:r>
        <w:t xml:space="preserve"> </w:t>
      </w:r>
      <w:r>
        <w:t xml:space="preserve">datasets, published predictors reached F1-macro ≥0.9 in 64% of randomly split experiments but only</w:t>
      </w:r>
      <w:r>
        <w:t xml:space="preserve"> </w:t>
      </w:r>
      <w:r>
        <w:t xml:space="preserve">25% when folds were made homology-aware, while a rule-based reference method performed best on the</w:t>
      </w:r>
      <w:r>
        <w:t xml:space="preserve"> </w:t>
      </w:r>
      <w:r>
        <w:t xml:space="preserve">most divergent genomes [9]. What that literature largely lacks is a mechanism-specified rule</w:t>
      </w:r>
      <w:r>
        <w:t xml:space="preserve"> </w:t>
      </w:r>
      <w:r>
        <w:t xml:space="preserve">baseline for a drug whose determinant is known but routinely missed, which is what makes colistin</w:t>
      </w:r>
      <w:r>
        <w:t xml:space="preserve"> </w:t>
      </w:r>
      <w:r>
        <w:t xml:space="preserve">the informative case.</w:t>
      </w:r>
    </w:p>
    <w:p>
      <w:pPr>
        <w:pStyle w:val="BodyText"/>
      </w:pPr>
      <w:r>
        <w:t xml:space="preserve">We take that recommendation as the design principle and ask a mechanism-level question: when a</w:t>
      </w:r>
      <w:r>
        <w:t xml:space="preserve"> </w:t>
      </w:r>
      <w:r>
        <w:t xml:space="preserve">resistance determinant is detectable but routinely missed, does supplying it to a rule outperform</w:t>
      </w:r>
      <w:r>
        <w:t xml:space="preserve"> </w:t>
      </w:r>
      <w:r>
        <w:t xml:space="preserve">letting a model find it, and does either transfer to new collections? We assemble a 6,652-genome</w:t>
      </w:r>
      <w:r>
        <w:t xml:space="preserve"> </w:t>
      </w:r>
      <w:r>
        <w:t xml:space="preserve">cohort with harmonised labels, add a 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check designed around the assembly-break</w:t>
      </w:r>
      <w:r>
        <w:t xml:space="preserve"> </w:t>
      </w:r>
      <w:r>
        <w:t xml:space="preserve">failure mode, and evaluate rules and models under progressively stricter validation.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ethods"/>
      <w:r>
        <w:t xml:space="preserve">2. Methods</w:t>
      </w:r>
      <w:bookmarkEnd w:id="25"/>
    </w:p>
    <w:p>
      <w:pPr>
        <w:pStyle w:val="Heading3"/>
      </w:pPr>
      <w:bookmarkStart w:id="26" w:name="cohort-assembly-and-provenance"/>
      <w:r>
        <w:t xml:space="preserve">2.1 Cohort assembly and provenance</w:t>
      </w:r>
      <w:bookmarkEnd w:id="26"/>
    </w:p>
    <w:p>
      <w:pPr>
        <w:pStyle w:val="FirstParagraph"/>
      </w:pPr>
      <w:r>
        <w:t xml:space="preserve">All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(taxon 573) AMR phenotype records were downloaded from the BV-BRC</w:t>
      </w:r>
      <w:r>
        <w:t xml:space="preserve"> </w:t>
      </w:r>
      <w:r>
        <w:rPr>
          <w:rStyle w:val="VerbatimChar"/>
        </w:rPr>
        <w:t xml:space="preserve">genome_amr</w:t>
      </w:r>
      <w:r>
        <w:t xml:space="preserve"> </w:t>
      </w:r>
      <w:r>
        <w:t xml:space="preserve">endpoint (snapshot 2026-10-22; 1,840,793 records, 39,598 genomes). Retrieval re-run the following</w:t>
      </w:r>
      <w:r>
        <w:t xml:space="preserve"> </w:t>
      </w:r>
      <w:r>
        <w:t xml:space="preserve">day reproduced byte-identical output (SHA-256 d0e561a6…1505126). Every data pull writes a manifest</w:t>
      </w:r>
      <w:r>
        <w:t xml:space="preserve"> </w:t>
      </w:r>
      <w:r>
        <w:t xml:space="preserve">recording query, timestamp, record count and checksum.</w:t>
      </w:r>
    </w:p>
    <w:p>
      <w:pPr>
        <w:pStyle w:val="BodyText"/>
      </w:pPr>
      <w:r>
        <w:t xml:space="preserve">Only records with</w:t>
      </w:r>
      <w:r>
        <w:t xml:space="preserve"> </w:t>
      </w:r>
      <w:r>
        <w:rPr>
          <w:rStyle w:val="VerbatimChar"/>
        </w:rPr>
        <w:t xml:space="preserve">evidence = "Laboratory Method"</w:t>
      </w:r>
      <w:r>
        <w:t xml:space="preserve"> </w:t>
      </w:r>
      <w:r>
        <w:t xml:space="preserve">were used as labels (85,291 records, 7,276</w:t>
      </w:r>
      <w:r>
        <w:t xml:space="preserve"> </w:t>
      </w:r>
      <w:r>
        <w:t xml:space="preserve">genomes); computational predictions deposited in the same database were excluded as circular.</w:t>
      </w:r>
    </w:p>
    <w:p>
      <w:pPr>
        <w:pStyle w:val="Heading3"/>
      </w:pPr>
      <w:bookmarkStart w:id="27" w:name="label-harmonisation"/>
      <w:r>
        <w:t xml:space="preserve">2.2 Label harmonisation</w:t>
      </w:r>
      <w:bookmarkEnd w:id="27"/>
    </w:p>
    <w:p>
      <w:pPr>
        <w:pStyle w:val="FirstParagraph"/>
      </w:pPr>
      <w:r>
        <w:t xml:space="preserve">Labels follow EUCAST Clinical Breakpoint Tables v16.1 [10]. Each record carrying an MIC was</w:t>
      </w:r>
      <w:r>
        <w:t xml:space="preserve"> </w:t>
      </w:r>
      <w:r>
        <w:t xml:space="preserve">re-interpreted (S if MIC ≤ s_le, R if MIC &gt; r_gt, else I) rather than accepting the deposited</w:t>
      </w:r>
      <w:r>
        <w:t xml:space="preserve"> </w:t>
      </w:r>
      <w:r>
        <w:t xml:space="preserve">call. Censored measurements that cannot be resolved against the breakpoint yield no label.</w:t>
      </w:r>
    </w:p>
    <w:p>
      <w:pPr>
        <w:pStyle w:val="BodyText"/>
      </w:pPr>
      <w:r>
        <w:t xml:space="preserve">This recovered substantial data: records deposited without an S/I/R call were uninterpreted</w:t>
      </w:r>
      <w:r>
        <w:t xml:space="preserve"> </w:t>
      </w:r>
      <w:r>
        <w:t xml:space="preserve">measurements rather than missing data, and re-interpretation added 1,921 labelled genomes for</w:t>
      </w:r>
      <w:r>
        <w:t xml:space="preserve"> </w:t>
      </w:r>
      <w:r>
        <w:t xml:space="preserve">meropenem, 959 for ciprofloxacin, 598 for colistin and 560 for gentamicin. It also resolved most</w:t>
      </w:r>
      <w:r>
        <w:t xml:space="preserve"> </w:t>
      </w:r>
      <w:r>
        <w:t xml:space="preserve">apparent contradictions — meropenem label conflicts fell from 60 genomes to 8 — because the</w:t>
      </w:r>
      <w:r>
        <w:t xml:space="preserve"> </w:t>
      </w:r>
      <w:r>
        <w:t xml:space="preserve">majority were the same genome interpreted under different standards by different studies. Where</w:t>
      </w:r>
      <w:r>
        <w:t xml:space="preserve"> </w:t>
      </w:r>
      <w:r>
        <w:t xml:space="preserve">both a deposited and a re-interpreted call existed they agreed in 92.9–97.2% of records.</w:t>
      </w:r>
    </w:p>
    <w:p>
      <w:pPr>
        <w:pStyle w:val="BodyText"/>
      </w:pPr>
      <w:r>
        <w:t xml:space="preserve">Three policies were fixed in advance and recorded as decision records in the repository:</w:t>
      </w:r>
      <w:r>
        <w:t xml:space="preserve"> </w:t>
      </w:r>
      <w:r>
        <w:t xml:space="preserve">intermediate and conflicting labels are excluded; colistin labels are restricted to broth</w:t>
      </w:r>
      <w:r>
        <w:t xml:space="preserve"> </w:t>
      </w:r>
      <w:r>
        <w:t xml:space="preserve">microdilution, the only method EUCAST accepts for colistin MICs; and study-level label sets judged</w:t>
      </w:r>
      <w:r>
        <w:t xml:space="preserve"> </w:t>
      </w:r>
      <w:r>
        <w:t xml:space="preserve">implausible on review are flagged and excluded with evidence recorded (one flag applied, Section 3.9).</w:t>
      </w:r>
      <w:r>
        <w:t xml:space="preserve"> </w:t>
      </w:r>
      <w:r>
        <w:t xml:space="preserve">Tigecycline has no EUCAST breakpoint for</w:t>
      </w:r>
      <w:r>
        <w:t xml:space="preserve"> </w:t>
      </w:r>
      <w:r>
        <w:rPr>
          <w:i/>
        </w:rPr>
        <w:t xml:space="preserve">K. pneumoniae</w:t>
      </w:r>
      <w:r>
        <w:t xml:space="preserve">, so deposited calls were used.</w:t>
      </w:r>
    </w:p>
    <w:p>
      <w:pPr>
        <w:pStyle w:val="Heading3"/>
      </w:pPr>
      <w:bookmarkStart w:id="28" w:name="assembly-quality-control-and-genotyping"/>
      <w:r>
        <w:t xml:space="preserve">2.3 Assembly quality control and genotyping</w:t>
      </w:r>
      <w:bookmarkEnd w:id="28"/>
    </w:p>
    <w:p>
      <w:pPr>
        <w:pStyle w:val="FirstParagraph"/>
      </w:pPr>
      <w:r>
        <w:t xml:space="preserve">Assemblies were required to be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by both species field and genome name, 5.0–6.5 Mb,</w:t>
      </w:r>
      <w:r>
        <w:t xml:space="preserve"> </w:t>
      </w:r>
      <w:r>
        <w:t xml:space="preserve">≤500 contigs, N50 ≥20 kb, CheckM [11] completeness ≥95% and contamination ≤5%. Agreement between</w:t>
      </w:r>
      <w:r>
        <w:t xml:space="preserve"> </w:t>
      </w:r>
      <w:r>
        <w:t xml:space="preserve">the species field and the genome name was required, so that internally inconsistent BV-BRC records</w:t>
      </w:r>
      <w:r>
        <w:t xml:space="preserve"> </w:t>
      </w:r>
      <w:r>
        <w:t xml:space="preserve">are excluded.</w:t>
      </w:r>
    </w:p>
    <w:p>
      <w:pPr>
        <w:pStyle w:val="BodyText"/>
      </w:pPr>
      <w:r>
        <w:t xml:space="preserve">Assemblies were downloaded from BV-BRC [12] by genome identifier rather than by NCBI assembly</w:t>
      </w:r>
      <w:r>
        <w:t xml:space="preserve"> </w:t>
      </w:r>
      <w:r>
        <w:t xml:space="preserve">accession, because many QC-passing genomes carry no such accession, and were validated for format</w:t>
      </w:r>
      <w:r>
        <w:t xml:space="preserve"> </w:t>
      </w:r>
      <w:r>
        <w:t xml:space="preserve">and length. AMRFinderPlus 4.2.7 [2] (database 2026-08-07.1) was run in nucleotide mode with</w:t>
      </w:r>
      <w:r>
        <w:t xml:space="preserve"> </w:t>
      </w:r>
      <w:r>
        <w:rPr>
          <w:rStyle w:val="VerbatimChar"/>
        </w:rPr>
        <w:t xml:space="preserve">--organism Klebsiella_pneumoniae --plus</w:t>
      </w:r>
      <w:r>
        <w:t xml:space="preserve">, and Kleborate 3.2.4 [3] with Kaptive 3.2.2 [13] using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kpsc</w:t>
      </w:r>
      <w:r>
        <w:t xml:space="preserve"> </w:t>
      </w:r>
      <w:r>
        <w:t xml:space="preserve">preset. A cross-machine verification script reproduces identical calls on macOS arm64</w:t>
      </w:r>
      <w:r>
        <w:t xml:space="preserve"> </w:t>
      </w:r>
      <w:r>
        <w:t xml:space="preserve">and Ubuntu x86_64.</w:t>
      </w:r>
    </w:p>
    <w:p>
      <w:pPr>
        <w:pStyle w:val="Heading3"/>
      </w:pPr>
      <w:bookmarkStart w:id="29" w:name="rule-based-prediction"/>
      <w:r>
        <w:t xml:space="preserve">2.4 Rule-based prediction</w:t>
      </w:r>
      <w:bookmarkEnd w:id="29"/>
    </w:p>
    <w:p>
      <w:pPr>
        <w:pStyle w:val="FirstParagraph"/>
      </w:pPr>
      <w:r>
        <w:t xml:space="preserve">Per-drug rules were specified from tool output before phenotype comparison: acquired carbapenemase</w:t>
      </w:r>
      <w:r>
        <w:t xml:space="preserve"> </w:t>
      </w:r>
      <w:r>
        <w:t xml:space="preserve">for meropenem; QRDR mutation or acquired quinolone gene for ciprofloxacin; aminoglycoside-modifying</w:t>
      </w:r>
      <w:r>
        <w:t xml:space="preserve"> </w:t>
      </w:r>
      <w:r>
        <w:t xml:space="preserve">enzyme or 16S rRNA methyltransferase for gentamicin;</w:t>
      </w:r>
      <w:r>
        <w:t xml:space="preserve"> </w:t>
      </w:r>
      <w:r>
        <w:rPr>
          <w:i/>
        </w:rPr>
        <w:t xml:space="preserve">mcr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mgrB</w:t>
      </w:r>
      <w:r>
        <w:t xml:space="preserve">/</w:t>
      </w:r>
      <w:r>
        <w:rPr>
          <w:i/>
        </w:rPr>
        <w:t xml:space="preserve">pmrAB</w:t>
      </w:r>
      <w:r>
        <w:t xml:space="preserve">/</w:t>
      </w:r>
      <w:r>
        <w:rPr>
          <w:i/>
        </w:rPr>
        <w:t xml:space="preserve">phoPQ</w:t>
      </w:r>
      <w:r>
        <w:t xml:space="preserve"> </w:t>
      </w:r>
      <w:r>
        <w:t xml:space="preserve">determinants</w:t>
      </w:r>
      <w:r>
        <w:t xml:space="preserve"> </w:t>
      </w:r>
      <w:r>
        <w:t xml:space="preserve">for colistin; acquired</w:t>
      </w:r>
      <w:r>
        <w:t xml:space="preserve"> </w:t>
      </w:r>
      <w:r>
        <w:rPr>
          <w:i/>
        </w:rPr>
        <w:t xml:space="preserve">tet(X)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tmexCD-toprJ</w:t>
      </w:r>
      <w:r>
        <w:t xml:space="preserve"> </w:t>
      </w:r>
      <w:r>
        <w:t xml:space="preserve">for tigecycline.</w:t>
      </w:r>
    </w:p>
    <w:p>
      <w:pPr>
        <w:pStyle w:val="BodyText"/>
      </w:pPr>
      <w:r>
        <w:t xml:space="preserve">Two corrections were applied after a 524-genome pilot, both tool-annotation artefacts rather than</w:t>
      </w:r>
      <w:r>
        <w:t xml:space="preserve"> </w:t>
      </w:r>
      <w:r>
        <w:t xml:space="preserve">biology. AMRFinderPlus assigns the intrinsic chromosomal</w:t>
      </w:r>
      <w:r>
        <w:t xml:space="preserve"> </w:t>
      </w:r>
      <w:r>
        <w:rPr>
          <w:i/>
        </w:rPr>
        <w:t xml:space="preserve">oqxAB</w:t>
      </w:r>
      <w:r>
        <w:t xml:space="preserve"> </w:t>
      </w:r>
      <w:r>
        <w:t xml:space="preserve">pump to tigecycline as well as</w:t>
      </w:r>
      <w:r>
        <w:t xml:space="preserve"> </w:t>
      </w:r>
      <w:r>
        <w:t xml:space="preserve">quinolones; since essentially all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carry</w:t>
      </w:r>
      <w:r>
        <w:t xml:space="preserve"> </w:t>
      </w:r>
      <w:r>
        <w:rPr>
          <w:i/>
        </w:rPr>
        <w:t xml:space="preserve">oqxAB</w:t>
      </w:r>
      <w:r>
        <w:t xml:space="preserve"> </w:t>
      </w:r>
      <w:r>
        <w:t xml:space="preserve">this produced 88 of 91 pilot</w:t>
      </w:r>
      <w:r>
        <w:t xml:space="preserve"> </w:t>
      </w:r>
      <w:r>
        <w:t xml:space="preserve">tigecycline false positives, and</w:t>
      </w:r>
      <w:r>
        <w:t xml:space="preserve"> </w:t>
      </w:r>
      <w:r>
        <w:rPr>
          <w:i/>
        </w:rPr>
        <w:t xml:space="preserve">oqxAB</w:t>
      </w:r>
      <w:r>
        <w:t xml:space="preserve"> </w:t>
      </w:r>
      <w:r>
        <w:t xml:space="preserve">is now excluded for all drugs. Efflux-regulator variants</w:t>
      </w:r>
      <w:r>
        <w:t xml:space="preserve"> </w:t>
      </w:r>
      <w:r>
        <w:t xml:space="preserve">(</w:t>
      </w:r>
      <w:r>
        <w:rPr>
          <w:i/>
        </w:rPr>
        <w:t xml:space="preserve">oqxR</w:t>
      </w:r>
      <w:r>
        <w:t xml:space="preserve">,</w:t>
      </w:r>
      <w:r>
        <w:t xml:space="preserve"> </w:t>
      </w:r>
      <w:r>
        <w:rPr>
          <w:i/>
        </w:rPr>
        <w:t xml:space="preserve">ramR</w:t>
      </w:r>
      <w:r>
        <w:t xml:space="preserve">,</w:t>
      </w:r>
      <w:r>
        <w:t xml:space="preserve"> </w:t>
      </w:r>
      <w:r>
        <w:rPr>
          <w:i/>
        </w:rPr>
        <w:t xml:space="preserve">acrR</w:t>
      </w:r>
      <w:r>
        <w:t xml:space="preserve">) produced 21 of 26 pilot ciprofloxacin false positives and are reported as</w:t>
      </w:r>
      <w:r>
        <w:t xml:space="preserve"> </w:t>
      </w:r>
      <w:r>
        <w:t xml:space="preserve">a separate tier rather than folded into the core rule.</w:t>
      </w:r>
    </w:p>
    <w:p>
      <w:pPr>
        <w:pStyle w:val="Heading3"/>
      </w:pPr>
      <w:bookmarkStart w:id="30" w:name="targeted-mgrb-integrity-check"/>
      <w:r>
        <w:t xml:space="preserve">2.5 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integrity check</w:t>
      </w:r>
      <w:bookmarkEnd w:id="30"/>
    </w:p>
    <w:p>
      <w:pPr>
        <w:pStyle w:val="FirstParagraph"/>
      </w:pPr>
      <w:r>
        <w:t xml:space="preserve">The MgrB reference protein (WP_002911375.1, 47 aa) was searched against each assembly with tblastn [14]</w:t>
      </w:r>
      <w:r>
        <w:t xml:space="preserve"> </w:t>
      </w:r>
      <w:r>
        <w:t xml:space="preserve">(e-value ≤1e-5, hits ≥10 aa) and the best hit classified as</w:t>
      </w:r>
      <w:r>
        <w:t xml:space="preserve"> </w:t>
      </w:r>
      <w:r>
        <w:rPr>
          <w:b/>
        </w:rPr>
        <w:t xml:space="preserve">intact</w:t>
      </w:r>
      <w:r>
        <w:t xml:space="preserve"> </w:t>
      </w:r>
      <w:r>
        <w:t xml:space="preserve">(full-length, no residue</w:t>
      </w:r>
      <w:r>
        <w:t xml:space="preserve"> </w:t>
      </w:r>
      <w:r>
        <w:t xml:space="preserve">differences);</w:t>
      </w:r>
      <w:r>
        <w:t xml:space="preserve"> </w:t>
      </w:r>
      <w:r>
        <w:rPr>
          <w:b/>
        </w:rPr>
        <w:t xml:space="preserve">missense</w:t>
      </w:r>
      <w:r>
        <w:t xml:space="preserve"> </w:t>
      </w:r>
      <w:r>
        <w:t xml:space="preserve">(full-length with substitutions);</w:t>
      </w:r>
      <w:r>
        <w:t xml:space="preserve"> </w:t>
      </w:r>
      <w:r>
        <w:rPr>
          <w:b/>
        </w:rPr>
        <w:t xml:space="preserve">premature_stop</w:t>
      </w:r>
      <w:r>
        <w:t xml:space="preserve">;</w:t>
      </w:r>
      <w:r>
        <w:t xml:space="preserve"> </w:t>
      </w:r>
      <w:r>
        <w:rPr>
          <w:b/>
        </w:rPr>
        <w:t xml:space="preserve">frameshift_or_indel</w:t>
      </w:r>
      <w:r>
        <w:t xml:space="preserve"> </w:t>
      </w:r>
      <w:r>
        <w:t xml:space="preserve">(two fragments on one contig &lt;300 bp apart);</w:t>
      </w:r>
      <w:r>
        <w:t xml:space="preserve"> </w:t>
      </w:r>
      <w:r>
        <w:rPr>
          <w:b/>
        </w:rPr>
        <w:t xml:space="preserve">insertion_assembled</w:t>
      </w:r>
      <w:r>
        <w:t xml:space="preserve"> </w:t>
      </w:r>
      <w:r>
        <w:t xml:space="preserve">(two</w:t>
      </w:r>
      <w:r>
        <w:t xml:space="preserve"> </w:t>
      </w:r>
      <w:r>
        <w:t xml:space="preserve">fragments &gt;300 bp apart);</w:t>
      </w:r>
      <w:r>
        <w:t xml:space="preserve"> </w:t>
      </w:r>
      <w:r>
        <w:rPr>
          <w:b/>
        </w:rPr>
        <w:t xml:space="preserve">split_contigs</w:t>
      </w:r>
      <w:r>
        <w:t xml:space="preserve">;</w:t>
      </w:r>
      <w:r>
        <w:t xml:space="preserve"> </w:t>
      </w:r>
      <w:r>
        <w:rPr>
          <w:b/>
        </w:rPr>
        <w:t xml:space="preserve">contig_break</w:t>
      </w:r>
      <w:r>
        <w:t xml:space="preserve"> </w:t>
      </w:r>
      <w:r>
        <w:t xml:space="preserve">(alignment terminating at a contig</w:t>
      </w:r>
      <w:r>
        <w:t xml:space="preserve"> </w:t>
      </w:r>
      <w:r>
        <w:t xml:space="preserve">edge);</w:t>
      </w:r>
      <w:r>
        <w:t xml:space="preserve"> </w:t>
      </w:r>
      <w:r>
        <w:rPr>
          <w:b/>
        </w:rPr>
        <w:t xml:space="preserve">partial</w:t>
      </w:r>
      <w:r>
        <w:t xml:space="preserve">; or</w:t>
      </w:r>
      <w:r>
        <w:t xml:space="preserve"> </w:t>
      </w:r>
      <w:r>
        <w:rPr>
          <w:b/>
        </w:rPr>
        <w:t xml:space="preserve">absent</w:t>
      </w:r>
      <w:r>
        <w:t xml:space="preserve">. All categories except intact and missense count as disrupted.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split_contigs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contig_break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categories are the assembly signature described</w:t>
      </w:r>
      <w:r>
        <w:t xml:space="preserve"> </w:t>
      </w:r>
      <w:r>
        <w:t xml:space="preserve">in Section 1.</w:t>
      </w:r>
    </w:p>
    <w:p>
      <w:pPr>
        <w:pStyle w:val="BodyText"/>
      </w:pPr>
      <w:r>
        <w:t xml:space="preserve">Residue differences are enumerated by direct comparison of aligned sequences, ignoring query</w:t>
      </w:r>
      <w:r>
        <w:t xml:space="preserve"> </w:t>
      </w:r>
      <w:r>
        <w:t xml:space="preserve">position 1, because tblastn translates alternative start codons (GTG, TTG) as V or L rather than</w:t>
      </w:r>
      <w:r>
        <w:t xml:space="preserve"> </w:t>
      </w:r>
      <w:r>
        <w:t xml:space="preserve">M. Classifying variants by percentage identity instead produces a systematic artefact at the start</w:t>
      </w:r>
      <w:r>
        <w:t xml:space="preserve"> </w:t>
      </w:r>
      <w:r>
        <w:t xml:space="preserve">codon, quantified in Section 3.3.</w:t>
      </w:r>
    </w:p>
    <w:p>
      <w:pPr>
        <w:pStyle w:val="Heading3"/>
      </w:pPr>
      <w:bookmarkStart w:id="31" w:name="Xfcd1d0cf32165564d5133920c147139c7c0f246"/>
      <w:r>
        <w:t xml:space="preserve">2.6 Testing the insertion-sequence interpretation</w:t>
      </w:r>
      <w:bookmarkEnd w:id="31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split_contigs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contig_break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categories are inferences from assembly</w:t>
      </w:r>
      <w:r>
        <w:t xml:space="preserve"> </w:t>
      </w:r>
      <w:r>
        <w:t xml:space="preserve">structure, so we tested three predictions that follow from IS insertion but not from incidental</w:t>
      </w:r>
      <w:r>
        <w:t xml:space="preserve"> </w:t>
      </w:r>
      <w:r>
        <w:t xml:space="preserve">fragmentation. First, position: the break should coincide with</w:t>
      </w:r>
      <w:r>
        <w:t xml:space="preserve"> </w:t>
      </w:r>
      <w:r>
        <w:rPr>
          <w:i/>
        </w:rPr>
        <w:t xml:space="preserve">mgrB</w:t>
      </w:r>
      <w:r>
        <w:t xml:space="preserve">, compared against genomes</w:t>
      </w:r>
      <w:r>
        <w:t xml:space="preserve"> </w:t>
      </w:r>
      <w:r>
        <w:t xml:space="preserve">with intact</w:t>
      </w:r>
      <w:r>
        <w:t xml:space="preserve"> </w:t>
      </w:r>
      <w:r>
        <w:rPr>
          <w:i/>
        </w:rPr>
        <w:t xml:space="preserve">mgrB</w:t>
      </w:r>
      <w:r>
        <w:t xml:space="preserve">. Second, repetitiveness: sequence at the</w:t>
      </w:r>
      <w:r>
        <w:t xml:space="preserve"> </w:t>
      </w:r>
      <w:r>
        <w:rPr>
          <w:i/>
        </w:rPr>
        <w:t xml:space="preserve">mgrB</w:t>
      </w:r>
      <w:r>
        <w:t xml:space="preserve">-adjacent contig end should have</w:t>
      </w:r>
      <w:r>
        <w:t xml:space="preserve"> </w:t>
      </w:r>
      <w:r>
        <w:t xml:space="preserve">copies elsewhere in the same assembly. Because contig ends are repeat-enriched in general, this was</w:t>
      </w:r>
      <w:r>
        <w:t xml:space="preserve"> </w:t>
      </w:r>
      <w:r>
        <w:t xml:space="preserve">compared against randomly chosen other contig ends in the same assemblies, truncated to the same</w:t>
      </w:r>
      <w:r>
        <w:t xml:space="preserve"> </w:t>
      </w:r>
      <w:r>
        <w:t xml:space="preserve">length as each genome’s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flank. Third, recurrence: the same sequences should appear at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in unrelated isolates. Flanks were taken as up to 600 bp of contig end adjacent to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(minimum</w:t>
      </w:r>
      <w:r>
        <w:t xml:space="preserve"> </w:t>
      </w:r>
      <w:r>
        <w:t xml:space="preserve">50 bp) and compared by blastn at ≥95% identity (within genome) or ≥90% (between genomes) over ≥80%</w:t>
      </w:r>
      <w:r>
        <w:t xml:space="preserve"> </w:t>
      </w:r>
      <w:r>
        <w:t xml:space="preserve">of the flank.</w:t>
      </w:r>
    </w:p>
    <w:p>
      <w:pPr>
        <w:pStyle w:val="Heading3"/>
      </w:pPr>
      <w:bookmarkStart w:id="32" w:name="validating-the-mgrb-rule"/>
      <w:r>
        <w:t xml:space="preserve">2.7 Validating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rule</w:t>
      </w:r>
      <w:bookmarkEnd w:id="32"/>
    </w:p>
    <w:p>
      <w:pPr>
        <w:pStyle w:val="FirstParagraph"/>
      </w:pPr>
      <w:r>
        <w:t xml:space="preserve">Because three disruption categories are inferred from assembly structure, we tested whether the</w:t>
      </w:r>
      <w:r>
        <w:t xml:space="preserve"> </w:t>
      </w:r>
      <w:r>
        <w:t xml:space="preserve">association with phenotype could reflect assembly fragmentation by comparing contig counts and N50</w:t>
      </w:r>
      <w:r>
        <w:t xml:space="preserve"> </w:t>
      </w:r>
      <w:r>
        <w:t xml:space="preserve">between calls, and by stratifying the colistin association on assembly-quality quartile.</w:t>
      </w:r>
    </w:p>
    <w:p>
      <w:pPr>
        <w:pStyle w:val="BodyText"/>
      </w:pPr>
      <w:r>
        <w:t xml:space="preserve">Because the decision to treat missense variants as resistance-predicting was made after observing</w:t>
      </w:r>
      <w:r>
        <w:t xml:space="preserve"> </w:t>
      </w:r>
      <w:r>
        <w:t xml:space="preserve">their enrichment in this cohort, we re-estimated that tier by leave-one-study-out: variants were</w:t>
      </w:r>
      <w:r>
        <w:t xml:space="preserve"> </w:t>
      </w:r>
      <w:r>
        <w:t xml:space="preserve">selected on training studies only (≥3 genomes, &gt;50% resistant) and applied to the held-out study.</w:t>
      </w:r>
      <w:r>
        <w:t xml:space="preserve"> </w:t>
      </w:r>
      <w:r>
        <w:t xml:space="preserve">The disruption tier, being mechanism-specified and fitted to nothing, was evaluated in the same</w:t>
      </w:r>
      <w:r>
        <w:t xml:space="preserve"> </w:t>
      </w:r>
      <w:r>
        <w:t xml:space="preserve">framework for comparison.</w:t>
      </w:r>
    </w:p>
    <w:p>
      <w:pPr>
        <w:pStyle w:val="Heading3"/>
      </w:pPr>
      <w:bookmarkStart w:id="33" w:name="attributing-performance-to-lineage"/>
      <w:r>
        <w:t xml:space="preserve">2.8 Attributing performance to lineage</w:t>
      </w:r>
      <w:bookmarkEnd w:id="33"/>
    </w:p>
    <w:p>
      <w:pPr>
        <w:pStyle w:val="FirstParagraph"/>
      </w:pPr>
      <w:r>
        <w:t xml:space="preserve">To test directly, rather than infer, how much performance is obtainable from lineage, we built a</w:t>
      </w:r>
      <w:r>
        <w:t xml:space="preserve"> </w:t>
      </w:r>
      <w:r>
        <w:t xml:space="preserve">predictor using sequence type alone: for each test genome it returns the majority label of that</w:t>
      </w:r>
      <w:r>
        <w:t xml:space="preserve"> </w:t>
      </w:r>
      <w:r>
        <w:t xml:space="preserve">genome’s sequence type among training genomes, falling back to the overall training majority when</w:t>
      </w:r>
      <w:r>
        <w:t xml:space="preserve"> </w:t>
      </w:r>
      <w:r>
        <w:t xml:space="preserve">the type is unseen. It uses no resistance determinant. We also measured, for each split scheme,</w:t>
      </w:r>
      <w:r>
        <w:t xml:space="preserve"> </w:t>
      </w:r>
      <w:r>
        <w:t xml:space="preserve">the fraction of test genomes sharing a sequence type or a BioProject with any training genome.</w:t>
      </w:r>
    </w:p>
    <w:p>
      <w:pPr>
        <w:pStyle w:val="Heading3"/>
      </w:pPr>
      <w:bookmarkStart w:id="34" w:name="benchmark"/>
      <w:r>
        <w:t xml:space="preserve">2.9 Benchmark</w:t>
      </w:r>
      <w:bookmarkEnd w:id="34"/>
    </w:p>
    <w:p>
      <w:pPr>
        <w:pStyle w:val="FirstParagraph"/>
      </w:pPr>
      <w:r>
        <w:t xml:space="preserve">Features were 226 binary indicators per genome: AMRFinderPlus gene families (allele suffixes</w:t>
      </w:r>
      <w:r>
        <w:t xml:space="preserve"> </w:t>
      </w:r>
      <w:r>
        <w:t xml:space="preserve">collapsed, OXA-48-like kept distinct from other OXA enzymes), 100 point-mutation calls, 33</w:t>
      </w:r>
      <w:r>
        <w:t xml:space="preserve"> </w:t>
      </w:r>
      <w:r>
        <w:t xml:space="preserve">AMRFinderPlus functional subclasses, and two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features. Features present in fewer than five</w:t>
      </w:r>
      <w:r>
        <w:t xml:space="preserve"> </w:t>
      </w:r>
      <w:r>
        <w:t xml:space="preserve">genomes were dropped.</w:t>
      </w:r>
    </w:p>
    <w:p>
      <w:pPr>
        <w:pStyle w:val="BodyText"/>
      </w:pPr>
      <w:r>
        <w:t xml:space="preserve">Three predictors were compared: the per-drug rule (for colistin including mechanism-specified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disruption, but not the missense tier, for the reason given in Section 3.5); L2 logistic regression [15]</w:t>
      </w:r>
      <w:r>
        <w:t xml:space="preserve"> </w:t>
      </w:r>
      <w:r>
        <w:t xml:space="preserve">(C = 1, class-balanced); and gradient boosting (HistGradientBoostingClassifier, 200 iterations, 15</w:t>
      </w:r>
      <w:r>
        <w:t xml:space="preserve"> </w:t>
      </w:r>
      <w:r>
        <w:t xml:space="preserve">leaves, class-balanced). Hyperparameters were fixed rather than tuned, since the object of study is</w:t>
      </w:r>
      <w:r>
        <w:t xml:space="preserve"> </w:t>
      </w:r>
      <w:r>
        <w:t xml:space="preserve">validation design rather than peak performance.</w:t>
      </w:r>
    </w:p>
    <w:p>
      <w:pPr>
        <w:pStyle w:val="BodyText"/>
      </w:pPr>
      <w:r>
        <w:t xml:space="preserve">Four split schemes were used: random 5-fold; study-aware 5-fold grouped by BioProject;</w:t>
      </w:r>
      <w:r>
        <w:t xml:space="preserve"> </w:t>
      </w:r>
      <w:r>
        <w:t xml:space="preserve">lineage-aware 5-fold grouped by sequence type; and temporal. Genomes with missing group metadata</w:t>
      </w:r>
      <w:r>
        <w:t xml:space="preserve"> </w:t>
      </w:r>
      <w:r>
        <w:t xml:space="preserve">were assigned singleton groups so absent metadata can never merge unrelated isolates. Metrics are</w:t>
      </w:r>
      <w:r>
        <w:t xml:space="preserve"> </w:t>
      </w:r>
      <w:r>
        <w:t xml:space="preserve">computed on pooled held-out predictions with 95% Wilson intervals [16], reported both on all test labels</w:t>
      </w:r>
      <w:r>
        <w:t xml:space="preserve"> </w:t>
      </w:r>
      <w:r>
        <w:t xml:space="preserve">and with borderline-MIC labels removed. A split is scored only if its test set contains at least 10</w:t>
      </w:r>
      <w:r>
        <w:t xml:space="preserve"> </w:t>
      </w:r>
      <w:r>
        <w:t xml:space="preserve">resistant and 10 susceptible genomes. Differences between predictors were assessed by paired</w:t>
      </w:r>
      <w:r>
        <w:t xml:space="preserve"> </w:t>
      </w:r>
      <w:r>
        <w:t xml:space="preserve">bootstrap over held-out genomes (2,000 resamples), resampling once per iteration and recomputing</w:t>
      </w:r>
      <w:r>
        <w:t xml:space="preserve"> </w:t>
      </w:r>
      <w:r>
        <w:t xml:space="preserve">both predictors on the same resampled set.</w:t>
      </w:r>
    </w:p>
    <w:p>
      <w:pPr>
        <w:pStyle w:val="BodyText"/>
      </w:pPr>
      <w:r>
        <w:t xml:space="preserve">Comparing every drug, split scheme and predictor pair yields a family of 54 tests, not one, so some</w:t>
      </w:r>
      <w:r>
        <w:t xml:space="preserve"> </w:t>
      </w:r>
      <w:r>
        <w:t xml:space="preserve">intervals will exclude zero by chance. Each comparison therefore also carries a two-sided bootstrap</w:t>
      </w:r>
      <w:r>
        <w:t xml:space="preserve"> </w:t>
      </w:r>
      <w:r>
        <w:t xml:space="preserve">p-value, floored at 1/2,000 since no finer resolution exists, and a Benjamini–Hochberg [17] q-value</w:t>
      </w:r>
      <w:r>
        <w:t xml:space="preserve"> </w:t>
      </w:r>
      <w:r>
        <w:t xml:space="preserve">computed across the whole family. Benjamini–Hochberg is our primary correction: the comparisons</w:t>
      </w:r>
      <w:r>
        <w:t xml:space="preserve"> </w:t>
      </w:r>
      <w:r>
        <w:t xml:space="preserve">share predictors, genomes and folds and are therefore positively dependent, and controlling the</w:t>
      </w:r>
      <w:r>
        <w:t xml:space="preserve"> </w:t>
      </w:r>
      <w:r>
        <w:t xml:space="preserve">false discovery rate is the appropriate goal for a benchmark mapping where differences exist rather</w:t>
      </w:r>
      <w:r>
        <w:t xml:space="preserve"> </w:t>
      </w:r>
      <w:r>
        <w:t xml:space="preserve">than testing a single hypothesis. We also report which comparisons survive the far stricter</w:t>
      </w:r>
      <w:r>
        <w:t xml:space="preserve"> </w:t>
      </w:r>
      <w:r>
        <w:t xml:space="preserve">Bonferroni threshold (p &lt; 0.00093), and we treat only those as established beyond doubt.</w:t>
      </w:r>
    </w:p>
    <w:p>
      <w:pPr>
        <w:pStyle w:val="Heading3"/>
      </w:pPr>
      <w:bookmarkStart w:id="35" w:name="external-validation"/>
      <w:r>
        <w:t xml:space="preserve">2.10 External validation</w:t>
      </w:r>
      <w:bookmarkEnd w:id="35"/>
    </w:p>
    <w:p>
      <w:pPr>
        <w:pStyle w:val="FirstParagraph"/>
      </w:pPr>
      <w:r>
        <w:t xml:space="preserve">Leave-one-study-out within BV-BRC holds out a study but not an aggregator: every such study was</w:t>
      </w:r>
      <w:r>
        <w:t xml:space="preserve"> </w:t>
      </w:r>
      <w:r>
        <w:t xml:space="preserve">curated the same way and was available to us when the rule was specified. To test the rule on</w:t>
      </w:r>
      <w:r>
        <w:t xml:space="preserve"> </w:t>
      </w:r>
      <w:r>
        <w:t xml:space="preserve">genomes whose phenotypes we had no access to, we assembled a cohort from NCBI Pathogen Detection,</w:t>
      </w:r>
      <w:r>
        <w:t xml:space="preserve"> </w:t>
      </w:r>
      <w:r>
        <w:t xml:space="preserve">joining submitted antimicrobial susceptibility results (</w:t>
      </w:r>
      <w:r>
        <w:rPr>
          <w:rStyle w:val="VerbatimChar"/>
        </w:rPr>
        <w:t xml:space="preserve">pdbrowser.ast</w:t>
      </w:r>
      <w:r>
        <w:t xml:space="preserve">) to isolate 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pdbrowser.isolates</w:t>
      </w:r>
      <w:r>
        <w:t xml:space="preserve">) for the assembly accession, since neither table carries both the MIC and</w:t>
      </w:r>
      <w:r>
        <w:t xml:space="preserve"> </w:t>
      </w:r>
      <w:r>
        <w:t xml:space="preserve">the accession. All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colistin results with an assembly accession were</w:t>
      </w:r>
      <w:r>
        <w:t xml:space="preserve"> </w:t>
      </w:r>
      <w:r>
        <w:t xml:space="preserve">retrieved.</w:t>
      </w:r>
    </w:p>
    <w:p>
      <w:pPr>
        <w:pStyle w:val="BodyText"/>
      </w:pPr>
      <w:r>
        <w:t xml:space="preserve">Because BV-BRC ingests from NCBI, overlap was removed before anything else: isolates matching our</w:t>
      </w:r>
      <w:r>
        <w:t xml:space="preserve"> </w:t>
      </w:r>
      <w:r>
        <w:t xml:space="preserve">cohort by BioSample accession, or by assembly accession ignoring the version suffix, were excluded.</w:t>
      </w:r>
      <w:r>
        <w:t xml:space="preserve"> </w:t>
      </w:r>
      <w:r>
        <w:t xml:space="preserve">Labels were re-derived from the submitted MIC under the same pinned EUCAST table used internally,</w:t>
      </w:r>
      <w:r>
        <w:t xml:space="preserve"> </w:t>
      </w:r>
      <w:r>
        <w:t xml:space="preserve">never taken from the submitted phenotype; isolates without a usable MIC were retained as a separate</w:t>
      </w:r>
      <w:r>
        <w:t xml:space="preserve"> </w:t>
      </w:r>
      <w:r>
        <w:t xml:space="preserve">stratum carrying the submitter’s own interpretation. Assemblies were downloaded from NCBI Datasets</w:t>
      </w:r>
      <w:r>
        <w:t xml:space="preserve"> </w:t>
      </w:r>
      <w:r>
        <w:t xml:space="preserve">and verified against each archive’s md5. AMRFinderPlus and Kleborate were run through the identical</w:t>
      </w:r>
      <w:r>
        <w:t xml:space="preserve"> </w:t>
      </w:r>
      <w:r>
        <w:t xml:space="preserve">pipeline code as the internal cohort, and the rules were imported unchanged from the analysis</w:t>
      </w:r>
      <w:r>
        <w:t xml:space="preserve"> </w:t>
      </w:r>
      <w:r>
        <w:t xml:space="preserve">module. Nothing was refitted, reselected or thresholded for this cohort, and the evaluation exposes</w:t>
      </w:r>
      <w:r>
        <w:t xml:space="preserve"> </w:t>
      </w:r>
      <w:r>
        <w:t xml:space="preserve">no parameter that could be.</w:t>
      </w:r>
    </w:p>
    <w:p>
      <w:pPr>
        <w:pStyle w:val="Heading3"/>
      </w:pPr>
      <w:bookmarkStart w:id="36" w:name="reproducibility"/>
      <w:r>
        <w:t xml:space="preserve">2.11 Reproducibility</w:t>
      </w:r>
      <w:bookmarkEnd w:id="36"/>
    </w:p>
    <w:p>
      <w:pPr>
        <w:pStyle w:val="FirstParagraph"/>
      </w:pPr>
      <w:r>
        <w:t xml:space="preserve">All analyses are deterministic for a fixed seed (20261024). Code, pinned environments, manifests,</w:t>
      </w:r>
      <w:r>
        <w:t xml:space="preserve"> </w:t>
      </w:r>
      <w:r>
        <w:t xml:space="preserve">decision records, reports and figures are at https://github.com/omarfaruqe/klebsiella-amr.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esults"/>
      <w:r>
        <w:t xml:space="preserve">3. Results</w:t>
      </w:r>
      <w:bookmarkEnd w:id="37"/>
    </w:p>
    <w:p>
      <w:pPr>
        <w:pStyle w:val="Heading3"/>
      </w:pPr>
      <w:bookmarkStart w:id="38" w:name="cohort"/>
      <w:r>
        <w:t xml:space="preserve">3.1 Cohort</w:t>
      </w:r>
      <w:bookmarkEnd w:id="38"/>
    </w:p>
    <w:p>
      <w:pPr>
        <w:pStyle w:val="FirstParagraph"/>
      </w:pPr>
      <w:r>
        <w:t xml:space="preserve">Of 6,817 labelled genomes, 6,652 passed quality control. Requiring agreement between the species</w:t>
      </w:r>
      <w:r>
        <w:t xml:space="preserve"> </w:t>
      </w:r>
      <w:r>
        <w:t xml:space="preserve">field and the genome name removed four genomes with internally inconsistent BV-BRC records, one</w:t>
      </w:r>
      <w:r>
        <w:t xml:space="preserve"> </w:t>
      </w:r>
      <w:r>
        <w:t xml:space="preserve">independently confirmed as</w:t>
      </w:r>
      <w:r>
        <w:t xml:space="preserve"> </w:t>
      </w:r>
      <w:r>
        <w:rPr>
          <w:i/>
        </w:rPr>
        <w:t xml:space="preserve">Citrobacter freundii</w:t>
      </w:r>
      <w:r>
        <w:t xml:space="preserve">. Of the genomes that passed, 63% (4,190/6,652)</w:t>
      </w:r>
      <w:r>
        <w:t xml:space="preserve"> </w:t>
      </w:r>
      <w:r>
        <w:t xml:space="preserve">carry no NCBI assembly accession, which is why assemblies were retrieved by BV-BRC identifier. All</w:t>
      </w:r>
      <w:r>
        <w:t xml:space="preserve"> </w:t>
      </w:r>
      <w:r>
        <w:t xml:space="preserve">6,652 completed both genotyping tools (8.8 h wall time, ~140 CPU-hours, zero failures), and the</w:t>
      </w:r>
      <w:r>
        <w:t xml:space="preserve"> </w:t>
      </w:r>
      <w:r>
        <w:t xml:space="preserve">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search took 2 minutes for 6,652 assemblies on 16 threads.</w:t>
      </w:r>
    </w:p>
    <w:p>
      <w:pPr>
        <w:pStyle w:val="BodyText"/>
      </w:pPr>
      <w:r>
        <w:t xml:space="preserve">The cohort comprised 6,652 QC-passing genomes with harmonised labels: meropenem 5,541 (1,854 R /</w:t>
      </w:r>
      <w:r>
        <w:t xml:space="preserve"> </w:t>
      </w:r>
      <w:r>
        <w:t xml:space="preserve">3,687 S), ciprofloxacin 4,640 (3,441 / 1,199), gentamicin 4,760 (2,113 / 2,647), colistin 1,528</w:t>
      </w:r>
      <w:r>
        <w:t xml:space="preserve"> </w:t>
      </w:r>
      <w:r>
        <w:t xml:space="preserve">broth-microdilution (367 / 1,161), tigecycline 948 (261 / 687). It is structurally non-random, as</w:t>
      </w:r>
      <w:r>
        <w:t xml:space="preserve"> </w:t>
      </w:r>
      <w:r>
        <w:t xml:space="preserve">expected: two BioProjects contribute 44% of genomes, the ten commonest sequence types account for</w:t>
      </w:r>
      <w:r>
        <w:t xml:space="preserve"> </w:t>
      </w:r>
      <w:r>
        <w:t xml:space="preserve">52%, and collection year is missing for 34% (2,266/6,652).</w:t>
      </w:r>
    </w:p>
    <w:p>
      <w:pPr>
        <w:pStyle w:val="Heading3"/>
      </w:pPr>
      <w:bookmarkStart w:id="39" w:name="X8600b5a8f6e61ef2892477bd4bfa10310092803"/>
      <w:r>
        <w:t xml:space="preserve">3.2 Known mechanisms explain four drugs well and colistin poorly</w:t>
      </w:r>
      <w:bookmarkEnd w:id="39"/>
    </w:p>
    <w:p>
      <w:pPr>
        <w:pStyle w:val="FirstParagraph"/>
      </w:pPr>
      <w:r>
        <w:rPr>
          <w:b/>
        </w:rPr>
        <w:t xml:space="preserve">Table 1.</w:t>
      </w:r>
      <w:r>
        <w:t xml:space="preserve"> </w:t>
      </w:r>
      <w:r>
        <w:t xml:space="preserve">Sensitivity and specificity of each gene screen per drug, on harmonised labels.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AMRFinderPlus sensitivity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Kleborate sensitivity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Ciprofloxacin</w:t>
            </w:r>
          </w:p>
        </w:tc>
        <w:tc>
          <w:p>
            <w:pPr>
              <w:pStyle w:val="Compact"/>
              <w:jc w:val="left"/>
            </w:pPr>
            <w:r>
              <w:t xml:space="preserve">98.8% (98.4–99.1)</w:t>
            </w:r>
          </w:p>
        </w:tc>
        <w:tc>
          <w:p>
            <w:pPr>
              <w:pStyle w:val="Compact"/>
              <w:jc w:val="left"/>
            </w:pPr>
            <w:r>
              <w:t xml:space="preserve">88.2%</w:t>
            </w:r>
          </w:p>
        </w:tc>
        <w:tc>
          <w:p>
            <w:pPr>
              <w:pStyle w:val="Compact"/>
              <w:jc w:val="left"/>
            </w:pPr>
            <w:r>
              <w:t xml:space="preserve">98.7%</w:t>
            </w:r>
          </w:p>
        </w:tc>
        <w:tc>
          <w:p>
            <w:pPr>
              <w:pStyle w:val="Compact"/>
              <w:jc w:val="left"/>
            </w:pPr>
            <w:r>
              <w:t xml:space="preserve">88.4%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Meropenem</w:t>
            </w:r>
          </w:p>
        </w:tc>
        <w:tc>
          <w:p>
            <w:pPr>
              <w:pStyle w:val="Compact"/>
              <w:jc w:val="left"/>
            </w:pPr>
            <w:r>
              <w:t xml:space="preserve">96.7% (95.7–97.4)</w:t>
            </w:r>
          </w:p>
        </w:tc>
        <w:tc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p>
            <w:pPr>
              <w:pStyle w:val="Compact"/>
              <w:jc w:val="left"/>
            </w:pPr>
            <w:r>
              <w:t xml:space="preserve">96.5%</w:t>
            </w:r>
          </w:p>
        </w:tc>
        <w:tc>
          <w:p>
            <w:pPr>
              <w:pStyle w:val="Compact"/>
              <w:jc w:val="left"/>
            </w:pPr>
            <w:r>
              <w:t xml:space="preserve">91.3%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Gentamicin</w:t>
            </w:r>
          </w:p>
        </w:tc>
        <w:tc>
          <w:p>
            <w:pPr>
              <w:pStyle w:val="Compact"/>
              <w:jc w:val="left"/>
            </w:pPr>
            <w:r>
              <w:t xml:space="preserve">85.1% (83.6–86.6)</w:t>
            </w:r>
          </w:p>
        </w:tc>
        <w:tc>
          <w:p>
            <w:pPr>
              <w:pStyle w:val="Compact"/>
              <w:jc w:val="left"/>
            </w:pPr>
            <w:r>
              <w:t xml:space="preserve">94.9%</w:t>
            </w:r>
          </w:p>
        </w:tc>
        <w:tc>
          <w:p>
            <w:pPr>
              <w:pStyle w:val="Compact"/>
              <w:jc w:val="left"/>
            </w:pPr>
            <w:r>
              <w:t xml:space="preserve">81.4%</w:t>
            </w:r>
          </w:p>
        </w:tc>
        <w:tc>
          <w:p>
            <w:pPr>
              <w:pStyle w:val="Compact"/>
              <w:jc w:val="left"/>
            </w:pPr>
            <w:r>
              <w:t xml:space="preserve">95.8%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Colistin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28.3% (24.0–33.2)</w:t>
            </w:r>
          </w:p>
        </w:tc>
        <w:tc>
          <w:p>
            <w:pPr>
              <w:pStyle w:val="Compact"/>
              <w:jc w:val="left"/>
            </w:pPr>
            <w:r>
              <w:t xml:space="preserve">97.8%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39.5% (34.6–44.6)</w:t>
            </w:r>
          </w:p>
        </w:tc>
        <w:tc>
          <w:p>
            <w:pPr>
              <w:pStyle w:val="Compact"/>
              <w:jc w:val="left"/>
            </w:pPr>
            <w:r>
              <w:t xml:space="preserve">96.3%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Tigecycline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2.7% (1.3–5.4)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0.0%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The tools agree on 97.8–99.9% of genome–drug pairs for every drug except colistin (87.8%), the one</w:t>
      </w:r>
      <w:r>
        <w:t xml:space="preserve"> </w:t>
      </w:r>
      <w:r>
        <w:t xml:space="preserve">drug where they differ in what they look for: Kleborate’s higher sensitivity derives from MgrB</w:t>
      </w:r>
      <w:r>
        <w:t xml:space="preserve"> </w:t>
      </w:r>
      <w:r>
        <w:t xml:space="preserve">truncation calls that AMRFinderPlus’s point-mutation screen does not make. For colistin, 263 of 367</w:t>
      </w:r>
      <w:r>
        <w:t xml:space="preserve"> </w:t>
      </w:r>
      <w:r>
        <w:t xml:space="preserve">resistant genomes carried no AMRFinderPlus determinant at all.</w:t>
      </w:r>
    </w:p>
    <w:p>
      <w:pPr>
        <w:pStyle w:val="Heading3"/>
      </w:pPr>
      <w:bookmarkStart w:id="40" w:name="X93b2e1c141807de37c7c02fddc13b194fdbc548"/>
      <w:r>
        <w:t xml:space="preserve">3.3 A 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check recovers part of the gap</w:t>
      </w:r>
      <w:bookmarkEnd w:id="40"/>
    </w:p>
    <w:p>
      <w:pPr>
        <w:pStyle w:val="FirstParagraph"/>
      </w:pPr>
      <w:r>
        <w:t xml:space="preserve">Across all 6,652 genomes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was intact in 6,056, missense in 129, and disrupted in 467, the</w:t>
      </w:r>
      <w:r>
        <w:t xml:space="preserve"> </w:t>
      </w:r>
      <w:r>
        <w:t xml:space="preserve">last dominated by the assembly signatures predicted in Section 1: split across contigs (162), partial</w:t>
      </w:r>
      <w:r>
        <w:t xml:space="preserve"> </w:t>
      </w:r>
      <w:r>
        <w:t xml:space="preserve">(153), premature stop (73), absent (34), frameshift or indel (27), contig break (13) and assembled</w:t>
      </w:r>
      <w:r>
        <w:t xml:space="preserve"> </w:t>
      </w:r>
      <w:r>
        <w:t xml:space="preserve">internal insertion (5).</w:t>
      </w:r>
    </w:p>
    <w:p>
      <w:pPr>
        <w:pStyle w:val="BodyText"/>
      </w:pPr>
      <w:r>
        <w:rPr>
          <w:b/>
        </w:rPr>
        <w:t xml:space="preserve">Table 2.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status against colistin phenotype among the 1,528 genomes with</w:t>
      </w:r>
      <w:r>
        <w:t xml:space="preserve"> </w:t>
      </w:r>
      <w:r>
        <w:t xml:space="preserve">broth-microdilution labels (24% resistant overall).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mgrB</w:t>
            </w:r>
            <w:r>
              <w:t xml:space="preserve"> </w:t>
            </w: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Susceptible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Disrupted</w:t>
            </w:r>
          </w:p>
        </w:tc>
        <w:tc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Missense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Intact</w:t>
            </w:r>
          </w:p>
        </w:tc>
        <w:tc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t xml:space="preserve">1,107</w:t>
            </w:r>
          </w:p>
        </w:tc>
      </w:tr>
    </w:tbl>
    <w:p>
      <w:pPr>
        <w:pStyle w:val="BodyText"/>
      </w:pPr>
      <w:r>
        <w:t xml:space="preserve">Classification required comparing aligned residues directly. An initial implementation using</w:t>
      </w:r>
      <w:r>
        <w:t xml:space="preserve"> </w:t>
      </w:r>
      <w:r>
        <w:t xml:space="preserve">percentage identity called 6,048 genomes missense at exactly 97.9% identity, a single artefactual</w:t>
      </w:r>
      <w:r>
        <w:t xml:space="preserve"> </w:t>
      </w:r>
      <w:r>
        <w:t xml:space="preserve">mismatch arising because tblastn translates alternative start codons as V or L rather than M;</w:t>
      </w:r>
      <w:r>
        <w:t xml:space="preserve"> </w:t>
      </w:r>
      <w:r>
        <w:t xml:space="preserve">ignoring query position 1 removes it.</w:t>
      </w:r>
    </w:p>
    <w:p>
      <w:pPr>
        <w:pStyle w:val="BodyText"/>
      </w:pPr>
      <w:r>
        <w:t xml:space="preserve">Adding mechanism-specified disruption raises sensitivity for both gene screens while costing</w:t>
      </w:r>
      <w:r>
        <w:t xml:space="preserve"> </w:t>
      </w:r>
      <w:r>
        <w:t xml:space="preserve">little specificity (Figure 1; exact values with intervals in Supplementary Table S1):</w:t>
      </w:r>
    </w:p>
    <w:p>
      <w:pPr>
        <w:pStyle w:val="CaptionedFigure"/>
      </w:pPr>
      <w:r>
        <w:drawing>
          <wp:inline>
            <wp:extent cx="5334000" cy="2126225"/>
            <wp:effectExtent b="0" l="0" r="0" t="0"/>
            <wp:docPr descr="Figure 1" title="" id="1" name="Picture"/>
            <a:graphic>
              <a:graphicData uri="http://schemas.openxmlformats.org/drawingml/2006/picture">
                <pic:pic>
                  <pic:nvPicPr>
                    <pic:cNvPr descr="../../reports/figures/colistin_mgrb_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</w:rPr>
        <w:t xml:space="preserve">Figure 1.</w:t>
      </w:r>
      <w:r>
        <w:t xml:space="preserve"> </w:t>
      </w:r>
      <w:r>
        <w:t xml:space="preserve">Colistin sensitivity and specificity for each rule, with and without the targeted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check. Dots are point estimates, bars 95% Wilson intervals; broth-microdilution</w:t>
      </w:r>
      <w:r>
        <w:t xml:space="preserve"> </w:t>
      </w:r>
      <w:r>
        <w:t xml:space="preserve">labels (n = 1,528; 367 resistant). The specificity axis begins at 85%.</w:t>
      </w:r>
    </w:p>
    <w:p>
      <w:pPr>
        <w:pStyle w:val="BodyText"/>
      </w:pPr>
      <w:r>
        <w:t xml:space="preserve">The increment is large against AMRFinderPlus (+28.4 points) and modest against Kleborate (+6.0</w:t>
      </w:r>
      <w:r>
        <w:t xml:space="preserve"> </w:t>
      </w:r>
      <w:r>
        <w:t xml:space="preserve">points), which already detects MgrB truncation by sequence coverage. Kleborate is the appropriate</w:t>
      </w:r>
      <w:r>
        <w:t xml:space="preserve"> </w:t>
      </w:r>
      <w:r>
        <w:t xml:space="preserve">comparator for the state of the art, and the honest gain is therefore six points. Notably,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check used alone, with no gene screen, slightly exceeds Kleborate alone.</w:t>
      </w:r>
    </w:p>
    <w:p>
      <w:pPr>
        <w:pStyle w:val="BodyText"/>
      </w:pPr>
      <w:r>
        <w:rPr>
          <w:b/>
        </w:rPr>
        <w:t xml:space="preserve">The association is not an assembly artefact.</w:t>
      </w:r>
      <w:r>
        <w:t xml:space="preserve"> </w:t>
      </w:r>
      <w:r>
        <w:t xml:space="preserve">Median contig counts were similar between calls</w:t>
      </w:r>
      <w:r>
        <w:t xml:space="preserve"> </w:t>
      </w:r>
      <w:r>
        <w:t xml:space="preserve">(disrupted 116, intact 104, missense 108), and stratifying on assembly quality left the association</w:t>
      </w:r>
      <w:r>
        <w:t xml:space="preserve"> </w:t>
      </w:r>
      <w:r>
        <w:t xml:space="preserve">intact:</w:t>
      </w:r>
    </w:p>
    <w:p>
      <w:pPr>
        <w:pStyle w:val="BodyText"/>
      </w:pPr>
      <w:r>
        <w:rPr>
          <w:b/>
        </w:rPr>
        <w:t xml:space="preserve">Table 3.</w:t>
      </w:r>
      <w:r>
        <w:t xml:space="preserve"> </w:t>
      </w:r>
      <w:r>
        <w:t xml:space="preserve">Colistin resistance by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status within quartiles of assembly fragmentation.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Contig quartile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mgrB</w:t>
            </w:r>
            <w:r>
              <w:t xml:space="preserve"> </w:t>
            </w:r>
            <w:r>
              <w:t xml:space="preserve">intact, % resistant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mgrB</w:t>
            </w:r>
            <w:r>
              <w:t xml:space="preserve"> </w:t>
            </w:r>
            <w:r>
              <w:t xml:space="preserve">disrupted, % resistant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 (fewest contigs)</w:t>
            </w:r>
          </w:p>
        </w:tc>
        <w:tc>
          <w:p>
            <w:pPr>
              <w:pStyle w:val="Compact"/>
              <w:jc w:val="left"/>
            </w:pPr>
            <w:r>
              <w:t xml:space="preserve">4% (n=337)</w:t>
            </w:r>
          </w:p>
        </w:tc>
        <w:tc>
          <w:p>
            <w:pPr>
              <w:pStyle w:val="Compact"/>
              <w:jc w:val="left"/>
            </w:pPr>
            <w:r>
              <w:t xml:space="preserve">81% (n=32)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8% (n=315)</w:t>
            </w:r>
          </w:p>
        </w:tc>
        <w:tc>
          <w:p>
            <w:pPr>
              <w:pStyle w:val="Compact"/>
              <w:jc w:val="left"/>
            </w:pPr>
            <w:r>
              <w:t xml:space="preserve">69% (n=48)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17% (n=292)</w:t>
            </w:r>
          </w:p>
        </w:tc>
        <w:tc>
          <w:p>
            <w:pPr>
              <w:pStyle w:val="Compact"/>
              <w:jc w:val="left"/>
            </w:pPr>
            <w:r>
              <w:t xml:space="preserve">83% (n=65)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 (most contigs)</w:t>
            </w:r>
          </w:p>
        </w:tc>
        <w:tc>
          <w:p>
            <w:pPr>
              <w:pStyle w:val="Compact"/>
              <w:jc w:val="left"/>
            </w:pPr>
            <w:r>
              <w:t xml:space="preserve">18% (n=307)</w:t>
            </w:r>
          </w:p>
        </w:tc>
        <w:tc>
          <w:p>
            <w:pPr>
              <w:pStyle w:val="Compact"/>
              <w:jc w:val="left"/>
            </w:pPr>
            <w:r>
              <w:t xml:space="preserve">82% (n=49)</w:t>
            </w:r>
          </w:p>
        </w:tc>
      </w:tr>
    </w:tbl>
    <w:p>
      <w:pPr>
        <w:pStyle w:val="BodyText"/>
      </w:pPr>
      <w:r>
        <w:t xml:space="preserve">The gap is widest, not narrowest, among the least fragmented assemblies. Disruption calls inferred</w:t>
      </w:r>
      <w:r>
        <w:t xml:space="preserve"> </w:t>
      </w:r>
      <w:r>
        <w:t xml:space="preserve">from assembly structure behaved similarly to sequence-level calls (76% versus 86% resistant,</w:t>
      </w:r>
      <w:r>
        <w:t xml:space="preserve"> </w:t>
      </w:r>
      <w:r>
        <w:t xml:space="preserve">against 12% for intact</w:t>
      </w:r>
      <w:r>
        <w:t xml:space="preserve"> </w:t>
      </w:r>
      <w:r>
        <w:rPr>
          <w:i/>
        </w:rPr>
        <w:t xml:space="preserve">mgrB</w:t>
      </w:r>
      <w:r>
        <w:t xml:space="preserve">), indicating that the assembly-break categories carry genuine signal.</w:t>
      </w:r>
    </w:p>
    <w:p>
      <w:pPr>
        <w:pStyle w:val="Heading3"/>
      </w:pPr>
      <w:bookmarkStart w:id="42" w:name="X980481649d305615695967c8692fc85ce8abefd"/>
      <w:r>
        <w:t xml:space="preserve">3.4 The contig breaks carry insertion-sequence signatures</w:t>
      </w:r>
      <w:bookmarkEnd w:id="42"/>
    </w:p>
    <w:p>
      <w:pPr>
        <w:pStyle w:val="FirstParagraph"/>
      </w:pPr>
      <w:r>
        <w:t xml:space="preserve">Among the 328 genomes whose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was inferred from assembly structure, the break</w:t>
      </w:r>
      <w:r>
        <w:t xml:space="preserve"> </w:t>
      </w:r>
      <w:r>
        <w:t xml:space="preserve">coincided with the gene: median distance from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fragment to the contig end was 79 bp, with</w:t>
      </w:r>
      <w:r>
        <w:t xml:space="preserve"> </w:t>
      </w:r>
      <w:r>
        <w:t xml:space="preserve">63% within 100 bp and 87% within 1 kb. In 328 matched genomes with intact</w:t>
      </w:r>
      <w:r>
        <w:t xml:space="preserve"> </w:t>
      </w:r>
      <w:r>
        <w:rPr>
          <w:i/>
        </w:rPr>
        <w:t xml:space="preserve">mgrB</w:t>
      </w:r>
      <w:r>
        <w:t xml:space="preserve">, the gene lay a</w:t>
      </w:r>
      <w:r>
        <w:t xml:space="preserve"> </w:t>
      </w:r>
      <w:r>
        <w:t xml:space="preserve">median of 80,470 bp from any contig end, and 0% were within 100 bp. Whatever terminates these</w:t>
      </w:r>
      <w:r>
        <w:t xml:space="preserve"> </w:t>
      </w:r>
      <w:r>
        <w:t xml:space="preserve">assemblies is located at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specifically.</w:t>
      </w:r>
    </w:p>
    <w:p>
      <w:pPr>
        <w:pStyle w:val="BodyText"/>
      </w:pPr>
      <w:r>
        <w:t xml:space="preserve">The adjacent sequence behaved like a mobile element. Of 255 genomes with at least 50 bp of flank,</w:t>
      </w:r>
      <w:r>
        <w:t xml:space="preserve"> </w:t>
      </w:r>
      <w:r>
        <w:t xml:space="preserve">82% had a high-identity copy elsewhere in their own assembly and 72% had three or more (median 5),</w:t>
      </w:r>
      <w:r>
        <w:t xml:space="preserve"> </w:t>
      </w:r>
      <w:r>
        <w:t xml:space="preserve">against 66% and 35% (median 2) for length-matched random contig ends from the same assemblies. And</w:t>
      </w:r>
      <w:r>
        <w:t xml:space="preserve"> </w:t>
      </w:r>
      <w:r>
        <w:t xml:space="preserve">249 of 255 flanks (98%) matched a flank from a different genome, which idiosyncratic assembly</w:t>
      </w:r>
      <w:r>
        <w:t xml:space="preserve"> </w:t>
      </w:r>
      <w:r>
        <w:t xml:space="preserve">artefacts would not.</w:t>
      </w:r>
    </w:p>
    <w:p>
      <w:pPr>
        <w:pStyle w:val="BodyText"/>
      </w:pPr>
      <w:r>
        <w:t xml:space="preserve">Together these support the interpretation that the assembly-inferred categories represent IS</w:t>
      </w:r>
      <w:r>
        <w:t xml:space="preserve"> </w:t>
      </w:r>
      <w:r>
        <w:t xml:space="preserve">insertions in</w:t>
      </w:r>
      <w:r>
        <w:t xml:space="preserve"> </w:t>
      </w:r>
      <w:r>
        <w:rPr>
          <w:i/>
        </w:rPr>
        <w:t xml:space="preserve">mgrB</w:t>
      </w:r>
      <w:r>
        <w:t xml:space="preserve">. They do not identify which element is involved, nor confirm insertion in any</w:t>
      </w:r>
      <w:r>
        <w:t xml:space="preserve"> </w:t>
      </w:r>
      <w:r>
        <w:t xml:space="preserve">individual genome; both require an IS reference database or long-read assemblies of these isolates.</w:t>
      </w:r>
    </w:p>
    <w:p>
      <w:pPr>
        <w:pStyle w:val="Heading3"/>
      </w:pPr>
      <w:bookmarkStart w:id="43" w:name="X985bd149fe721b6dcca3c30b9afab6a0fe4a0b4"/>
      <w:r>
        <w:t xml:space="preserve">3.5 A plausible missense tier does not survive out-of-sample selection</w:t>
      </w:r>
      <w:bookmarkEnd w:id="43"/>
    </w:p>
    <w:p>
      <w:pPr>
        <w:pStyle w:val="FirstParagraph"/>
      </w:pPr>
      <w:r>
        <w:t xml:space="preserve">Missense variants were enriched among resistant isolates — M27K (25 R / 3 S), T21N (9 / 0), N42Y</w:t>
      </w:r>
      <w:r>
        <w:t xml:space="preserve"> </w:t>
      </w:r>
      <w:r>
        <w:t xml:space="preserve">(7 / 0), K43I (7 / 0), C28W (4 / 1), C39G (3 / 0) — and C28 and C39 are the two cysteines of this</w:t>
      </w:r>
      <w:r>
        <w:t xml:space="preserve"> </w:t>
      </w:r>
      <w:r>
        <w:t xml:space="preserve">small lipoprotein, so a structural rationale was readily available. Counting missense as</w:t>
      </w:r>
      <w:r>
        <w:t xml:space="preserve"> </w:t>
      </w:r>
      <w:r>
        <w:t xml:space="preserve">resistance-predicting raised in-sample sensitivity of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check from 41.7% to 60.8%, an</w:t>
      </w:r>
      <w:r>
        <w:t xml:space="preserve"> </w:t>
      </w:r>
      <w:r>
        <w:t xml:space="preserve">apparent gain of 19.1 points.</w:t>
      </w:r>
    </w:p>
    <w:p>
      <w:pPr>
        <w:pStyle w:val="BodyText"/>
      </w:pPr>
      <w:r>
        <w:t xml:space="preserve">Under leave-one-study-out selection the tier added</w:t>
      </w:r>
      <w:r>
        <w:t xml:space="preserve"> </w:t>
      </w:r>
      <w:r>
        <w:rPr>
          <w:b/>
        </w:rPr>
        <w:t xml:space="preserve">0.9 points</w:t>
      </w:r>
      <w:r>
        <w:t xml:space="preserve"> </w:t>
      </w:r>
      <w:r>
        <w:t xml:space="preserve">(47.0% to 47.9%). The apparent</w:t>
      </w:r>
      <w:r>
        <w:t xml:space="preserve"> </w:t>
      </w:r>
      <w:r>
        <w:t xml:space="preserve">benefit was almost entirely an artefact of selecting variants on the same data used to evaluate</w:t>
      </w:r>
      <w:r>
        <w:t xml:space="preserve"> </w:t>
      </w:r>
      <w:r>
        <w:t xml:space="preserve">them. We therefore exclude the missense tier from all reported rules and from the benchmark.</w:t>
      </w:r>
    </w:p>
    <w:p>
      <w:pPr>
        <w:pStyle w:val="BodyText"/>
      </w:pPr>
      <w:r>
        <w:t xml:space="preserve">We report this negative result because the failure mode is instructive: the variants were</w:t>
      </w:r>
      <w:r>
        <w:t xml:space="preserve"> </w:t>
      </w:r>
      <w:r>
        <w:t xml:space="preserve">individually plausible, the structural rationale was real, and the in-sample improvement was large</w:t>
      </w:r>
      <w:r>
        <w:t xml:space="preserve"> </w:t>
      </w:r>
      <w:r>
        <w:t xml:space="preserve">and would have survived cross-validation that did not group by study.</w:t>
      </w:r>
    </w:p>
    <w:p>
      <w:pPr>
        <w:pStyle w:val="Heading3"/>
      </w:pPr>
      <w:bookmarkStart w:id="44" w:name="X108a533e73f41e71487056a283759ee5a81dc57"/>
      <w:r>
        <w:t xml:space="preserve">3.6 Mechanism composition differs between collections</w:t>
      </w:r>
      <w:bookmarkEnd w:id="44"/>
    </w:p>
    <w:p>
      <w:pPr>
        <w:pStyle w:val="FirstParagraph"/>
      </w:pPr>
      <w:r>
        <w:t xml:space="preserve">The disruption tier is fitted to nothing, so its leave-one-study-out performance measures transfer</w:t>
      </w:r>
      <w:r>
        <w:t xml:space="preserve"> </w:t>
      </w:r>
      <w:r>
        <w:t xml:space="preserve">rather than overfitting. It varied substantially (Figure 2; per-study values in Supplementary</w:t>
      </w:r>
      <w:r>
        <w:t xml:space="preserve"> </w:t>
      </w:r>
      <w:r>
        <w:t xml:space="preserve">Table S2):</w:t>
      </w:r>
    </w:p>
    <w:p>
      <w:pPr>
        <w:pStyle w:val="CaptionedFigure"/>
      </w:pPr>
      <w:r>
        <w:drawing>
          <wp:inline>
            <wp:extent cx="5334000" cy="2743748"/>
            <wp:effectExtent b="0" l="0" r="0" t="0"/>
            <wp:docPr descr="Figure 2" title="" id="1" name="Picture"/>
            <a:graphic>
              <a:graphicData uri="http://schemas.openxmlformats.org/drawingml/2006/picture">
                <pic:pic>
                  <pic:nvPicPr>
                    <pic:cNvPr descr="../../reports/figures/colistin_transfer_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</w:rPr>
        <w:t xml:space="preserve">Figure 2.</w:t>
      </w:r>
      <w:r>
        <w:t xml:space="preserve"> </w:t>
      </w:r>
      <w:r>
        <w:t xml:space="preserve">Sensitivity of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rule in each held-out study. The rule is</w:t>
      </w:r>
      <w:r>
        <w:t xml:space="preserve"> </w:t>
      </w:r>
      <w:r>
        <w:t xml:space="preserve">mechanism-specified and fitted to nothing, so the spread reflects differing mechanistic</w:t>
      </w:r>
      <w:r>
        <w:t xml:space="preserve"> </w:t>
      </w:r>
      <w:r>
        <w:t xml:space="preserve">composition between collections rather than overfitting.</w:t>
      </w:r>
    </w:p>
    <w:p>
      <w:pPr>
        <w:pStyle w:val="BodyText"/>
      </w:pPr>
      <w:r>
        <w:t xml:space="preserve">In the largest collection,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accounts for under 40% of colistin resistance; in</w:t>
      </w:r>
      <w:r>
        <w:t xml:space="preserve"> </w:t>
      </w:r>
      <w:r>
        <w:t xml:space="preserve">another it accounts for over 70%. Since nothing is fitted, this is not an overfitting artefact but</w:t>
      </w:r>
      <w:r>
        <w:t xml:space="preserve"> </w:t>
      </w:r>
      <w:r>
        <w:t xml:space="preserve">a statement about the isolates: the mechanistic composition of colistin resistance genuinely</w:t>
      </w:r>
      <w:r>
        <w:t xml:space="preserve"> </w:t>
      </w:r>
      <w:r>
        <w:t xml:space="preserve">differs between collections, presumably reflecting differences in clonal background, geography and</w:t>
      </w:r>
      <w:r>
        <w:t xml:space="preserve"> </w:t>
      </w:r>
      <w:r>
        <w:t xml:space="preserve">selection history. Any fixed rule, and any model trained on one collection, inherits this limit.</w:t>
      </w:r>
    </w:p>
    <w:p>
      <w:pPr>
        <w:pStyle w:val="Heading3"/>
      </w:pPr>
      <w:bookmarkStart w:id="46" w:name="X98624ace0ca9dd6f7907dbf050dd3da445ba2f9"/>
      <w:r>
        <w:t xml:space="preserve">3.7 The ordering of rules and models inverts with validation stringency</w:t>
      </w:r>
      <w:bookmarkEnd w:id="46"/>
    </w:p>
    <w:p>
      <w:pPr>
        <w:pStyle w:val="FirstParagraph"/>
      </w:pPr>
      <w:r>
        <w:t xml:space="preserve">Balanced accuracy on held-out genomes reverses the ordering of rule and models as grouping</w:t>
      </w:r>
      <w:r>
        <w:t xml:space="preserve"> </w:t>
      </w:r>
      <w:r>
        <w:t xml:space="preserve">tightens (Figure 3; values in Supplementary Table S3):</w:t>
      </w:r>
    </w:p>
    <w:p>
      <w:pPr>
        <w:pStyle w:val="CaptionedFigure"/>
      </w:pPr>
      <w:r>
        <w:drawing>
          <wp:inline>
            <wp:extent cx="5334000" cy="1986018"/>
            <wp:effectExtent b="0" l="0" r="0" t="0"/>
            <wp:docPr descr="Figure 3" title="" id="1" name="Picture"/>
            <a:graphic>
              <a:graphicData uri="http://schemas.openxmlformats.org/drawingml/2006/picture">
                <pic:pic>
                  <pic:nvPicPr>
                    <pic:cNvPr descr="../../reports/figures/benchmark_splits_ligh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</w:rPr>
        <w:t xml:space="preserve">Figure 3.</w:t>
      </w:r>
      <w:r>
        <w:t xml:space="preserve"> </w:t>
      </w:r>
      <w:r>
        <w:t xml:space="preserve">Balanced accuracy of the per-drug rule, logistic regression and gradient boosting</w:t>
      </w:r>
      <w:r>
        <w:t xml:space="preserve"> </w:t>
      </w:r>
      <w:r>
        <w:t xml:space="preserve">under random, study-aware and lineage-aware splits. Rules are deterministic and therefore flat</w:t>
      </w:r>
      <w:r>
        <w:t xml:space="preserve"> </w:t>
      </w:r>
      <w:r>
        <w:t xml:space="preserve">across splits by construction; the comparison of interest is whether model lines converge on, or</w:t>
      </w:r>
      <w:r>
        <w:t xml:space="preserve"> </w:t>
      </w:r>
      <w:r>
        <w:t xml:space="preserve">fall below, the rule line as grouping tightens.</w:t>
      </w:r>
    </w:p>
    <w:p>
      <w:pPr>
        <w:pStyle w:val="BodyText"/>
      </w:pPr>
      <w:r>
        <w:t xml:space="preserve">Paired bootstrap differences (rule minus model, 95% interval) confirm the reversal: under random</w:t>
      </w:r>
      <w:r>
        <w:t xml:space="preserve"> </w:t>
      </w:r>
      <w:r>
        <w:t xml:space="preserve">splitting the models are ahead by 0.085 (−0.113 to −0.059) and 0.083 (−0.111 to −0.054); under</w:t>
      </w:r>
      <w:r>
        <w:t xml:space="preserve"> </w:t>
      </w:r>
      <w:r>
        <w:t xml:space="preserve">study-aware splitting by 0.063 (−0.088 to −0.037) and 0.051 (−0.078 to −0.026); under lineage-aware</w:t>
      </w:r>
      <w:r>
        <w:t xml:space="preserve"> </w:t>
      </w:r>
      <w:r>
        <w:t xml:space="preserve">splitting the rule is ahead by 0.028 (+0.002 to +0.052) and 0.050 (+0.026 to +0.075). All six</w:t>
      </w:r>
      <w:r>
        <w:t xml:space="preserve"> </w:t>
      </w:r>
      <w:r>
        <w:t xml:space="preserve">intervals exclude zero, but they are drawn from a family of 54 comparisons and do not survive</w:t>
      </w:r>
      <w:r>
        <w:t xml:space="preserve"> </w:t>
      </w:r>
      <w:r>
        <w:t xml:space="preserve">correction equally. The rule’s margin over gradient boosting under lineage-aware splitting holds</w:t>
      </w:r>
      <w:r>
        <w:t xml:space="preserve"> </w:t>
      </w:r>
      <w:r>
        <w:t xml:space="preserve">at p &lt; 0.0005 (Benjamini–Hochberg q = 0.001) and survives Bonferroni; its margin over logistic</w:t>
      </w:r>
      <w:r>
        <w:t xml:space="preserve"> </w:t>
      </w:r>
      <w:r>
        <w:t xml:space="preserve">regression does not (p = 0.026, q = 0.045, Bonferroni threshold 0.00093). The reversal against</w:t>
      </w:r>
      <w:r>
        <w:t xml:space="preserve"> </w:t>
      </w:r>
      <w:r>
        <w:t xml:space="preserve">gradient boosting is therefore established, while the reversal against logistic regression should</w:t>
      </w:r>
      <w:r>
        <w:t xml:space="preserve"> </w:t>
      </w:r>
      <w:r>
        <w:t xml:space="preserve">be read as comparable performance rather than superiority. Across the family, 33 of 54 intervals</w:t>
      </w:r>
      <w:r>
        <w:t xml:space="preserve"> </w:t>
      </w:r>
      <w:r>
        <w:t xml:space="preserve">excluded zero uncorrected, 31 survived Benjamini–Hochberg and 24 survived Bonferroni; the two that</w:t>
      </w:r>
      <w:r>
        <w:t xml:space="preserve"> </w:t>
      </w:r>
      <w:r>
        <w:t xml:space="preserve">fell away under Benjamini–Hochberg were small ciprofloxacin study-aware differences (−0.008 and</w:t>
      </w:r>
      <w:r>
        <w:t xml:space="preserve"> </w:t>
      </w:r>
      <w:r>
        <w:t xml:space="preserve">−0.005) on which no claim here rests.</w:t>
      </w:r>
    </w:p>
    <w:p>
      <w:pPr>
        <w:pStyle w:val="BodyText"/>
      </w:pPr>
      <w:r>
        <w:t xml:space="preserve">The models had access to the same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features as the rule, and lost ground only when</w:t>
      </w:r>
      <w:r>
        <w:t xml:space="preserve"> </w:t>
      </w:r>
      <w:r>
        <w:t xml:space="preserve">sequence types were held out. The margin by which the rule leads under lineage-aware splitting is</w:t>
      </w:r>
      <w:r>
        <w:t xml:space="preserve"> </w:t>
      </w:r>
      <w:r>
        <w:t xml:space="preserve">small, and the practical claim is not that rules are superior but that the models’ apparent</w:t>
      </w:r>
      <w:r>
        <w:t xml:space="preserve"> </w:t>
      </w:r>
      <w:r>
        <w:t xml:space="preserve">superiority is an artefact of validation design.</w:t>
      </w:r>
    </w:p>
    <w:p>
      <w:pPr>
        <w:pStyle w:val="BodyText"/>
      </w:pPr>
      <w:r>
        <w:t xml:space="preserve">Across drugs, random-split optimism — balanced accuracy under random splitting minus the lower of</w:t>
      </w:r>
      <w:r>
        <w:t xml:space="preserve"> </w:t>
      </w:r>
      <w:r>
        <w:t xml:space="preserve">the two grouped splits — was 0.007–0.042 for meropenem, ciprofloxacin and gentamicin, but</w:t>
      </w:r>
      <w:r>
        <w:t xml:space="preserve"> </w:t>
      </w:r>
      <w:r>
        <w:t xml:space="preserve">0.113–0.133 for colistin and 0.136–0.149 for tigecycline. For tigecycline, models exceeded the rule</w:t>
      </w:r>
      <w:r>
        <w:t xml:space="preserve"> </w:t>
      </w:r>
      <w:r>
        <w:t xml:space="preserve">under every split including lineage-aware (differences −0.203 and −0.107), though at 0.62–0.72 all</w:t>
      </w:r>
      <w:r>
        <w:t xml:space="preserve"> </w:t>
      </w:r>
      <w:r>
        <w:t xml:space="preserve">predictors remain weak. Temporal validation was interpretable only for meropenem, ciprofloxacin and</w:t>
      </w:r>
      <w:r>
        <w:t xml:space="preserve"> </w:t>
      </w:r>
      <w:r>
        <w:t xml:space="preserve">gentamicin; colistin (34 test genomes, one resistant) and tigecycline (28, none) were not evaluable.</w:t>
      </w:r>
    </w:p>
    <w:p>
      <w:pPr>
        <w:pStyle w:val="Heading3"/>
      </w:pPr>
      <w:bookmarkStart w:id="48" w:name="X9d856750cdfc8193ef99f1ad20200f2625dc0ba"/>
      <w:r>
        <w:t xml:space="preserve">3.8 The leaked signal is finer-grained than sequence type</w:t>
      </w:r>
      <w:bookmarkEnd w:id="48"/>
    </w:p>
    <w:p>
      <w:pPr>
        <w:pStyle w:val="FirstParagraph"/>
      </w:pPr>
      <w:r>
        <w:t xml:space="preserve">A predictor using sequence type alone, with no resistance determinant of any kind, reached 0.737</w:t>
      </w:r>
      <w:r>
        <w:t xml:space="preserve"> </w:t>
      </w:r>
      <w:r>
        <w:t xml:space="preserve">balanced accuracy for meropenem, 0.728 for ciprofloxacin and 0.713 for gentamicin under random</w:t>
      </w:r>
      <w:r>
        <w:t xml:space="preserve"> </w:t>
      </w:r>
      <w:r>
        <w:t xml:space="preserve">splitting, confirming that lineage carries substantial predictive signal in this cohort. For those</w:t>
      </w:r>
      <w:r>
        <w:t xml:space="preserve"> </w:t>
      </w:r>
      <w:r>
        <w:t xml:space="preserve">three drugs the models nonetheless reached ~0.95 and did not degrade when sequence types were held</w:t>
      </w:r>
      <w:r>
        <w:t xml:space="preserve"> </w:t>
      </w:r>
      <w:r>
        <w:t xml:space="preserve">out, so their performance rests on resistance determinants rather than lineage.</w:t>
      </w:r>
    </w:p>
    <w:p>
      <w:pPr>
        <w:pStyle w:val="BodyText"/>
      </w:pPr>
      <w:r>
        <w:t xml:space="preserve">Colistin behaved differently, and not as we had expected. Sequence type alone reached only 0.554</w:t>
      </w:r>
      <w:r>
        <w:t xml:space="preserve"> </w:t>
      </w:r>
      <w:r>
        <w:t xml:space="preserve">under random splitting, despite 91% of test genomes sharing a type with training data. Colistin</w:t>
      </w:r>
      <w:r>
        <w:t xml:space="preserve"> </w:t>
      </w:r>
      <w:r>
        <w:t xml:space="preserve">resistance is therefore poorly predicted by sequence type: both phenotypes occur within the same</w:t>
      </w:r>
      <w:r>
        <w:t xml:space="preserve"> </w:t>
      </w:r>
      <w:r>
        <w:t xml:space="preserve">types. Yet the models still fell from 0.844 to 0.731 when types were held out. The signal they</w:t>
      </w:r>
      <w:r>
        <w:t xml:space="preserve"> </w:t>
      </w:r>
      <w:r>
        <w:t xml:space="preserve">lose is thus not sequence-type membership as such, but something finer-grained that co-varies with</w:t>
      </w:r>
      <w:r>
        <w:t xml:space="preserve"> </w:t>
      </w:r>
      <w:r>
        <w:t xml:space="preserve">it — plausibly accessory-genome similarity among closely related isolates within a type. We report</w:t>
      </w:r>
      <w:r>
        <w:t xml:space="preserve"> </w:t>
      </w:r>
      <w:r>
        <w:t xml:space="preserve">this because it corrects a natural but incorrect reading of the split results: the models were not</w:t>
      </w:r>
      <w:r>
        <w:t xml:space="preserve"> </w:t>
      </w:r>
      <w:r>
        <w:t xml:space="preserve">simply memorising lineage labels.</w:t>
      </w:r>
    </w:p>
    <w:p>
      <w:pPr>
        <w:pStyle w:val="BodyText"/>
      </w:pPr>
      <w:r>
        <w:t xml:space="preserve">The two grouping schemes also proved not to be substitutes. Under study-aware splitting, 74–88% of</w:t>
      </w:r>
      <w:r>
        <w:t xml:space="preserve"> </w:t>
      </w:r>
      <w:r>
        <w:t xml:space="preserve">test genomes still shared a sequence type with training data; under lineage-aware splitting, 87–95%</w:t>
      </w:r>
      <w:r>
        <w:t xml:space="preserve"> </w:t>
      </w:r>
      <w:r>
        <w:t xml:space="preserve">still shared a BioProject. Each scheme leaves the other dimension almost entirely unconstrained, so</w:t>
      </w:r>
      <w:r>
        <w:t xml:space="preserve"> </w:t>
      </w:r>
      <w:r>
        <w:t xml:space="preserve">grouping on both would be stricter than either alone. Temporal splitting, often presented as the</w:t>
      </w:r>
      <w:r>
        <w:t xml:space="preserve"> </w:t>
      </w:r>
      <w:r>
        <w:t xml:space="preserve">realistic option, constrained neither: 73–78% of test genomes shared a sequence type and 76–82% a</w:t>
      </w:r>
      <w:r>
        <w:t xml:space="preserve"> </w:t>
      </w:r>
      <w:r>
        <w:t xml:space="preserve">BioProject with training data.</w:t>
      </w:r>
    </w:p>
    <w:p>
      <w:pPr>
        <w:pStyle w:val="Heading3"/>
      </w:pPr>
      <w:bookmarkStart w:id="49" w:name="X6a9fe099cf041cdc406a82de41d55a3bc4a4968"/>
      <w:r>
        <w:t xml:space="preserve">3.9 Much apparent genotype error is label artefact</w:t>
      </w:r>
      <w:bookmarkEnd w:id="49"/>
    </w:p>
    <w:p>
      <w:pPr>
        <w:pStyle w:val="FirstParagraph"/>
      </w:pPr>
      <w:r>
        <w:rPr>
          <w:b/>
        </w:rPr>
        <w:t xml:space="preserve">Meropenem.</w:t>
      </w:r>
      <w:r>
        <w:t xml:space="preserve"> </w:t>
      </w:r>
      <w:r>
        <w:t xml:space="preserve">Of 2,118 carbapenemase carriers, 326 tested susceptible, strongly enzyme-dependent:</w:t>
      </w:r>
      <w:r>
        <w:t xml:space="preserve"> </w:t>
      </w:r>
      <w:r>
        <w:t xml:space="preserve">52.9% of OXA-48-like carriers (182/344) and 75.0% of VIM carriers (33/44) versus 5.9% of KPC</w:t>
      </w:r>
      <w:r>
        <w:t xml:space="preserve"> </w:t>
      </w:r>
      <w:r>
        <w:t xml:space="preserve">(75/1,278) and 10.0% of NDM (28/280). Of the 240 with a recorded MIC, 191 (80%) lay at 1–2 mg/L and</w:t>
      </w:r>
      <w:r>
        <w:t xml:space="preserve"> </w:t>
      </w:r>
      <w:r>
        <w:t xml:space="preserve">224 (93%) exceeded the EUCAST carbapenemase screening cut-off of 0.125 mg/L. The genotype call is</w:t>
      </w:r>
      <w:r>
        <w:t xml:space="preserve"> </w:t>
      </w:r>
      <w:r>
        <w:t xml:space="preserve">correct in most cases; the clinical S category does not reflect carbapenemase carriage for these</w:t>
      </w:r>
      <w:r>
        <w:t xml:space="preserve"> </w:t>
      </w:r>
      <w:r>
        <w:t xml:space="preserve">families. Of 62 resistant non-carriers, 51 carried an ESBL or AmpC and 29 of those also had an</w:t>
      </w:r>
      <w:r>
        <w:t xml:space="preserve"> </w:t>
      </w:r>
      <w:r>
        <w:t xml:space="preserve">OmpK35/36 defect — but 624 susceptible non-carriers had the same combination, making it a risk</w:t>
      </w:r>
      <w:r>
        <w:t xml:space="preserve"> </w:t>
      </w:r>
      <w:r>
        <w:t xml:space="preserve">factor rather than a predictor.</w:t>
      </w:r>
    </w:p>
    <w:p>
      <w:pPr>
        <w:pStyle w:val="BodyText"/>
      </w:pPr>
      <w:r>
        <w:rPr>
          <w:b/>
        </w:rPr>
        <w:t xml:space="preserve">Gentamicin.</w:t>
      </w:r>
      <w:r>
        <w:t xml:space="preserve"> </w:t>
      </w:r>
      <w:r>
        <w:t xml:space="preserve">Of 299 unexplained resistant isolates with an MIC, 213 (71%) were at exactly 4</w:t>
      </w:r>
      <w:r>
        <w:t xml:space="preserve"> </w:t>
      </w:r>
      <w:r>
        <w:t xml:space="preserve">mg/L, one doubling dilution above the EUCAST breakpoint, whereas isolates with a detected mechanism</w:t>
      </w:r>
      <w:r>
        <w:t xml:space="preserve"> </w:t>
      </w:r>
      <w:r>
        <w:t xml:space="preserve">were mostly ≥8 mg/L. Among CLSI-tested records in this borderline group, 160 of 162 had been</w:t>
      </w:r>
      <w:r>
        <w:t xml:space="preserve"> </w:t>
      </w:r>
      <w:r>
        <w:t xml:space="preserve">reported susceptible by the originating laboratory. Excluding borderline labels raises gentamicin</w:t>
      </w:r>
      <w:r>
        <w:t xml:space="preserve"> </w:t>
      </w:r>
      <w:r>
        <w:t xml:space="preserve">rule balanced accuracy from 0.906 to 0.959, above every model under every split.</w:t>
      </w:r>
    </w:p>
    <w:p>
      <w:pPr>
        <w:pStyle w:val="BodyText"/>
      </w:pPr>
      <w:r>
        <w:rPr>
          <w:b/>
        </w:rPr>
        <w:t xml:space="preserve">A flagged study.</w:t>
      </w:r>
      <w:r>
        <w:t xml:space="preserve"> </w:t>
      </w:r>
      <w:r>
        <w:t xml:space="preserve">Of 135 gentamicin false positives, 65 carried</w:t>
      </w:r>
      <w:r>
        <w:t xml:space="preserve"> </w:t>
      </w:r>
      <w:r>
        <w:rPr>
          <w:i/>
        </w:rPr>
        <w:t xml:space="preserve">rmtB</w:t>
      </w:r>
      <w:r>
        <w:t xml:space="preserve">; 63 came from a single</w:t>
      </w:r>
      <w:r>
        <w:t xml:space="preserve"> </w:t>
      </w:r>
      <w:r>
        <w:t xml:space="preserve">BioProject at MIC 1 mg/L, implausible for a 16S rRNA methyltransferase. That study’s gentamicin</w:t>
      </w:r>
      <w:r>
        <w:t xml:space="preserve"> </w:t>
      </w:r>
      <w:r>
        <w:t xml:space="preserve">labels are flagged and excluded, with evidence recorded.</w:t>
      </w:r>
    </w:p>
    <w:p>
      <w:pPr>
        <w:pStyle w:val="Heading3"/>
      </w:pPr>
      <w:bookmarkStart w:id="50" w:name="X35f1c590e0985c4e1c4a262ec53ff184bd56ae3"/>
      <w:r>
        <w:t xml:space="preserve">3.10 The rule transfers to an external collection, which is composed differently</w:t>
      </w:r>
      <w:bookmarkEnd w:id="50"/>
    </w:p>
    <w:p>
      <w:pPr>
        <w:pStyle w:val="FirstParagraph"/>
      </w:pPr>
      <w:r>
        <w:t xml:space="preserve">Of 355 NCBI colistin results, 84 (23.7%) were already in our cohort and were excluded, leaving 271</w:t>
      </w:r>
      <w:r>
        <w:t xml:space="preserve"> </w:t>
      </w:r>
      <w:r>
        <w:t xml:space="preserve">held out. Kleborate’s species check rejected six that NCBI’s taxgroup labels</w:t>
      </w:r>
      <w:r>
        <w:t xml:space="preserve"> </w:t>
      </w:r>
      <w:r>
        <w:rPr>
          <w:i/>
        </w:rPr>
        <w:t xml:space="preserve">K. pneumoniae</w:t>
      </w:r>
      <w:r>
        <w:t xml:space="preserve">: all</w:t>
      </w:r>
      <w:r>
        <w:t xml:space="preserve"> </w:t>
      </w:r>
      <w:r>
        <w:t xml:space="preserve">six are</w:t>
      </w:r>
      <w:r>
        <w:t xml:space="preserve"> </w:t>
      </w:r>
      <w:r>
        <w:rPr>
          <w:i/>
        </w:rPr>
        <w:t xml:space="preserve">Klebsiella aerogenes</w:t>
      </w:r>
      <w:r>
        <w:t xml:space="preserve">, four of them complete single-contig genomes, so this is</w:t>
      </w:r>
      <w:r>
        <w:t xml:space="preserve"> </w:t>
      </w:r>
      <w:r>
        <w:t xml:space="preserve">misassignment rather than poor assembly. AMRFinderPlus processed all six without complaint. A</w:t>
      </w:r>
      <w:r>
        <w:t xml:space="preserve"> </w:t>
      </w:r>
      <w:r>
        <w:t xml:space="preserve">cohort built from NCBI taxgroups without an independent species check therefore inherits a 2.2%</w:t>
      </w:r>
      <w:r>
        <w:t xml:space="preserve"> </w:t>
      </w:r>
      <w:r>
        <w:t xml:space="preserve">contamination rate from a source that does not flag it.</w:t>
      </w:r>
    </w:p>
    <w:p>
      <w:pPr>
        <w:pStyle w:val="BodyText"/>
      </w:pPr>
      <w:r>
        <w:t xml:space="preserve">Of the 270 held-out isolates with a usable label, six were excluded as</w:t>
      </w:r>
      <w:r>
        <w:t xml:space="preserve"> </w:t>
      </w:r>
      <w:r>
        <w:rPr>
          <w:i/>
        </w:rPr>
        <w:t xml:space="preserve">K. aerogenes</w:t>
      </w:r>
      <w:r>
        <w:t xml:space="preserve"> </w:t>
      </w:r>
      <w:r>
        <w:t xml:space="preserve">and one</w:t>
      </w:r>
      <w:r>
        <w:t xml:space="preserve"> </w:t>
      </w:r>
      <w:r>
        <w:t xml:space="preserve">intermediate isolate cannot inform sensitivity, leaving 263 (81 resistant, 182 susceptible). The</w:t>
      </w:r>
      <w:r>
        <w:t xml:space="preserve"> </w:t>
      </w:r>
      <w:r>
        <w:t xml:space="preserve">frozen rule reached 77.8% sensitivity (95% CI 67.6–85.5) at 99.5% specificity, against 56.7%</w:t>
      </w:r>
      <w:r>
        <w:t xml:space="preserve"> </w:t>
      </w:r>
      <w:r>
        <w:t xml:space="preserve">(51.6–61.7) internally; restricting to the 251 isolates with MIC-derived labels gave 78.3%</w:t>
      </w:r>
      <w:r>
        <w:t xml:space="preserve"> </w:t>
      </w:r>
      <w:r>
        <w:t xml:space="preserve">(67.2–86.4). The rule therefore transfers, and the external estimate is higher than the internal</w:t>
      </w:r>
      <w:r>
        <w:t xml:space="preserve"> </w:t>
      </w:r>
      <w:r>
        <w:t xml:space="preserve">one with non-overlapping intervals.</w:t>
      </w:r>
    </w:p>
    <w:p>
      <w:pPr>
        <w:pStyle w:val="BodyText"/>
      </w:pPr>
      <w:r>
        <w:t xml:space="preserve">The reason is composition, not rule quality. 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component performed almost identically in</w:t>
      </w:r>
      <w:r>
        <w:t xml:space="preserve"> </w:t>
      </w:r>
      <w:r>
        <w:t xml:space="preserve">the two collections (45.7% versus 41.7% alone), while AMRFinderPlus alone rose from 28.3% to</w:t>
      </w:r>
      <w:r>
        <w:t xml:space="preserve"> </w:t>
      </w:r>
      <w:r>
        <w:t xml:space="preserve">50.6%. Among the 81 resistant isolates, 26 were explained by an AMRFinderPlus determinant alone,</w:t>
      </w:r>
      <w:r>
        <w:t xml:space="preserve"> </w:t>
      </w:r>
      <w:r>
        <w:t xml:space="preserve">22 by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 alone, 15 by both, and 18 (22.2%) by neither. The determinants were</w:t>
      </w:r>
      <w:r>
        <w:t xml:space="preserve"> </w:t>
      </w:r>
      <w:r>
        <w:t xml:space="preserve">predominantly chromosomal point mutations in AMRFinderPlus’s catalogue rather than acquired genes:</w:t>
      </w:r>
      <w:r>
        <w:t xml:space="preserve"> </w:t>
      </w:r>
      <w:r>
        <w:rPr>
          <w:i/>
        </w:rPr>
        <w:t xml:space="preserve">pmrB</w:t>
      </w:r>
      <w:r>
        <w:t xml:space="preserve"> </w:t>
      </w:r>
      <w:r>
        <w:t xml:space="preserve">T157P in 10 isolates,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nonsense and frameshift alleles in 12,</w:t>
      </w:r>
      <w:r>
        <w:t xml:space="preserve"> </w:t>
      </w:r>
      <w:r>
        <w:rPr>
          <w:i/>
        </w:rPr>
        <w:t xml:space="preserve">crrB</w:t>
      </w:r>
      <w:r>
        <w:t xml:space="preserve"> </w:t>
      </w:r>
      <w:r>
        <w:t xml:space="preserve">substitutions in</w:t>
      </w:r>
      <w:r>
        <w:t xml:space="preserve"> </w:t>
      </w:r>
      <w:r>
        <w:t xml:space="preserve">4, and single substitutions in</w:t>
      </w:r>
      <w:r>
        <w:t xml:space="preserve"> </w:t>
      </w:r>
      <w:r>
        <w:rPr>
          <w:i/>
        </w:rPr>
        <w:t xml:space="preserve">pmrA</w:t>
      </w:r>
      <w:r>
        <w:t xml:space="preserve"> </w:t>
      </w:r>
      <w:r>
        <w:t xml:space="preserve">(two isolates),</w:t>
      </w:r>
      <w:r>
        <w:t xml:space="preserve"> </w:t>
      </w:r>
      <w:r>
        <w:rPr>
          <w:i/>
        </w:rPr>
        <w:t xml:space="preserve">pmrB</w:t>
      </w:r>
      <w:r>
        <w:t xml:space="preserve"> </w:t>
      </w:r>
      <w:r>
        <w:t xml:space="preserve">S85R,</w:t>
      </w:r>
      <w:r>
        <w:t xml:space="preserve"> </w:t>
      </w:r>
      <w:r>
        <w:rPr>
          <w:i/>
        </w:rPr>
        <w:t xml:space="preserve">phoQ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lapB</w:t>
      </w:r>
      <w:r>
        <w:t xml:space="preserve">, with only</w:t>
      </w:r>
      <w:r>
        <w:t xml:space="preserve"> </w:t>
      </w:r>
      <w:r>
        <w:t xml:space="preserve">9 isolates carrying any</w:t>
      </w:r>
      <w:r>
        <w:t xml:space="preserve"> </w:t>
      </w:r>
      <w:r>
        <w:rPr>
          <w:i/>
        </w:rPr>
        <w:t xml:space="preserve">mcr</w:t>
      </w:r>
      <w:r>
        <w:t xml:space="preserve"> </w:t>
      </w:r>
      <w:r>
        <w:t xml:space="preserve">gene.</w:t>
      </w:r>
      <w:r>
        <w:t xml:space="preserve"> </w:t>
      </w:r>
      <w:r>
        <w:t xml:space="preserve">Correspondingly, the largest disrupted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category here was premature stop (11 genomes), where</w:t>
      </w:r>
      <w:r>
        <w:t xml:space="preserve"> </w:t>
      </w:r>
      <w:r>
        <w:t xml:space="preserve">internally it was the assembly-structural categories of Section 3.4. Point substitutions are what</w:t>
      </w:r>
      <w:r>
        <w:t xml:space="preserve"> </w:t>
      </w:r>
      <w:r>
        <w:t xml:space="preserve">AMRFinderPlus detects and insertion-driven disruption is what it misses, so a collection weighted</w:t>
      </w:r>
      <w:r>
        <w:t xml:space="preserve"> </w:t>
      </w:r>
      <w:r>
        <w:t xml:space="preserve">toward the former leaves the off-the-shelf tool less to miss and the targeted check less to add.</w:t>
      </w:r>
      <w:r>
        <w:t xml:space="preserve"> </w:t>
      </w:r>
      <w:r>
        <w:t xml:space="preserve">The check still added 27.2 points over AMRFinderPlus alone, explaining 22 resistant isolates it</w:t>
      </w:r>
      <w:r>
        <w:t xml:space="preserve"> </w:t>
      </w:r>
      <w:r>
        <w:t xml:space="preserve">missed, so the contribution of Section 3.3 replicates out of sample.</w:t>
      </w:r>
    </w:p>
    <w:p>
      <w:pPr>
        <w:pStyle w:val="BodyText"/>
      </w:pPr>
      <w:r>
        <w:t xml:space="preserve">Two secondary results follow. The missense tier added 1.2 points externally (77.8% to 79.0%, on</w:t>
      </w:r>
      <w:r>
        <w:t xml:space="preserve"> </w:t>
      </w:r>
      <w:r>
        <w:t xml:space="preserve">three isolates) against 10.6 points in-sample, independently confirming the decision in Section 3.5 to</w:t>
      </w:r>
      <w:r>
        <w:t xml:space="preserve"> </w:t>
      </w:r>
      <w:r>
        <w:t xml:space="preserve">discard it. And 22.2% of external resistant isolates remain unexplained by any determinant or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disruption, close to the internal picture, so the unexplained fraction is a property of the</w:t>
      </w:r>
      <w:r>
        <w:t xml:space="preserve"> </w:t>
      </w:r>
      <w:r>
        <w:t xml:space="preserve">mechanism catalogue rather than of one collection.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iscussion"/>
      <w:r>
        <w:t xml:space="preserve">4. Discussion</w:t>
      </w:r>
      <w:bookmarkEnd w:id="51"/>
    </w:p>
    <w:p>
      <w:pPr>
        <w:pStyle w:val="FirstParagraph"/>
      </w:pPr>
      <w:r>
        <w:t xml:space="preserve">Three findings here bear on how genomic AMR prediction should be evaluated, and they point in the</w:t>
      </w:r>
      <w:r>
        <w:t xml:space="preserve"> </w:t>
      </w:r>
      <w:r>
        <w:t xml:space="preserve">same direction: the limiting factor is not model capacity but the relationship between the training</w:t>
      </w:r>
      <w:r>
        <w:t xml:space="preserve"> </w:t>
      </w:r>
      <w:r>
        <w:t xml:space="preserve">collection and the target population.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result is the smallest of the three but the most concrete. A two-minute check of a single</w:t>
      </w:r>
      <w:r>
        <w:t xml:space="preserve"> </w:t>
      </w:r>
      <w:r>
        <w:t xml:space="preserve">47-codon locus recovers 28 points of colistin sensitivity over AMRFinderPlus — though only six over</w:t>
      </w:r>
      <w:r>
        <w:t xml:space="preserve"> </w:t>
      </w:r>
      <w:r>
        <w:t xml:space="preserve">Kleborate, which already detects truncation, and we think the six-point figure is the one that</w:t>
      </w:r>
      <w:r>
        <w:t xml:space="preserve"> </w:t>
      </w:r>
      <w:r>
        <w:t xml:space="preserve">should be quoted. The mechanism is instructive even where the increment is modest: the categories</w:t>
      </w:r>
      <w:r>
        <w:t xml:space="preserve"> </w:t>
      </w:r>
      <w:r>
        <w:t xml:space="preserve">carrying most signal are not sequence features but assembly artefacts, contig boundaries that are</w:t>
      </w:r>
      <w:r>
        <w:t xml:space="preserve"> </w:t>
      </w:r>
      <w:r>
        <w:t xml:space="preserve">diagnostic because an IS element has landed in a very short gene. Three independent lines of</w:t>
      </w:r>
      <w:r>
        <w:t xml:space="preserve"> </w:t>
      </w:r>
      <w:r>
        <w:t xml:space="preserve">evidence support that reading (Section 3.4) — the breaks sit a median of 79 bp from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against 80 kb</w:t>
      </w:r>
      <w:r>
        <w:t xml:space="preserve"> </w:t>
      </w:r>
      <w:r>
        <w:t xml:space="preserve">in intact genomes, the adjacent sequence is multi-copy within its own assembly beyond what</w:t>
      </w:r>
      <w:r>
        <w:t xml:space="preserve"> </w:t>
      </w:r>
      <w:r>
        <w:t xml:space="preserve">length-matched contig ends show, and 98% of these sequences recur in unrelated isolates. Screens that ask</w:t>
      </w:r>
      <w:r>
        <w:t xml:space="preserve"> </w:t>
      </w:r>
      <w:r>
        <w:t xml:space="preserve">“</w:t>
      </w:r>
      <w:r>
        <w:t xml:space="preserve">which genes are present?</w:t>
      </w:r>
      <w:r>
        <w:t xml:space="preserve">”</w:t>
      </w:r>
      <w:r>
        <w:t xml:space="preserve"> </w:t>
      </w:r>
      <w:r>
        <w:t xml:space="preserve">cannot see this; a screen that asks</w:t>
      </w:r>
      <w:r>
        <w:t xml:space="preserve"> </w:t>
      </w:r>
      <w:r>
        <w:t xml:space="preserve">“</w:t>
      </w:r>
      <w:r>
        <w:t xml:space="preserve">is this locus whole?</w:t>
      </w:r>
      <w:r>
        <w:t xml:space="preserve">”</w:t>
      </w:r>
      <w:r>
        <w:t xml:space="preserve"> </w:t>
      </w:r>
      <w:r>
        <w:t xml:space="preserve">can. That</w:t>
      </w:r>
      <w:r>
        <w:t xml:space="preserve"> </w:t>
      </w:r>
      <w:r>
        <w:t xml:space="preserve">generalises to any resistance determinant whose loss, rather than presence, confers the phenotype.</w:t>
      </w:r>
    </w:p>
    <w:p>
      <w:pPr>
        <w:pStyle w:val="BodyText"/>
      </w:pPr>
      <w:r>
        <w:t xml:space="preserve">The missense tier is a cautionary result we think worth reporting in full. The variants were</w:t>
      </w:r>
      <w:r>
        <w:t xml:space="preserve"> </w:t>
      </w:r>
      <w:r>
        <w:t xml:space="preserve">individually plausible, several fell on structurally critical cysteines, and the in-sample gain was</w:t>
      </w:r>
      <w:r>
        <w:t xml:space="preserve"> </w:t>
      </w:r>
      <w:r>
        <w:t xml:space="preserve">19 points. Out-of-sample it was one. Nothing about the biology was obviously wrong; what was wrong</w:t>
      </w:r>
      <w:r>
        <w:t xml:space="preserve"> </w:t>
      </w:r>
      <w:r>
        <w:t xml:space="preserve">was that the variants were chosen by looking at the same isolates used to score them. We suspect</w:t>
      </w:r>
      <w:r>
        <w:t xml:space="preserve"> </w:t>
      </w:r>
      <w:r>
        <w:t xml:space="preserve">this failure mode is common in curated resistance-determinant catalogues assembled from</w:t>
      </w:r>
      <w:r>
        <w:t xml:space="preserve"> </w:t>
      </w:r>
      <w:r>
        <w:t xml:space="preserve">observational association, and it is invisible to any validation scheme that does not group by</w:t>
      </w:r>
      <w:r>
        <w:t xml:space="preserve"> </w:t>
      </w:r>
      <w:r>
        <w:t xml:space="preserve">study.</w:t>
      </w:r>
    </w:p>
    <w:p>
      <w:pPr>
        <w:pStyle w:val="BodyText"/>
      </w:pPr>
      <w:r>
        <w:t xml:space="preserve">The heterogeneity result (Section 3.6) is in our view the most important, and the least avoidable. With</w:t>
      </w:r>
      <w:r>
        <w:t xml:space="preserve"> </w:t>
      </w:r>
      <w:r>
        <w:t xml:space="preserve">nothing fitted, the same mechanism-specified rule achieved 39.5% sensitivity in one collection and</w:t>
      </w:r>
      <w:r>
        <w:t xml:space="preserve"> </w:t>
      </w:r>
      <w:r>
        <w:t xml:space="preserve">70.6% in another. Colistin resistance is simply constituted differently in different isolate sets.</w:t>
      </w:r>
      <w:r>
        <w:t xml:space="preserve"> </w:t>
      </w:r>
      <w:r>
        <w:t xml:space="preserve">This bounds what any method can achieve: a model trained where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explains 70% of resistance</w:t>
      </w:r>
      <w:r>
        <w:t xml:space="preserve"> </w:t>
      </w:r>
      <w:r>
        <w:t xml:space="preserve">will underperform where it explains 40%, however well regularised. It also bears on the crossover</w:t>
      </w:r>
      <w:r>
        <w:t xml:space="preserve"> </w:t>
      </w:r>
      <w:r>
        <w:t xml:space="preserve">in Section 3.7. We initially read that crossover as the models memorising lineage, but the sequence-type</w:t>
      </w:r>
      <w:r>
        <w:t xml:space="preserve"> </w:t>
      </w:r>
      <w:r>
        <w:t xml:space="preserve">baseline in Section 3.8 shows otherwise: for colistin, type alone predicts barely better than chance.</w:t>
      </w:r>
      <w:r>
        <w:t xml:space="preserve"> </w:t>
      </w:r>
      <w:r>
        <w:t xml:space="preserve">What the models lose when types are held out is therefore a finer-grained resemblance between</w:t>
      </w:r>
      <w:r>
        <w:t xml:space="preserve"> </w:t>
      </w:r>
      <w:r>
        <w:t xml:space="preserve">related isolates, not type identity — a resource that likewise disappears on genuinely novel</w:t>
      </w:r>
      <w:r>
        <w:t xml:space="preserve"> </w:t>
      </w:r>
      <w:r>
        <w:t xml:space="preserve">lineages, but one that a reader should not mistake for simple label memorisation.</w:t>
      </w:r>
    </w:p>
    <w:p>
      <w:pPr>
        <w:pStyle w:val="BodyText"/>
      </w:pPr>
      <w:r>
        <w:t xml:space="preserve">We want to be careful not to overstate the comparison with machine learning. The rule leads under</w:t>
      </w:r>
      <w:r>
        <w:t xml:space="preserve"> </w:t>
      </w:r>
      <w:r>
        <w:t xml:space="preserve">lineage-aware splitting by 0.028 and 0.050 balanced-accuracy points; both intervals exclude zero,</w:t>
      </w:r>
      <w:r>
        <w:t xml:space="preserve"> </w:t>
      </w:r>
      <w:r>
        <w:t xml:space="preserve">but after correcting across the 54-comparison family only the second survives a Bonferroni</w:t>
      </w:r>
      <w:r>
        <w:t xml:space="preserve"> </w:t>
      </w:r>
      <w:r>
        <w:t xml:space="preserve">threshold, and the first is better described as parity than as an advantage. For tigecycline the</w:t>
      </w:r>
      <w:r>
        <w:t xml:space="preserve"> </w:t>
      </w:r>
      <w:r>
        <w:t xml:space="preserve">models win under every split. The defensible</w:t>
      </w:r>
      <w:r>
        <w:t xml:space="preserve"> </w:t>
      </w:r>
      <w:r>
        <w:t xml:space="preserve">claim is not that rules beat models, but that the models’ advantage under conventional validation</w:t>
      </w:r>
      <w:r>
        <w:t xml:space="preserve"> </w:t>
      </w:r>
      <w:r>
        <w:t xml:space="preserve">is attributable to information that will not be present in deployment. Yu and colleagues</w:t>
      </w:r>
      <w:r>
        <w:t xml:space="preserve"> </w:t>
      </w:r>
      <w:r>
        <w:t xml:space="preserve">demonstrated this across species using clade-based splits [7], and Hu and colleagues reported the</w:t>
      </w:r>
      <w:r>
        <w:t xml:space="preserve"> </w:t>
      </w:r>
      <w:r>
        <w:t xml:space="preserve">same pattern across 78 species–antibiotic datasets under homology-aware folds [9]; the</w:t>
      </w:r>
      <w:r>
        <w:t xml:space="preserve"> </w:t>
      </w:r>
      <w:r>
        <w:t xml:space="preserve">contribution here is to show it at the level of a single identifiable mechanism, where one can point to exactly what the rule uses</w:t>
      </w:r>
      <w:r>
        <w:t xml:space="preserve"> </w:t>
      </w:r>
      <w:r>
        <w:t xml:space="preserve">and what the model substitutes for it.</w:t>
      </w:r>
    </w:p>
    <w:p>
      <w:pPr>
        <w:pStyle w:val="BodyText"/>
      </w:pPr>
      <w:r>
        <w:t xml:space="preserve">The label findings carry comparable methodological weight. Roughly a third of our usable labels did</w:t>
      </w:r>
      <w:r>
        <w:t xml:space="preserve"> </w:t>
      </w:r>
      <w:r>
        <w:t xml:space="preserve">not exist as S/I/R calls but as uninterpreted MICs. Conversely, a substantial fraction of apparent</w:t>
      </w:r>
      <w:r>
        <w:t xml:space="preserve"> </w:t>
      </w:r>
      <w:r>
        <w:t xml:space="preserve">genotype error was</w:t>
      </w:r>
      <w:r>
        <w:t xml:space="preserve"> </w:t>
      </w:r>
      <w:r>
        <w:rPr>
          <w:i/>
        </w:rPr>
        <w:t xml:space="preserve">created</w:t>
      </w:r>
      <w:r>
        <w:t xml:space="preserve"> </w:t>
      </w:r>
      <w:r>
        <w:t xml:space="preserve">by harmonisation: the gentamicin borderline effect moves rule balanced</w:t>
      </w:r>
      <w:r>
        <w:t xml:space="preserve"> </w:t>
      </w:r>
      <w:r>
        <w:t xml:space="preserve">accuracy by five points and depends entirely on whether one applies EUCAST or the CLSI revision</w:t>
      </w:r>
      <w:r>
        <w:t xml:space="preserve"> </w:t>
      </w:r>
      <w:r>
        <w:t xml:space="preserve">under which those isolates were originally reported. A benchmark that silently selects or mixes</w:t>
      </w:r>
      <w:r>
        <w:t xml:space="preserve"> </w:t>
      </w:r>
      <w:r>
        <w:t xml:space="preserve">standards reports a number whose provenance a reader cannot assess.</w:t>
      </w:r>
    </w:p>
    <w:p>
      <w:pPr>
        <w:pStyle w:val="Heading3"/>
      </w:pPr>
      <w:bookmarkStart w:id="52" w:name="limitations"/>
      <w:r>
        <w:t xml:space="preserve">4.1 Limitations</w:t>
      </w:r>
      <w:bookmarkEnd w:id="52"/>
    </w:p>
    <w:p>
      <w:pPr>
        <w:pStyle w:val="FirstParagraph"/>
      </w:pPr>
      <w:r>
        <w:t xml:space="preserve">Public surveillance data over-represent outbreaks and high-risk clones; two BioProjects supply 44%</w:t>
      </w:r>
      <w:r>
        <w:t xml:space="preserve"> </w:t>
      </w:r>
      <w:r>
        <w:t xml:space="preserve">of our genomes, and prevalences here are not population estimates. Residual label error remains</w:t>
      </w:r>
      <w:r>
        <w:t xml:space="preserve"> </w:t>
      </w:r>
      <w:r>
        <w:t xml:space="preserve">beyond the one flagged study. Colistin and tigecycline have modest numbers of resistant isolates</w:t>
      </w:r>
      <w:r>
        <w:t xml:space="preserve"> </w:t>
      </w:r>
      <w:r>
        <w:t xml:space="preserve">(367 and 261). Collection year is missing for 34% of genomes and dated genomes concentrate in</w:t>
      </w:r>
      <w:r>
        <w:t xml:space="preserve"> </w:t>
      </w:r>
      <w:r>
        <w:t xml:space="preserve">2010–2014, so temporal validation was possible for three drugs only. Features are presence/absence</w:t>
      </w:r>
      <w:r>
        <w:t xml:space="preserve"> </w:t>
      </w:r>
      <w:r>
        <w:t xml:space="preserve">calls from assemblies: copy number, expression, plasmid context and promoter-region insertions are</w:t>
      </w:r>
      <w:r>
        <w:t xml:space="preserve"> </w:t>
      </w:r>
      <w:r>
        <w:t xml:space="preserve">not represented, and the 144 colistin-resistant isolates with intact</w:t>
      </w:r>
      <w:r>
        <w:t xml:space="preserve"> </w:t>
      </w:r>
      <w:r>
        <w:rPr>
          <w:i/>
        </w:rPr>
        <w:t xml:space="preserve">mgrB</w:t>
      </w:r>
      <w:r>
        <w:t xml:space="preserve"> </w:t>
      </w:r>
      <w:r>
        <w:t xml:space="preserve">coding sequence likely</w:t>
      </w:r>
      <w:r>
        <w:t xml:space="preserve"> </w:t>
      </w:r>
      <w:r>
        <w:t xml:space="preserve">include promoter insertions we cannot see. Hyperparameters were fixed rather than tuned, so the</w:t>
      </w:r>
      <w:r>
        <w:t xml:space="preserve"> </w:t>
      </w:r>
      <w:r>
        <w:t xml:space="preserve">models are reasonable defaults rather than optimised systems. Finally, while the positional, repeat-content and</w:t>
      </w:r>
      <w:r>
        <w:t xml:space="preserve"> </w:t>
      </w:r>
      <w:r>
        <w:t xml:space="preserve">cross-genome evidence in Section 3.4 collectively supports the IS interpretation, we did not identify</w:t>
      </w:r>
      <w:r>
        <w:t xml:space="preserve"> </w:t>
      </w:r>
      <w:r>
        <w:t xml:space="preserve">which element is involved or confirm insertion in any individual genome; that requires an IS</w:t>
      </w:r>
      <w:r>
        <w:t xml:space="preserve"> </w:t>
      </w:r>
      <w:r>
        <w:t xml:space="preserve">reference database or long-read assemblies of these isolates, neither of which we generated. The</w:t>
      </w:r>
      <w:r>
        <w:t xml:space="preserve"> </w:t>
      </w:r>
      <w:r>
        <w:t xml:space="preserve">mechanistic label on those categories therefore remains an inference, albeit a well-supported one.</w:t>
      </w:r>
      <w:r>
        <w:t xml:space="preserve"> </w:t>
      </w:r>
      <w:r>
        <w:t xml:space="preserve">The external cohort did not advance this question: only one of its genomes fell into the</w:t>
      </w:r>
      <w:r>
        <w:t xml:space="preserve"> </w:t>
      </w:r>
      <w:r>
        <w:t xml:space="preserve">assembled-insertion category, so the element remains unidentified there too.</w:t>
      </w:r>
    </w:p>
    <w:p>
      <w:pPr>
        <w:pStyle w:val="BodyText"/>
      </w:pPr>
      <w:r>
        <w:t xml:space="preserve">The external cohort has limitations of its own. It is small (263 isolates, 81 resistant), so its</w:t>
      </w:r>
      <w:r>
        <w:t xml:space="preserve"> </w:t>
      </w:r>
      <w:r>
        <w:t xml:space="preserve">sensitivity interval spans 18 points. Its isolates are those whose submitters chose to deposit</w:t>
      </w:r>
      <w:r>
        <w:t xml:space="preserve"> </w:t>
      </w:r>
      <w:r>
        <w:t xml:space="preserve">colistin susceptibility results, which over-represents collections curated for characterised</w:t>
      </w:r>
      <w:r>
        <w:t xml:space="preserve"> </w:t>
      </w:r>
      <w:r>
        <w:t xml:space="preserve">mechanisms; its higher sensitivity should therefore be read as an estimate on a mechanism-weighted</w:t>
      </w:r>
      <w:r>
        <w:t xml:space="preserve"> </w:t>
      </w:r>
      <w:r>
        <w:t xml:space="preserve">collection rather than a field estimate, and the internal and external figures bracket rather than</w:t>
      </w:r>
      <w:r>
        <w:t xml:space="preserve"> </w:t>
      </w:r>
      <w:r>
        <w:t xml:space="preserve">supersede one another. Thirteen isolates retain the submitter’s own breakpoint interpretation,</w:t>
      </w:r>
      <w:r>
        <w:t xml:space="preserve"> </w:t>
      </w:r>
      <w:r>
        <w:t xml:space="preserve">though excluding them changed sensitivity by 0.5 points. For colistin specifically the CLSI and</w:t>
      </w:r>
      <w:r>
        <w:t xml:space="preserve"> </w:t>
      </w:r>
      <w:r>
        <w:t xml:space="preserve">EUCAST breakpoints effectively coincide, so harmonisation altered one label among the 355</w:t>
      </w:r>
      <w:r>
        <w:t xml:space="preserve"> </w:t>
      </w:r>
      <w:r>
        <w:t xml:space="preserve">records retrieved; it</w:t>
      </w:r>
      <w:r>
        <w:t xml:space="preserve"> </w:t>
      </w:r>
      <w:r>
        <w:t xml:space="preserve">remains necessary for the other drugs but did little work here.</w:t>
      </w:r>
    </w:p>
    <w:p>
      <w:pPr>
        <w:pStyle w:val="BodyText"/>
      </w:pPr>
      <w:r>
        <w:t xml:space="preserve">Most importantly, this study measures discrimination, not clinical usefulness, and the two come</w:t>
      </w:r>
      <w:r>
        <w:t xml:space="preserve"> </w:t>
      </w:r>
      <w:r>
        <w:t xml:space="preserve">apart. Sensitivity and specificity are properties of the rule; predictive values also depend on how</w:t>
      </w:r>
      <w:r>
        <w:t xml:space="preserve"> </w:t>
      </w:r>
      <w:r>
        <w:t xml:space="preserve">common resistance is in the population tested, and 24% of our colistin-tested genomes are</w:t>
      </w:r>
      <w:r>
        <w:t xml:space="preserve"> </w:t>
      </w:r>
      <w:r>
        <w:t xml:space="preserve">resistant — a surveillance figure far above most clinical settings. Applying the internal rule’s</w:t>
      </w:r>
      <w:r>
        <w:t xml:space="preserve"> </w:t>
      </w:r>
      <w:r>
        <w:t xml:space="preserve">56.7% sensitivity and 95.2% specificity at a 2% prevalence gives a positive predictive value of</w:t>
      </w:r>
      <w:r>
        <w:t xml:space="preserve"> </w:t>
      </w:r>
      <w:r>
        <w:t xml:space="preserve">19.4%: four in five genotype-positive isolates would not be resistant. At our own cohort’s</w:t>
      </w:r>
      <w:r>
        <w:t xml:space="preserve"> </w:t>
      </w:r>
      <w:r>
        <w:t xml:space="preserve">prevalence the complementary error dominates, with a negative predictive value of 87.4%, meaning</w:t>
      </w:r>
      <w:r>
        <w:t xml:space="preserve"> </w:t>
      </w:r>
      <w:r>
        <w:t xml:space="preserve">12.6% of genotype-negative isolates are resistant. For a last-line agent these two errors are not</w:t>
      </w:r>
      <w:r>
        <w:t xml:space="preserve"> </w:t>
      </w:r>
      <w:r>
        <w:t xml:space="preserve">interchangeable — withholding colistin unnecessarily and administering it ineffectively carry</w:t>
      </w:r>
      <w:r>
        <w:t xml:space="preserve"> </w:t>
      </w:r>
      <w:r>
        <w:t xml:space="preserve">different costs — and we performed no decision analysis weighing them. Nothing here establishes</w:t>
      </w:r>
      <w:r>
        <w:t xml:space="preserve"> </w:t>
      </w:r>
      <w:r>
        <w:t xml:space="preserve">that genotypic prediction should inform colistin therapy, and we make no such claim: the rule’s</w:t>
      </w:r>
      <w:r>
        <w:t xml:space="preserve"> </w:t>
      </w:r>
      <w:r>
        <w:t xml:space="preserve">role in this paper is as a mechanism-specified baseline against which to measure validation</w:t>
      </w:r>
      <w:r>
        <w:t xml:space="preserve"> </w:t>
      </w:r>
      <w:r>
        <w:t xml:space="preserve">design. Predictive values across a range of prevalences are tabulated in</w:t>
      </w:r>
      <w:r>
        <w:t xml:space="preserve"> </w:t>
      </w:r>
      <w:r>
        <w:rPr>
          <w:rStyle w:val="VerbatimChar"/>
        </w:rPr>
        <w:t xml:space="preserve">reports/review/predictive_values.md</w:t>
      </w:r>
      <w:r>
        <w:t xml:space="preserve">.</w:t>
      </w:r>
    </w:p>
    <w:p>
      <w:pPr>
        <w:pStyle w:val="Heading3"/>
      </w:pPr>
      <w:bookmarkStart w:id="53" w:name="recommendations"/>
      <w:r>
        <w:t xml:space="preserve">4.2 Recommendations</w:t>
      </w:r>
      <w:bookmarkEnd w:id="5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 a mechanism-specified rule baseline per drug.</w:t>
      </w:r>
      <w:r>
        <w:t xml:space="preserve"> </w:t>
      </w:r>
      <w:r>
        <w:t xml:space="preserve">It is the only way to tell whether a</w:t>
      </w:r>
      <w:r>
        <w:t xml:space="preserve"> </w:t>
      </w:r>
      <w:r>
        <w:t xml:space="preserve">model has learned a mechanism or a lineage.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Select determinants out-of-sample.</w:t>
      </w:r>
      <w:r>
        <w:t xml:space="preserve"> </w:t>
      </w:r>
      <w:r>
        <w:t xml:space="preserve">A plausible variant enriched in a cohort is not a</w:t>
      </w:r>
      <w:r>
        <w:t xml:space="preserve"> </w:t>
      </w:r>
      <w:r>
        <w:t xml:space="preserve">validated determinant; leave-one-study-out selection cost our missense tier 18 of its 19 points.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 and harmonise the breakpoint standard, and report sensitivity to borderline labels.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lineage-aware splits and report the gap from random splitting.</w:t>
      </w:r>
      <w:r>
        <w:t xml:space="preserve"> </w:t>
      </w:r>
      <w:r>
        <w:t xml:space="preserve">The gap was under one</w:t>
      </w:r>
      <w:r>
        <w:t xml:space="preserve"> </w:t>
      </w:r>
      <w:r>
        <w:t xml:space="preserve">point where rules work and 11–15 points where they do not.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Group on study and lineage together, not either alone.</w:t>
      </w:r>
      <w:r>
        <w:t xml:space="preserve"> </w:t>
      </w:r>
      <w:r>
        <w:t xml:space="preserve">In our cohort, study-aware splits</w:t>
      </w:r>
      <w:r>
        <w:t xml:space="preserve"> </w:t>
      </w:r>
      <w:r>
        <w:t xml:space="preserve">still shared a sequence type with training data for 74–88% of test genomes, and lineage-aware</w:t>
      </w:r>
      <w:r>
        <w:t xml:space="preserve"> </w:t>
      </w:r>
      <w:r>
        <w:t xml:space="preserve">splits still shared a BioProject for 87–95%. Temporal splits constrained neither (73–78% and</w:t>
      </w:r>
      <w:r>
        <w:t xml:space="preserve"> </w:t>
      </w:r>
      <w:r>
        <w:t xml:space="preserve">76–82%). Each single scheme leaves the other dimension almost entirely unconstrained.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 a lineage-only baseline.</w:t>
      </w:r>
      <w:r>
        <w:t xml:space="preserve"> </w:t>
      </w:r>
      <w:r>
        <w:t xml:space="preserve">It costs nothing and distinguishes a model that has learned</w:t>
      </w:r>
      <w:r>
        <w:t xml:space="preserve"> </w:t>
      </w:r>
      <w:r>
        <w:t xml:space="preserve">a mechanism from one that has learned who its neighbours are.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 per-collection performance, not only pooled.</w:t>
      </w:r>
      <w:r>
        <w:t xml:space="preserve"> </w:t>
      </w:r>
      <w:r>
        <w:t xml:space="preserve">Pooled estimates concealed a two-fold</w:t>
      </w:r>
      <w:r>
        <w:t xml:space="preserve"> </w:t>
      </w:r>
      <w:r>
        <w:t xml:space="preserve">range in our data, and a 21-point difference between our cohort and an external one.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Verify species independently of the source’s own labels.</w:t>
      </w:r>
      <w:r>
        <w:t xml:space="preserve"> </w:t>
      </w:r>
      <w:r>
        <w:t xml:space="preserve">Six of 270 isolates in NCBI’s</w:t>
      </w:r>
      <w:r>
        <w:t xml:space="preserve"> </w:t>
      </w:r>
      <w:r>
        <w:rPr>
          <w:i/>
        </w:rPr>
        <w:t xml:space="preserve">K. pneumoniae</w:t>
      </w:r>
      <w:r>
        <w:t xml:space="preserve"> </w:t>
      </w:r>
      <w:r>
        <w:t xml:space="preserve">taxgroup were</w:t>
      </w:r>
      <w:r>
        <w:t xml:space="preserve"> </w:t>
      </w:r>
      <w:r>
        <w:rPr>
          <w:i/>
        </w:rPr>
        <w:t xml:space="preserve">K. aerogenes</w:t>
      </w:r>
      <w:r>
        <w:t xml:space="preserve">, including complete genomes; Kleborate’s species</w:t>
      </w:r>
      <w:r>
        <w:t xml:space="preserve"> </w:t>
      </w:r>
      <w:r>
        <w:t xml:space="preserve">check caught them and AMRFinderPlus did 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author-contributions"/>
      <w:r>
        <w:t xml:space="preserve">5. Author contributions</w:t>
      </w:r>
      <w:bookmarkEnd w:id="54"/>
    </w:p>
    <w:p>
      <w:pPr>
        <w:pStyle w:val="FirstParagraph"/>
      </w:pPr>
      <w:r>
        <w:t xml:space="preserve">Following CRediT.</w:t>
      </w:r>
      <w:r>
        <w:t xml:space="preserve"> </w:t>
      </w:r>
      <w:r>
        <w:rPr>
          <w:b/>
        </w:rPr>
        <w:t xml:space="preserve">Md Omar Faruqe:</w:t>
      </w:r>
      <w:r>
        <w:t xml:space="preserve"> </w:t>
      </w:r>
      <w:r>
        <w:t xml:space="preserve">conceptualisation, methodology, software, formal analysis,</w:t>
      </w:r>
      <w:r>
        <w:t xml:space="preserve"> </w:t>
      </w:r>
      <w:r>
        <w:t xml:space="preserve">data curation, investigation, validation, visualisation, writing — original draft.</w:t>
      </w:r>
      <w:r>
        <w:t xml:space="preserve"> </w:t>
      </w:r>
      <w:r>
        <w:rPr>
          <w:b/>
        </w:rPr>
        <w:t xml:space="preserve">Md Humayun</w:t>
      </w:r>
      <w:r>
        <w:rPr>
          <w:b/>
        </w:rPr>
        <w:t xml:space="preserve"> </w:t>
      </w:r>
      <w:r>
        <w:rPr>
          <w:b/>
        </w:rPr>
        <w:t xml:space="preserve">Kabir:</w:t>
      </w:r>
      <w:r>
        <w:t xml:space="preserve"> </w:t>
      </w:r>
      <w:r>
        <w:t xml:space="preserve">conceptualisation, supervision, project administration, writing — review and editing.</w:t>
      </w:r>
    </w:p>
    <w:p>
      <w:pPr>
        <w:pStyle w:val="Heading2"/>
      </w:pPr>
      <w:bookmarkStart w:id="55" w:name="funding"/>
      <w:r>
        <w:t xml:space="preserve">6. Funding</w:t>
      </w:r>
      <w:bookmarkEnd w:id="55"/>
    </w:p>
    <w:p>
      <w:pPr>
        <w:pStyle w:val="FirstParagraph"/>
      </w:pPr>
      <w:r>
        <w:t xml:space="preserve">This research received no external funding.</w:t>
      </w:r>
    </w:p>
    <w:p>
      <w:pPr>
        <w:pStyle w:val="Heading2"/>
      </w:pPr>
      <w:bookmarkStart w:id="56" w:name="competing-interests"/>
      <w:r>
        <w:t xml:space="preserve">7. Competing interests</w:t>
      </w:r>
      <w:bookmarkEnd w:id="56"/>
    </w:p>
    <w:p>
      <w:pPr>
        <w:pStyle w:val="FirstParagraph"/>
      </w:pPr>
      <w:r>
        <w:t xml:space="preserve">None declared.</w:t>
      </w:r>
    </w:p>
    <w:p>
      <w:pPr>
        <w:pStyle w:val="Heading2"/>
      </w:pPr>
      <w:bookmarkStart w:id="57" w:name="references"/>
      <w:r>
        <w:t xml:space="preserve">8. References</w:t>
      </w:r>
      <w:bookmarkEnd w:id="57"/>
    </w:p>
    <w:p>
      <w:pPr>
        <w:pStyle w:val="FirstParagraph"/>
      </w:pPr>
      <w:r>
        <w:t xml:space="preserve">All references were verified against the publisher record during preparation (references 1–6 on 2026-10-24, references 7–9 on 2026-10-25).</w:t>
      </w:r>
    </w:p>
    <w:p>
      <w:pPr>
        <w:numPr>
          <w:ilvl w:val="0"/>
          <w:numId w:val="1002"/>
        </w:numPr>
        <w:pStyle w:val="Compact"/>
      </w:pPr>
      <w:r>
        <w:t xml:space="preserve">Antimicrobial Resistance Collaborators. Global burden of bacterial antimicrobial resistance in</w:t>
      </w:r>
      <w:r>
        <w:t xml:space="preserve"> </w:t>
      </w:r>
      <w:r>
        <w:t xml:space="preserve">2019: a systematic analysis.</w:t>
      </w:r>
      <w:r>
        <w:t xml:space="preserve"> </w:t>
      </w:r>
      <w:r>
        <w:rPr>
          <w:i/>
        </w:rPr>
        <w:t xml:space="preserve">The Lancet</w:t>
      </w:r>
      <w:r>
        <w:t xml:space="preserve">. 2022;399(10325):629–655.</w:t>
      </w:r>
      <w:r>
        <w:t xml:space="preserve"> </w:t>
      </w:r>
      <w:r>
        <w:t xml:space="preserve">doi:10.1016/S0140-6736(21)02724-0</w:t>
      </w:r>
    </w:p>
    <w:p>
      <w:pPr>
        <w:numPr>
          <w:ilvl w:val="0"/>
          <w:numId w:val="1002"/>
        </w:numPr>
        <w:pStyle w:val="Compact"/>
      </w:pPr>
      <w:r>
        <w:t xml:space="preserve">Feldgarden M, Brover V, Gonzalez-Escalona N, Frye JG, Haendiges J, Haft DH, Hoffmann M,</w:t>
      </w:r>
      <w:r>
        <w:t xml:space="preserve"> </w:t>
      </w:r>
      <w:r>
        <w:t xml:space="preserve">Pettengill JB, Prasad AB, Tillman GE, Tyson GH, Klimke W. AMRFinderPlus and the Reference Gene</w:t>
      </w:r>
      <w:r>
        <w:t xml:space="preserve"> </w:t>
      </w:r>
      <w:r>
        <w:t xml:space="preserve">Catalog facilitate examination of the genomic links among antimicrobial resistance, stress</w:t>
      </w:r>
      <w:r>
        <w:t xml:space="preserve"> </w:t>
      </w:r>
      <w:r>
        <w:t xml:space="preserve">response, and virulence.</w:t>
      </w:r>
      <w:r>
        <w:t xml:space="preserve"> </w:t>
      </w:r>
      <w:r>
        <w:rPr>
          <w:i/>
        </w:rPr>
        <w:t xml:space="preserve">Scientific Reports</w:t>
      </w:r>
      <w:r>
        <w:t xml:space="preserve">. 2021;11(1). doi:10.1038/s41598-021-91456-0</w:t>
      </w:r>
    </w:p>
    <w:p>
      <w:pPr>
        <w:numPr>
          <w:ilvl w:val="0"/>
          <w:numId w:val="1002"/>
        </w:numPr>
        <w:pStyle w:val="Compact"/>
      </w:pPr>
      <w:r>
        <w:t xml:space="preserve">Lam MMC, Wick RR, Watts SC, Cerdeira LT, Wyres KL, Holt KE. A genomic surveillance framework and</w:t>
      </w:r>
      <w:r>
        <w:t xml:space="preserve"> </w:t>
      </w:r>
      <w:r>
        <w:t xml:space="preserve">genotyping tool for</w:t>
      </w:r>
      <w:r>
        <w:t xml:space="preserve"> </w:t>
      </w:r>
      <w:r>
        <w:rPr>
          <w:i/>
        </w:rPr>
        <w:t xml:space="preserve">Klebsiella pneumoniae</w:t>
      </w:r>
      <w:r>
        <w:t xml:space="preserve"> </w:t>
      </w:r>
      <w:r>
        <w:t xml:space="preserve">and its related species complex.</w:t>
      </w:r>
      <w:r>
        <w:t xml:space="preserve"> </w:t>
      </w:r>
      <w:r>
        <w:rPr>
          <w:i/>
        </w:rPr>
        <w:t xml:space="preserve">Nature</w:t>
      </w:r>
      <w:r>
        <w:rPr>
          <w:i/>
        </w:rPr>
        <w:t xml:space="preserve"> </w:t>
      </w:r>
      <w:r>
        <w:rPr>
          <w:i/>
        </w:rPr>
        <w:t xml:space="preserve">Communications</w:t>
      </w:r>
      <w:r>
        <w:t xml:space="preserve">. 2021;12:4188. doi:10.1038/s41467-021-24448-3</w:t>
      </w:r>
    </w:p>
    <w:p>
      <w:pPr>
        <w:numPr>
          <w:ilvl w:val="0"/>
          <w:numId w:val="1002"/>
        </w:numPr>
        <w:pStyle w:val="Compact"/>
      </w:pPr>
      <w:r>
        <w:t xml:space="preserve">Poirel L, Jayol A, Nordmann P. Polymyxins: antibacterial activity, susceptibility testing, and</w:t>
      </w:r>
      <w:r>
        <w:t xml:space="preserve"> </w:t>
      </w:r>
      <w:r>
        <w:t xml:space="preserve">resistance mechanisms encoded by plasmids or chromosomes.</w:t>
      </w:r>
      <w:r>
        <w:t xml:space="preserve"> </w:t>
      </w:r>
      <w:r>
        <w:rPr>
          <w:i/>
        </w:rPr>
        <w:t xml:space="preserve">Clinical Microbiology Reviews</w:t>
      </w:r>
      <w:r>
        <w:t xml:space="preserve">.</w:t>
      </w:r>
      <w:r>
        <w:t xml:space="preserve"> </w:t>
      </w:r>
      <w:r>
        <w:t xml:space="preserve">2017;30(2):557–596. doi:10.1128/CMR.00064-16</w:t>
      </w:r>
    </w:p>
    <w:p>
      <w:pPr>
        <w:numPr>
          <w:ilvl w:val="0"/>
          <w:numId w:val="1002"/>
        </w:numPr>
        <w:pStyle w:val="Compact"/>
      </w:pPr>
      <w:r>
        <w:t xml:space="preserve">Cannatelli A, Giani T, D’Andrea MM, Di Pilato V, Arena F, Conte V, Tryfinopoulou K,</w:t>
      </w:r>
      <w:r>
        <w:t xml:space="preserve"> </w:t>
      </w:r>
      <w:r>
        <w:t xml:space="preserve">Vatopoulos A, Rossolini GM. MgrB inactivation is a common mechanism of colistin resistance in</w:t>
      </w:r>
      <w:r>
        <w:t xml:space="preserve"> </w:t>
      </w:r>
      <w:r>
        <w:t xml:space="preserve">KPC-producing</w:t>
      </w:r>
      <w:r>
        <w:t xml:space="preserve"> </w:t>
      </w:r>
      <w:r>
        <w:rPr>
          <w:i/>
        </w:rPr>
        <w:t xml:space="preserve">Klebsiella pneumoniae</w:t>
      </w:r>
      <w:r>
        <w:t xml:space="preserve"> </w:t>
      </w:r>
      <w:r>
        <w:t xml:space="preserve">of clinical origin.</w:t>
      </w:r>
      <w:r>
        <w:t xml:space="preserve"> </w:t>
      </w:r>
      <w:r>
        <w:rPr>
          <w:i/>
        </w:rPr>
        <w:t xml:space="preserve">Antimicrobial Agents and</w:t>
      </w:r>
      <w:r>
        <w:rPr>
          <w:i/>
        </w:rPr>
        <w:t xml:space="preserve"> </w:t>
      </w:r>
      <w:r>
        <w:rPr>
          <w:i/>
        </w:rPr>
        <w:t xml:space="preserve">Chemotherapy</w:t>
      </w:r>
      <w:r>
        <w:t xml:space="preserve">. 2014;58:5696–5703. doi:10.1128/AAC.03110-14</w:t>
      </w:r>
    </w:p>
    <w:p>
      <w:pPr>
        <w:numPr>
          <w:ilvl w:val="0"/>
          <w:numId w:val="1002"/>
        </w:numPr>
        <w:pStyle w:val="Compact"/>
      </w:pPr>
      <w:r>
        <w:t xml:space="preserve">Liu YY, Wang Y, Walsh TR, Yi LX, Zhang R, Spencer J, Doi Y, Tian G, Dong B, Huang X, Yu LF,</w:t>
      </w:r>
      <w:r>
        <w:t xml:space="preserve"> </w:t>
      </w:r>
      <w:r>
        <w:t xml:space="preserve">Gu D, Ren H, Chen X, Lv L, He D, Zhou H, Liang Z, Liu JH, Shen J. Emergence of</w:t>
      </w:r>
      <w:r>
        <w:t xml:space="preserve"> </w:t>
      </w:r>
      <w:r>
        <w:t xml:space="preserve">plasmid-mediated colistin resistance mechanism MCR-1 in animals and human beings in China: a</w:t>
      </w:r>
      <w:r>
        <w:t xml:space="preserve"> </w:t>
      </w:r>
      <w:r>
        <w:t xml:space="preserve">microbiological and molecular biological study.</w:t>
      </w:r>
      <w:r>
        <w:t xml:space="preserve"> </w:t>
      </w:r>
      <w:r>
        <w:rPr>
          <w:i/>
        </w:rPr>
        <w:t xml:space="preserve">The Lancet Infectious Diseases</w:t>
      </w:r>
      <w:r>
        <w:t xml:space="preserve">.</w:t>
      </w:r>
      <w:r>
        <w:t xml:space="preserve"> </w:t>
      </w:r>
      <w:r>
        <w:t xml:space="preserve">2016;16(2):161–168. doi:10.1016/S1473-3099(15)00424-7</w:t>
      </w:r>
    </w:p>
    <w:p>
      <w:pPr>
        <w:numPr>
          <w:ilvl w:val="0"/>
          <w:numId w:val="1002"/>
        </w:numPr>
        <w:pStyle w:val="Compact"/>
      </w:pPr>
      <w:r>
        <w:t xml:space="preserve">Yu Y, Wheeler NE, Barquist L. Biased sampling driven by bacterial population structure confounds</w:t>
      </w:r>
      <w:r>
        <w:t xml:space="preserve"> </w:t>
      </w:r>
      <w:r>
        <w:t xml:space="preserve">machine learning prediction of antimicrobial resistance.</w:t>
      </w:r>
      <w:r>
        <w:t xml:space="preserve"> </w:t>
      </w:r>
      <w:r>
        <w:rPr>
          <w:i/>
        </w:rPr>
        <w:t xml:space="preserve">PLOS Biology</w:t>
      </w:r>
      <w:r>
        <w:t xml:space="preserve">.</w:t>
      </w:r>
      <w:r>
        <w:t xml:space="preserve"> </w:t>
      </w:r>
      <w:r>
        <w:t xml:space="preserve">2025;23(12):e3003539. doi:10.1371/journal.pbio.3003539</w:t>
      </w:r>
    </w:p>
    <w:p>
      <w:pPr>
        <w:numPr>
          <w:ilvl w:val="0"/>
          <w:numId w:val="1002"/>
        </w:numPr>
        <w:pStyle w:val="Compact"/>
      </w:pPr>
      <w:r>
        <w:t xml:space="preserve">Nguyen M, Brettin T, Long SW, Musser JM, Olsen RJ, Olson R, Shukla M, Stevens RL, Xia F,</w:t>
      </w:r>
      <w:r>
        <w:t xml:space="preserve"> </w:t>
      </w:r>
      <w:r>
        <w:t xml:space="preserve">Yoo H, Davis JJ. Developing an in silico minimum inhibitory concentration panel test for</w:t>
      </w:r>
      <w:r>
        <w:t xml:space="preserve"> </w:t>
      </w:r>
      <w:r>
        <w:rPr>
          <w:i/>
        </w:rPr>
        <w:t xml:space="preserve">Klebsiella pneumoniae</w:t>
      </w:r>
      <w:r>
        <w:t xml:space="preserve">.</w:t>
      </w:r>
      <w:r>
        <w:t xml:space="preserve"> </w:t>
      </w:r>
      <w:r>
        <w:rPr>
          <w:i/>
        </w:rPr>
        <w:t xml:space="preserve">Scientific Reports</w:t>
      </w:r>
      <w:r>
        <w:t xml:space="preserve">. 2018;8:421. doi:10.1038/s41598-017-18972-w</w:t>
      </w:r>
    </w:p>
    <w:p>
      <w:pPr>
        <w:numPr>
          <w:ilvl w:val="0"/>
          <w:numId w:val="1002"/>
        </w:numPr>
        <w:pStyle w:val="Compact"/>
      </w:pPr>
      <w:r>
        <w:t xml:space="preserve">Hu K, Meyer F, Deng Z-L, Asgari E, Kuo T-H, Münch PC, McHardy AC. Assessing computational</w:t>
      </w:r>
      <w:r>
        <w:t xml:space="preserve"> </w:t>
      </w:r>
      <w:r>
        <w:t xml:space="preserve">predictions of antimicrobial resistance phenotypes from microbial genomes.</w:t>
      </w:r>
      <w:r>
        <w:t xml:space="preserve"> </w:t>
      </w:r>
      <w:r>
        <w:rPr>
          <w:i/>
        </w:rPr>
        <w:t xml:space="preserve">Briefings in</w:t>
      </w:r>
      <w:r>
        <w:rPr>
          <w:i/>
        </w:rPr>
        <w:t xml:space="preserve"> </w:t>
      </w:r>
      <w:r>
        <w:rPr>
          <w:i/>
        </w:rPr>
        <w:t xml:space="preserve">Bioinformatics</w:t>
      </w:r>
      <w:r>
        <w:t xml:space="preserve">. 2024;25(3):bbae206. doi:10.1093/bib/bbae206</w:t>
      </w:r>
    </w:p>
    <w:p>
      <w:pPr>
        <w:numPr>
          <w:ilvl w:val="0"/>
          <w:numId w:val="1002"/>
        </w:numPr>
        <w:pStyle w:val="Compact"/>
      </w:pPr>
      <w:r>
        <w:t xml:space="preserve">The European Committee on Antimicrobial Susceptibility Testing. Breakpoint tables for</w:t>
      </w:r>
      <w:r>
        <w:t xml:space="preserve"> </w:t>
      </w:r>
      <w:r>
        <w:t xml:space="preserve">interpretation of MICs and zone diameters. Version 16.1, valid from 2026-06-24.</w:t>
      </w:r>
      <w:r>
        <w:t xml:space="preserve"> </w:t>
      </w:r>
      <w:r>
        <w:t xml:space="preserve">https://www.eucast.org</w:t>
      </w:r>
    </w:p>
    <w:p>
      <w:pPr>
        <w:numPr>
          <w:ilvl w:val="0"/>
          <w:numId w:val="1002"/>
        </w:numPr>
        <w:pStyle w:val="Compact"/>
      </w:pPr>
      <w:r>
        <w:t xml:space="preserve">Parks DH, Imelfort M, Skennerton CT, Hugenholtz P, Tyson GW. CheckM: assessing the quality of</w:t>
      </w:r>
      <w:r>
        <w:t xml:space="preserve"> </w:t>
      </w:r>
      <w:r>
        <w:t xml:space="preserve">microbial genomes recovered from isolates, single cells, and metagenomes.</w:t>
      </w:r>
      <w:r>
        <w:t xml:space="preserve"> </w:t>
      </w:r>
      <w:r>
        <w:rPr>
          <w:i/>
        </w:rPr>
        <w:t xml:space="preserve">Genome Research</w:t>
      </w:r>
      <w:r>
        <w:t xml:space="preserve">.</w:t>
      </w:r>
      <w:r>
        <w:t xml:space="preserve"> </w:t>
      </w:r>
      <w:r>
        <w:t xml:space="preserve">2015;25(7):1043–1055. doi:10.1101/gr.186072.114</w:t>
      </w:r>
    </w:p>
    <w:p>
      <w:pPr>
        <w:numPr>
          <w:ilvl w:val="0"/>
          <w:numId w:val="1002"/>
        </w:numPr>
        <w:pStyle w:val="Compact"/>
      </w:pPr>
      <w:r>
        <w:t xml:space="preserve">Olson RD, Assaf R, Brettin T, et al. Introducing the Bacterial and Viral Bioinformatics Resource</w:t>
      </w:r>
      <w:r>
        <w:t xml:space="preserve"> </w:t>
      </w:r>
      <w:r>
        <w:t xml:space="preserve">Center (BV-BRC): a resource combining PATRIC, IRD and ViPR.</w:t>
      </w:r>
      <w:r>
        <w:t xml:space="preserve"> </w:t>
      </w:r>
      <w:r>
        <w:rPr>
          <w:i/>
        </w:rPr>
        <w:t xml:space="preserve">Nucleic Acids Research</w:t>
      </w:r>
      <w:r>
        <w:t xml:space="preserve">.</w:t>
      </w:r>
      <w:r>
        <w:t xml:space="preserve"> </w:t>
      </w:r>
      <w:r>
        <w:t xml:space="preserve">2023;51(D1):D678–D689. doi:10.1093/nar/gkac1003</w:t>
      </w:r>
    </w:p>
    <w:p>
      <w:pPr>
        <w:numPr>
          <w:ilvl w:val="0"/>
          <w:numId w:val="1002"/>
        </w:numPr>
        <w:pStyle w:val="Compact"/>
      </w:pPr>
      <w:r>
        <w:t xml:space="preserve">Lam MMC, Wick RR, Judd LM, Holt KE, Wyres KL. Kaptive 2.0: updated capsule and</w:t>
      </w:r>
      <w:r>
        <w:t xml:space="preserve"> </w:t>
      </w:r>
      <w:r>
        <w:t xml:space="preserve">lipopolysaccharide locus typing for the</w:t>
      </w:r>
      <w:r>
        <w:t xml:space="preserve"> </w:t>
      </w:r>
      <w:r>
        <w:rPr>
          <w:i/>
        </w:rPr>
        <w:t xml:space="preserve">Klebsiella pneumoniae</w:t>
      </w:r>
      <w:r>
        <w:t xml:space="preserve"> </w:t>
      </w:r>
      <w:r>
        <w:t xml:space="preserve">species complex.</w:t>
      </w:r>
      <w:r>
        <w:t xml:space="preserve"> </w:t>
      </w:r>
      <w:r>
        <w:rPr>
          <w:i/>
        </w:rPr>
        <w:t xml:space="preserve">Microbial</w:t>
      </w:r>
      <w:r>
        <w:rPr>
          <w:i/>
        </w:rPr>
        <w:t xml:space="preserve"> </w:t>
      </w:r>
      <w:r>
        <w:rPr>
          <w:i/>
        </w:rPr>
        <w:t xml:space="preserve">Genomics</w:t>
      </w:r>
      <w:r>
        <w:t xml:space="preserve">. 2022;8:000800. doi:10.1099/mgen.0.000800</w:t>
      </w:r>
    </w:p>
    <w:p>
      <w:pPr>
        <w:numPr>
          <w:ilvl w:val="0"/>
          <w:numId w:val="1002"/>
        </w:numPr>
        <w:pStyle w:val="Compact"/>
      </w:pPr>
      <w:r>
        <w:t xml:space="preserve">Camacho C, Coulouris G, Avagyan V, Ma N, Papadopoulos J, Bealer K, Madden TL. BLAST+:</w:t>
      </w:r>
      <w:r>
        <w:t xml:space="preserve"> </w:t>
      </w:r>
      <w:r>
        <w:t xml:space="preserve">architecture and applications.</w:t>
      </w:r>
      <w:r>
        <w:t xml:space="preserve"> </w:t>
      </w:r>
      <w:r>
        <w:rPr>
          <w:i/>
        </w:rPr>
        <w:t xml:space="preserve">BMC Bioinformatics</w:t>
      </w:r>
      <w:r>
        <w:t xml:space="preserve">. 2009;10:421.</w:t>
      </w:r>
      <w:r>
        <w:t xml:space="preserve"> </w:t>
      </w:r>
      <w:r>
        <w:t xml:space="preserve">doi:10.1186/1471-2105-10-421</w:t>
      </w:r>
    </w:p>
    <w:p>
      <w:pPr>
        <w:numPr>
          <w:ilvl w:val="0"/>
          <w:numId w:val="1002"/>
        </w:numPr>
        <w:pStyle w:val="Compact"/>
      </w:pPr>
      <w:r>
        <w:t xml:space="preserve">Pedregosa F, Varoquaux G, Gramfort A, et al. Scikit-learn: machine learning in Python.</w:t>
      </w:r>
      <w:r>
        <w:t xml:space="preserve"> </w:t>
      </w:r>
      <w:r>
        <w:rPr>
          <w:i/>
        </w:rPr>
        <w:t xml:space="preserve">Journal</w:t>
      </w:r>
      <w:r>
        <w:rPr>
          <w:i/>
        </w:rPr>
        <w:t xml:space="preserve"> </w:t>
      </w:r>
      <w:r>
        <w:rPr>
          <w:i/>
        </w:rPr>
        <w:t xml:space="preserve">of Machine Learning Research</w:t>
      </w:r>
      <w:r>
        <w:t xml:space="preserve">. 2011;12:2825–2830.</w:t>
      </w:r>
      <w:r>
        <w:t xml:space="preserve"> </w:t>
      </w:r>
      <w:r>
        <w:t xml:space="preserve">https://jmlr.org/papers/v12/pedregosa11a.html</w:t>
      </w:r>
    </w:p>
    <w:p>
      <w:pPr>
        <w:numPr>
          <w:ilvl w:val="0"/>
          <w:numId w:val="1002"/>
        </w:numPr>
        <w:pStyle w:val="Compact"/>
      </w:pPr>
      <w:r>
        <w:t xml:space="preserve">Wilson EB. Probable inference, the law of succession, and statistical inference.</w:t>
      </w:r>
      <w:r>
        <w:t xml:space="preserve"> </w:t>
      </w:r>
      <w:r>
        <w:rPr>
          <w:i/>
        </w:rPr>
        <w:t xml:space="preserve">Journal of</w:t>
      </w:r>
      <w:r>
        <w:rPr>
          <w:i/>
        </w:rPr>
        <w:t xml:space="preserve"> </w:t>
      </w:r>
      <w:r>
        <w:rPr>
          <w:i/>
        </w:rPr>
        <w:t xml:space="preserve">the American Statistical Association</w:t>
      </w:r>
      <w:r>
        <w:t xml:space="preserve">. 1927;22(158):209–212.</w:t>
      </w:r>
      <w:r>
        <w:t xml:space="preserve"> </w:t>
      </w:r>
      <w:r>
        <w:t xml:space="preserve">doi:10.1080/01621459.1927.10502953</w:t>
      </w:r>
    </w:p>
    <w:p>
      <w:pPr>
        <w:numPr>
          <w:ilvl w:val="0"/>
          <w:numId w:val="1002"/>
        </w:numPr>
        <w:pStyle w:val="Compact"/>
      </w:pPr>
      <w:r>
        <w:t xml:space="preserve">Benjamini Y, Hochberg Y. Controlling the false discovery rate: a practical and powerful</w:t>
      </w:r>
      <w:r>
        <w:t xml:space="preserve"> </w:t>
      </w:r>
      <w:r>
        <w:t xml:space="preserve">approach to multiple testing.</w:t>
      </w:r>
      <w:r>
        <w:t xml:space="preserve"> </w:t>
      </w:r>
      <w:r>
        <w:rPr>
          <w:i/>
        </w:rPr>
        <w:t xml:space="preserve">Journal of the Royal Statistical Society: Series B</w:t>
      </w:r>
      <w:r>
        <w:rPr>
          <w:i/>
        </w:rPr>
        <w:t xml:space="preserve"> </w:t>
      </w:r>
      <w:r>
        <w:rPr>
          <w:i/>
        </w:rPr>
        <w:t xml:space="preserve">(Statistical Methodology)</w:t>
      </w:r>
      <w:r>
        <w:t xml:space="preserve">. 1995;57(1):289–300. doi:10.1111/j.2517-6161.1995.tb02031.x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2026-10-30T14:15:08Z</dcterms:created>
  <dcterms:modified xsi:type="dcterms:W3CDTF">2026-10-30T14:15:08Z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