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pplementary-material"/>
      <w:r>
        <w:t xml:space="preserve">Supplementary material</w:t>
      </w:r>
      <w:bookmarkEnd w:id="20"/>
    </w:p>
    <w:p>
      <w:pPr>
        <w:pStyle w:val="FirstParagraph"/>
      </w:pPr>
      <w:r>
        <w:rPr>
          <w:b/>
        </w:rPr>
        <w:t xml:space="preserve">Why genomic prediction of colistin resistance does not transfer between</w:t>
      </w:r>
      <w:r>
        <w:rPr>
          <w:b/>
        </w:rPr>
        <w:t xml:space="preserve"> </w:t>
      </w:r>
      <w:r>
        <w:rPr>
          <w:i/>
          <w:b/>
        </w:rPr>
        <w:t xml:space="preserve">Klebsiella pneumoniae</w:t>
      </w:r>
      <w:r>
        <w:rPr>
          <w:b/>
        </w:rPr>
        <w:t xml:space="preserve"> </w:t>
      </w:r>
      <w:r>
        <w:rPr>
          <w:b/>
        </w:rPr>
        <w:t xml:space="preserve">collections</w:t>
      </w:r>
    </w:p>
    <w:p>
      <w:pPr>
        <w:pStyle w:val="BodyText"/>
      </w:pPr>
      <w:r>
        <w:t xml:space="preserve">Md Omar Faruqe and Md Humayun Kabir</w:t>
      </w:r>
    </w:p>
    <w:p>
      <w:pPr>
        <w:pStyle w:val="Heading2"/>
      </w:pPr>
      <w:bookmarkStart w:id="21" w:name="supplementary-tables"/>
      <w:r>
        <w:t xml:space="preserve">Supplementary tables</w:t>
      </w:r>
      <w:bookmarkEnd w:id="21"/>
    </w:p>
    <w:p>
      <w:pPr>
        <w:pStyle w:val="FirstParagraph"/>
      </w:pPr>
      <w:r>
        <w:rPr>
          <w:b/>
        </w:rPr>
        <w:t xml:space="preserve">Supplementary Table S1.</w:t>
      </w:r>
      <w:r>
        <w:t xml:space="preserve"> </w:t>
      </w:r>
      <w:r>
        <w:t xml:space="preserve">Colistin sensitivity and specificity for each rule, with and without</w:t>
      </w:r>
      <w:r>
        <w:t xml:space="preserve"> </w:t>
      </w:r>
      <w:r>
        <w:t xml:space="preserve">the 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check, on broth-microdilution labels (n = 1,528; 367 resistant).</w:t>
      </w:r>
      <w:r>
        <w:t xml:space="preserve"> </w:t>
      </w:r>
      <w:r>
        <w:t xml:space="preserve">Plotted in Figure 1.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Sensitivity (95% CI)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Specificity (95% CI)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AMRFinderPlus</w:t>
            </w:r>
          </w:p>
        </w:tc>
        <w:tc>
          <w:p>
            <w:pPr>
              <w:pStyle w:val="Compact"/>
              <w:jc w:val="left"/>
            </w:pPr>
            <w:r>
              <w:t xml:space="preserve">28.3% (24.0–33.2)</w:t>
            </w:r>
          </w:p>
        </w:tc>
        <w:tc>
          <w:p>
            <w:pPr>
              <w:pStyle w:val="Compact"/>
              <w:jc w:val="left"/>
            </w:pPr>
            <w:r>
              <w:t xml:space="preserve">97.8% (96.7–98.5)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AMRFinderPlus +</w:t>
            </w:r>
            <w:r>
              <w:rPr>
                <w:b/>
              </w:rPr>
              <w:t xml:space="preserve"> </w:t>
            </w:r>
            <w:r>
              <w:rPr>
                <w:i/>
                <w:b/>
              </w:rPr>
              <w:t xml:space="preserve">mgrB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disrupted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56.7% (51.6–61.7)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95.2% (93.8–96.3)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Kleborate</w:t>
            </w:r>
          </w:p>
        </w:tc>
        <w:tc>
          <w:p>
            <w:pPr>
              <w:pStyle w:val="Compact"/>
              <w:jc w:val="left"/>
            </w:pPr>
            <w:r>
              <w:t xml:space="preserve">39.5% (34.6–44.6)</w:t>
            </w:r>
          </w:p>
        </w:tc>
        <w:tc>
          <w:p>
            <w:pPr>
              <w:pStyle w:val="Compact"/>
              <w:jc w:val="left"/>
            </w:pPr>
            <w:r>
              <w:t xml:space="preserve">96.3% (95.0–97.2)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Kleborate +</w:t>
            </w:r>
            <w:r>
              <w:rPr>
                <w:b/>
              </w:rPr>
              <w:t xml:space="preserve"> </w:t>
            </w:r>
            <w:r>
              <w:rPr>
                <w:i/>
                <w:b/>
              </w:rPr>
              <w:t xml:space="preserve">mgrB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disrupted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45.5% (40.5–50.6)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95.3% (94.0–96.4)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mgrB</w:t>
            </w:r>
            <w:r>
              <w:t xml:space="preserve"> </w:t>
            </w:r>
            <w:r>
              <w:t xml:space="preserve">disrupted alone</w:t>
            </w:r>
          </w:p>
        </w:tc>
        <w:tc>
          <w:p>
            <w:pPr>
              <w:pStyle w:val="Compact"/>
              <w:jc w:val="left"/>
            </w:pPr>
            <w:r>
              <w:t xml:space="preserve">41.7% (36.8–46.8)</w:t>
            </w:r>
          </w:p>
        </w:tc>
        <w:tc>
          <w:p>
            <w:pPr>
              <w:pStyle w:val="Compact"/>
              <w:jc w:val="left"/>
            </w:pPr>
            <w:r>
              <w:t xml:space="preserve">96.5% (95.2–97.4)</w:t>
            </w:r>
          </w:p>
        </w:tc>
      </w:tr>
    </w:tbl>
    <w:p>
      <w:pPr>
        <w:pStyle w:val="BodyText"/>
      </w:pPr>
      <w:r>
        <w:rPr>
          <w:b/>
        </w:rPr>
        <w:t xml:space="preserve">Supplementary Table S2.</w:t>
      </w:r>
      <w:r>
        <w:t xml:space="preserve"> </w:t>
      </w:r>
      <w:r>
        <w:t xml:space="preserve">Sensitivity of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rule in each held-out study</w:t>
      </w:r>
      <w:r>
        <w:t xml:space="preserve"> </w:t>
      </w:r>
      <w:r>
        <w:t xml:space="preserve">(leave-one-study-out). Plotted in Figure 2.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Held-out study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Sensitivity, disruption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PRJEB10018</w:t>
            </w:r>
          </w:p>
        </w:tc>
        <w:tc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p>
            <w:pPr>
              <w:pStyle w:val="Compact"/>
              <w:jc w:val="left"/>
            </w:pPr>
            <w:r>
              <w:t xml:space="preserve">39.5%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PRJNA504600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48.1%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PRJEB22890</w:t>
            </w:r>
          </w:p>
        </w:tc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t xml:space="preserve">50.8%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PRJNA288601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55.0%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PRJNA292904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57.1%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PRJNA307517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63.2%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PRJEB10561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70.6%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Pooled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47.0% (41.5–52.5)</w:t>
            </w:r>
          </w:p>
        </w:tc>
      </w:tr>
    </w:tbl>
    <w:p>
      <w:pPr>
        <w:pStyle w:val="BodyText"/>
      </w:pPr>
      <w:r>
        <w:rPr>
          <w:b/>
        </w:rPr>
        <w:t xml:space="preserve">Supplementary Table S3.</w:t>
      </w:r>
      <w:r>
        <w:t xml:space="preserve"> </w:t>
      </w:r>
      <w:r>
        <w:t xml:space="preserve">Balanced accuracy of the per-drug rule, logistic regression and</w:t>
      </w:r>
      <w:r>
        <w:t xml:space="preserve"> </w:t>
      </w:r>
      <w:r>
        <w:t xml:space="preserve">gradient boosting under each split scheme. Plotted in Figure 3.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+</w:t>
            </w:r>
            <w:r>
              <w:t xml:space="preserve"> </w:t>
            </w:r>
            <w:r>
              <w:rPr>
                <w:i/>
              </w:rPr>
              <w:t xml:space="preserve">mgrB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Gradient boosting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Study-aware</w:t>
            </w:r>
          </w:p>
        </w:tc>
        <w:tc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Lineage-aware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0.759</w:t>
            </w:r>
          </w:p>
        </w:tc>
        <w:tc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p>
            <w:pPr>
              <w:pStyle w:val="Compact"/>
              <w:jc w:val="left"/>
            </w:pPr>
            <w:r>
              <w:t xml:space="preserve">0.709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2026-10-31T00:47:34Z</dcterms:created>
  <dcterms:modified xsi:type="dcterms:W3CDTF">2026-10-31T00:47:34Z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