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C5A" w14:textId="424B7C26" w:rsidR="64B7E66E" w:rsidRDefault="64B7E66E" w:rsidP="076B7669">
      <w:pPr>
        <w:spacing w:before="240" w:after="240"/>
        <w:jc w:val="both"/>
      </w:pPr>
      <w:r w:rsidRPr="076B7669">
        <w:rPr>
          <w:rFonts w:ascii="Aptos" w:eastAsia="Aptos" w:hAnsi="Aptos" w:cs="Aptos"/>
        </w:rPr>
        <w:t>El proceso de independencia argentina se inscribe en un contexto de crisis del orden colonial y de transformación de las ideas políticas a fines del siglo XVIII y comienzos del XIX. Lejos de ser un hecho aislado, la independencia fue el resultado de una combinación de factores estructurales y coyunturales que debilitaron el dominio español y favorecieron la emergencia de un proyecto político autónomo.</w:t>
      </w:r>
    </w:p>
    <w:p w14:paraId="67DBBA80" w14:textId="28A12213" w:rsidR="64B7E66E" w:rsidRDefault="64B7E66E" w:rsidP="076B7669">
      <w:pPr>
        <w:spacing w:before="240" w:after="240"/>
        <w:jc w:val="both"/>
      </w:pPr>
      <w:r w:rsidRPr="076B7669">
        <w:rPr>
          <w:rFonts w:ascii="Aptos" w:eastAsia="Aptos" w:hAnsi="Aptos" w:cs="Aptos"/>
        </w:rPr>
        <w:t xml:space="preserve">La creación del </w:t>
      </w:r>
      <w:r w:rsidRPr="076B7669">
        <w:rPr>
          <w:rFonts w:ascii="Aptos" w:eastAsia="Aptos" w:hAnsi="Aptos" w:cs="Aptos"/>
          <w:b/>
          <w:bCs/>
        </w:rPr>
        <w:t>Virreinato del Río de la Plata en 1776</w:t>
      </w:r>
      <w:r w:rsidRPr="076B7669">
        <w:rPr>
          <w:rFonts w:ascii="Aptos" w:eastAsia="Aptos" w:hAnsi="Aptos" w:cs="Aptos"/>
        </w:rPr>
        <w:t xml:space="preserve"> consolidó una estructura política y económica subordinada a los intereses de la corona española. La economía regional, basada en la actividad agrícola y ganadera, estuvo condicionada por </w:t>
      </w:r>
      <w:r w:rsidRPr="076B7669">
        <w:rPr>
          <w:rFonts w:ascii="Aptos" w:eastAsia="Aptos" w:hAnsi="Aptos" w:cs="Aptos"/>
          <w:b/>
          <w:bCs/>
        </w:rPr>
        <w:t>restricciones comerciales</w:t>
      </w:r>
      <w:r w:rsidRPr="076B7669">
        <w:rPr>
          <w:rFonts w:ascii="Aptos" w:eastAsia="Aptos" w:hAnsi="Aptos" w:cs="Aptos"/>
        </w:rPr>
        <w:t xml:space="preserve"> impuestas por la metrópoli, lo que generó tensiones sociales y un creciente descontento, especialmente entre los sectores excluidos de los beneficios del sistema colonial.</w:t>
      </w:r>
    </w:p>
    <w:p w14:paraId="6FEC9EA5" w14:textId="15FB7373" w:rsidR="64B7E66E" w:rsidRDefault="64B7E66E" w:rsidP="076B7669">
      <w:pPr>
        <w:spacing w:before="240" w:after="240"/>
        <w:jc w:val="both"/>
      </w:pPr>
      <w:r w:rsidRPr="076B7669">
        <w:rPr>
          <w:rFonts w:ascii="Aptos" w:eastAsia="Aptos" w:hAnsi="Aptos" w:cs="Aptos"/>
        </w:rPr>
        <w:t xml:space="preserve">En el plano ideológico, la difusión de las </w:t>
      </w:r>
      <w:r w:rsidRPr="076B7669">
        <w:rPr>
          <w:rFonts w:ascii="Aptos" w:eastAsia="Aptos" w:hAnsi="Aptos" w:cs="Aptos"/>
          <w:b/>
          <w:bCs/>
        </w:rPr>
        <w:t>ideas de la Ilustración</w:t>
      </w:r>
      <w:r w:rsidRPr="076B7669">
        <w:rPr>
          <w:rFonts w:ascii="Aptos" w:eastAsia="Aptos" w:hAnsi="Aptos" w:cs="Aptos"/>
        </w:rPr>
        <w:t xml:space="preserve"> y el impacto de las </w:t>
      </w:r>
      <w:r w:rsidRPr="076B7669">
        <w:rPr>
          <w:rFonts w:ascii="Aptos" w:eastAsia="Aptos" w:hAnsi="Aptos" w:cs="Aptos"/>
          <w:b/>
          <w:bCs/>
        </w:rPr>
        <w:t>revoluciones atlánticas</w:t>
      </w:r>
      <w:r w:rsidRPr="076B7669">
        <w:rPr>
          <w:rFonts w:ascii="Aptos" w:eastAsia="Aptos" w:hAnsi="Aptos" w:cs="Aptos"/>
        </w:rPr>
        <w:t>, como la independencia de Estados Unidos y la Revolución Francesa, introdujeron principios como la soberanía popular, los derechos individuales y la legitimidad del autogobierno. Estos ideales influyeron en los dirigentes criollos, que comenzaron a cuestionar la autoridad de la monarquía española y a impulsar proyectos de autonomía política y económica.</w:t>
      </w:r>
    </w:p>
    <w:p w14:paraId="21811FB9" w14:textId="7BB5DFC5" w:rsidR="64B7E66E" w:rsidRDefault="64B7E66E" w:rsidP="076B7669">
      <w:pPr>
        <w:spacing w:before="240" w:after="240"/>
        <w:jc w:val="both"/>
      </w:pPr>
      <w:r w:rsidRPr="076B7669">
        <w:rPr>
          <w:rFonts w:ascii="Aptos" w:eastAsia="Aptos" w:hAnsi="Aptos" w:cs="Aptos"/>
        </w:rPr>
        <w:t xml:space="preserve">Un factor clave que aceleró el proceso independentista fue la </w:t>
      </w:r>
      <w:r w:rsidRPr="076B7669">
        <w:rPr>
          <w:rFonts w:ascii="Aptos" w:eastAsia="Aptos" w:hAnsi="Aptos" w:cs="Aptos"/>
          <w:b/>
          <w:bCs/>
        </w:rPr>
        <w:t>crisis de la monarquía española en 1808</w:t>
      </w:r>
      <w:r w:rsidRPr="076B7669">
        <w:rPr>
          <w:rFonts w:ascii="Aptos" w:eastAsia="Aptos" w:hAnsi="Aptos" w:cs="Aptos"/>
        </w:rPr>
        <w:t>, provocada por la invasión napoleónica y la captura del rey Fernando VII. El vacío de poder generado debilitó la legitimidad del gobierno colonial y permitió la formación de autoridades locales en el Río de la Plata.</w:t>
      </w:r>
    </w:p>
    <w:p w14:paraId="7177D821" w14:textId="0B2C673C" w:rsidR="64B7E66E" w:rsidRDefault="64B7E66E" w:rsidP="076B7669">
      <w:pPr>
        <w:spacing w:before="240" w:after="240"/>
        <w:jc w:val="both"/>
      </w:pPr>
      <w:r w:rsidRPr="076B7669">
        <w:rPr>
          <w:rFonts w:ascii="Aptos" w:eastAsia="Aptos" w:hAnsi="Aptos" w:cs="Aptos"/>
        </w:rPr>
        <w:t xml:space="preserve">En este contexto se desarrolló la </w:t>
      </w:r>
      <w:r w:rsidRPr="076B7669">
        <w:rPr>
          <w:rFonts w:ascii="Aptos" w:eastAsia="Aptos" w:hAnsi="Aptos" w:cs="Aptos"/>
          <w:b/>
          <w:bCs/>
        </w:rPr>
        <w:t xml:space="preserve">Revolución de </w:t>
      </w:r>
      <w:proofErr w:type="gramStart"/>
      <w:r w:rsidRPr="076B7669">
        <w:rPr>
          <w:rFonts w:ascii="Aptos" w:eastAsia="Aptos" w:hAnsi="Aptos" w:cs="Aptos"/>
          <w:b/>
          <w:bCs/>
        </w:rPr>
        <w:t>Mayo</w:t>
      </w:r>
      <w:proofErr w:type="gramEnd"/>
      <w:r w:rsidRPr="076B7669">
        <w:rPr>
          <w:rFonts w:ascii="Aptos" w:eastAsia="Aptos" w:hAnsi="Aptos" w:cs="Aptos"/>
          <w:b/>
          <w:bCs/>
        </w:rPr>
        <w:t xml:space="preserve"> de 1810</w:t>
      </w:r>
      <w:r w:rsidRPr="076B7669">
        <w:rPr>
          <w:rFonts w:ascii="Aptos" w:eastAsia="Aptos" w:hAnsi="Aptos" w:cs="Aptos"/>
        </w:rPr>
        <w:t>, que significó la ruptura del orden virreinal y el inicio de un proceso de autonomía política. Aunque en un primer momento se mantuvo una lealtad formal al monarca, con el tiempo se consolidó un proyecto independentista sostenido por distintos sectores de la sociedad.</w:t>
      </w:r>
    </w:p>
    <w:p w14:paraId="045566D1" w14:textId="68DE2176" w:rsidR="64B7E66E" w:rsidRDefault="64B7E66E" w:rsidP="076B7669">
      <w:pPr>
        <w:spacing w:before="240" w:after="240"/>
        <w:jc w:val="both"/>
      </w:pPr>
      <w:r w:rsidRPr="076B7669">
        <w:rPr>
          <w:rFonts w:ascii="Aptos" w:eastAsia="Aptos" w:hAnsi="Aptos" w:cs="Aptos"/>
        </w:rPr>
        <w:t xml:space="preserve">El proceso culminó con la </w:t>
      </w:r>
      <w:r w:rsidRPr="076B7669">
        <w:rPr>
          <w:rFonts w:ascii="Aptos" w:eastAsia="Aptos" w:hAnsi="Aptos" w:cs="Aptos"/>
          <w:b/>
          <w:bCs/>
        </w:rPr>
        <w:t>Declaración de Independencia de 1816 en el Congreso de Tucumán</w:t>
      </w:r>
      <w:r w:rsidRPr="076B7669">
        <w:rPr>
          <w:rFonts w:ascii="Aptos" w:eastAsia="Aptos" w:hAnsi="Aptos" w:cs="Aptos"/>
        </w:rPr>
        <w:t xml:space="preserve">, respaldada por los conflictos militares y el liderazgo de figuras como </w:t>
      </w:r>
      <w:r w:rsidRPr="076B7669">
        <w:rPr>
          <w:rFonts w:ascii="Aptos" w:eastAsia="Aptos" w:hAnsi="Aptos" w:cs="Aptos"/>
          <w:b/>
          <w:bCs/>
        </w:rPr>
        <w:t>José de San Martín y Manuel Belgrano</w:t>
      </w:r>
      <w:r w:rsidRPr="076B7669">
        <w:rPr>
          <w:rFonts w:ascii="Aptos" w:eastAsia="Aptos" w:hAnsi="Aptos" w:cs="Aptos"/>
        </w:rPr>
        <w:t>, que contribuyeron a la consolidación del nuevo Estado soberano.</w:t>
      </w:r>
    </w:p>
    <w:p w14:paraId="59DCD837" w14:textId="39040820" w:rsidR="076B7669" w:rsidRDefault="076B7669" w:rsidP="076B7669">
      <w:pPr>
        <w:spacing w:before="240" w:after="240"/>
        <w:jc w:val="both"/>
        <w:rPr>
          <w:rFonts w:ascii="Aptos" w:eastAsia="Aptos" w:hAnsi="Aptos" w:cs="Aptos"/>
        </w:rPr>
      </w:pPr>
    </w:p>
    <w:p w14:paraId="332D60A9" w14:textId="4CCF4B9C" w:rsidR="076B7669" w:rsidRDefault="076B7669" w:rsidP="076B7669">
      <w:pPr>
        <w:spacing w:before="240" w:after="240"/>
        <w:jc w:val="both"/>
        <w:rPr>
          <w:rFonts w:ascii="Aptos" w:eastAsia="Aptos" w:hAnsi="Aptos" w:cs="Aptos"/>
        </w:rPr>
      </w:pPr>
    </w:p>
    <w:p w14:paraId="664F05F7" w14:textId="021F6CC9" w:rsidR="7CDF6FAC" w:rsidRDefault="7CDF6FAC" w:rsidP="076B7669">
      <w:pPr>
        <w:spacing w:before="240" w:after="240"/>
        <w:jc w:val="both"/>
        <w:rPr>
          <w:rFonts w:ascii="Aptos" w:eastAsia="Aptos" w:hAnsi="Aptos" w:cs="Aptos"/>
        </w:rPr>
      </w:pPr>
      <w:r>
        <w:rPr>
          <w:noProof/>
        </w:rPr>
        <w:lastRenderedPageBreak/>
        <w:drawing>
          <wp:inline distT="0" distB="0" distL="0" distR="0" wp14:anchorId="2BEE380F" wp14:editId="6C0B918E">
            <wp:extent cx="4552950" cy="1765120"/>
            <wp:effectExtent l="0" t="0" r="0" b="6985"/>
            <wp:docPr id="14517119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11968" name="Picture 1451711968"/>
                    <pic:cNvPicPr/>
                  </pic:nvPicPr>
                  <pic:blipFill>
                    <a:blip r:embed="rId4">
                      <a:extLst>
                        <a:ext uri="{28A0092B-C50C-407E-A947-70E740481C1C}">
                          <a14:useLocalDpi xmlns:a14="http://schemas.microsoft.com/office/drawing/2010/main"/>
                        </a:ext>
                      </a:extLst>
                    </a:blip>
                    <a:stretch>
                      <a:fillRect/>
                    </a:stretch>
                  </pic:blipFill>
                  <pic:spPr>
                    <a:xfrm>
                      <a:off x="0" y="0"/>
                      <a:ext cx="4565329" cy="1769919"/>
                    </a:xfrm>
                    <a:prstGeom prst="rect">
                      <a:avLst/>
                    </a:prstGeom>
                  </pic:spPr>
                </pic:pic>
              </a:graphicData>
            </a:graphic>
          </wp:inline>
        </w:drawing>
      </w:r>
      <w:r>
        <w:rPr>
          <w:noProof/>
        </w:rPr>
        <w:drawing>
          <wp:inline distT="0" distB="0" distL="0" distR="0" wp14:anchorId="2A5634E7" wp14:editId="3A6CFB8F">
            <wp:extent cx="4691194" cy="2349500"/>
            <wp:effectExtent l="0" t="0" r="0" b="0"/>
            <wp:docPr id="1300743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43706" name="Picture 1300743706"/>
                    <pic:cNvPicPr/>
                  </pic:nvPicPr>
                  <pic:blipFill>
                    <a:blip r:embed="rId5">
                      <a:extLst>
                        <a:ext uri="{28A0092B-C50C-407E-A947-70E740481C1C}">
                          <a14:useLocalDpi xmlns:a14="http://schemas.microsoft.com/office/drawing/2010/main"/>
                        </a:ext>
                      </a:extLst>
                    </a:blip>
                    <a:stretch>
                      <a:fillRect/>
                    </a:stretch>
                  </pic:blipFill>
                  <pic:spPr>
                    <a:xfrm>
                      <a:off x="0" y="0"/>
                      <a:ext cx="4707925" cy="2357879"/>
                    </a:xfrm>
                    <a:prstGeom prst="rect">
                      <a:avLst/>
                    </a:prstGeom>
                  </pic:spPr>
                </pic:pic>
              </a:graphicData>
            </a:graphic>
          </wp:inline>
        </w:drawing>
      </w:r>
    </w:p>
    <w:p w14:paraId="730D6623" w14:textId="37C778B0" w:rsidR="57E54186" w:rsidRDefault="57E54186" w:rsidP="076B7669">
      <w:pPr>
        <w:spacing w:before="240" w:after="240"/>
        <w:jc w:val="both"/>
        <w:rPr>
          <w:rFonts w:ascii="Aptos" w:eastAsia="Aptos" w:hAnsi="Aptos" w:cs="Aptos"/>
        </w:rPr>
      </w:pPr>
      <w:r>
        <w:rPr>
          <w:noProof/>
        </w:rPr>
        <w:drawing>
          <wp:inline distT="0" distB="0" distL="0" distR="0" wp14:anchorId="33D14C09" wp14:editId="5372E224">
            <wp:extent cx="4044950" cy="1810468"/>
            <wp:effectExtent l="0" t="0" r="0" b="0"/>
            <wp:docPr id="1671932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32083" name="Picture 1671932083"/>
                    <pic:cNvPicPr/>
                  </pic:nvPicPr>
                  <pic:blipFill>
                    <a:blip r:embed="rId6">
                      <a:extLst>
                        <a:ext uri="{28A0092B-C50C-407E-A947-70E740481C1C}">
                          <a14:useLocalDpi xmlns:a14="http://schemas.microsoft.com/office/drawing/2010/main"/>
                        </a:ext>
                      </a:extLst>
                    </a:blip>
                    <a:stretch>
                      <a:fillRect/>
                    </a:stretch>
                  </pic:blipFill>
                  <pic:spPr>
                    <a:xfrm>
                      <a:off x="0" y="0"/>
                      <a:ext cx="4062643" cy="1818387"/>
                    </a:xfrm>
                    <a:prstGeom prst="rect">
                      <a:avLst/>
                    </a:prstGeom>
                  </pic:spPr>
                </pic:pic>
              </a:graphicData>
            </a:graphic>
          </wp:inline>
        </w:drawing>
      </w:r>
      <w:r>
        <w:rPr>
          <w:noProof/>
        </w:rPr>
        <w:drawing>
          <wp:inline distT="0" distB="0" distL="0" distR="0" wp14:anchorId="585237C8" wp14:editId="6C10E139">
            <wp:extent cx="4413250" cy="1806422"/>
            <wp:effectExtent l="0" t="0" r="6350" b="3810"/>
            <wp:docPr id="7076525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52548" name="Picture 707652548"/>
                    <pic:cNvPicPr/>
                  </pic:nvPicPr>
                  <pic:blipFill>
                    <a:blip r:embed="rId7">
                      <a:extLst>
                        <a:ext uri="{28A0092B-C50C-407E-A947-70E740481C1C}">
                          <a14:useLocalDpi xmlns:a14="http://schemas.microsoft.com/office/drawing/2010/main"/>
                        </a:ext>
                      </a:extLst>
                    </a:blip>
                    <a:stretch>
                      <a:fillRect/>
                    </a:stretch>
                  </pic:blipFill>
                  <pic:spPr>
                    <a:xfrm>
                      <a:off x="0" y="0"/>
                      <a:ext cx="4445397" cy="1819581"/>
                    </a:xfrm>
                    <a:prstGeom prst="rect">
                      <a:avLst/>
                    </a:prstGeom>
                  </pic:spPr>
                </pic:pic>
              </a:graphicData>
            </a:graphic>
          </wp:inline>
        </w:drawing>
      </w:r>
    </w:p>
    <w:p w14:paraId="6C1885D4" w14:textId="528E6D35" w:rsidR="076B7669" w:rsidRDefault="076B7669" w:rsidP="076B7669">
      <w:pPr>
        <w:spacing w:line="300" w:lineRule="atLeast"/>
        <w:jc w:val="both"/>
        <w:rPr>
          <w:rFonts w:eastAsiaTheme="minorEastAsia"/>
        </w:rPr>
      </w:pPr>
    </w:p>
    <w:sectPr w:rsidR="076B766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B29EEF"/>
    <w:rsid w:val="008757C6"/>
    <w:rsid w:val="00B741B4"/>
    <w:rsid w:val="0438712D"/>
    <w:rsid w:val="0623FADD"/>
    <w:rsid w:val="076B7669"/>
    <w:rsid w:val="08691EE5"/>
    <w:rsid w:val="0AFBF7EC"/>
    <w:rsid w:val="0C2CCB8E"/>
    <w:rsid w:val="104A87C5"/>
    <w:rsid w:val="15F603FC"/>
    <w:rsid w:val="2427F8EA"/>
    <w:rsid w:val="29EA2BC8"/>
    <w:rsid w:val="2A5045DE"/>
    <w:rsid w:val="37AA803D"/>
    <w:rsid w:val="38B593A0"/>
    <w:rsid w:val="40359362"/>
    <w:rsid w:val="45C48F6A"/>
    <w:rsid w:val="4CAE0BAD"/>
    <w:rsid w:val="4FB29EEF"/>
    <w:rsid w:val="51CE4599"/>
    <w:rsid w:val="5410AE01"/>
    <w:rsid w:val="55AFE9CE"/>
    <w:rsid w:val="57E54186"/>
    <w:rsid w:val="61B6CDF6"/>
    <w:rsid w:val="61D570AB"/>
    <w:rsid w:val="627A7CE0"/>
    <w:rsid w:val="64B7E66E"/>
    <w:rsid w:val="6935810E"/>
    <w:rsid w:val="69E42A35"/>
    <w:rsid w:val="6CCE1501"/>
    <w:rsid w:val="6DB1AD64"/>
    <w:rsid w:val="74FFA6A5"/>
    <w:rsid w:val="7CDF6FAC"/>
    <w:rsid w:val="7F80E1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29EEF"/>
  <w15:chartTrackingRefBased/>
  <w15:docId w15:val="{C37DFB04-81E9-40F2-8FFF-26E9EF18D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uiPriority w:val="9"/>
    <w:unhideWhenUsed/>
    <w:qFormat/>
    <w:rsid w:val="076B7669"/>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343</Words>
  <Characters>1890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LAURA RODRIGUEZ</dc:creator>
  <cp:keywords/>
  <dc:description/>
  <cp:lastModifiedBy>MARIA LAURA RODRIGUEZ</cp:lastModifiedBy>
  <cp:revision>2</cp:revision>
  <dcterms:created xsi:type="dcterms:W3CDTF">2026-02-06T20:46:00Z</dcterms:created>
  <dcterms:modified xsi:type="dcterms:W3CDTF">2026-02-06T20:46:00Z</dcterms:modified>
</cp:coreProperties>
</file>