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55557D" w:rsidR="0055557D" w:rsidP="5251F162" w:rsidRDefault="35F7540D" w14:paraId="7B92A423" w14:textId="36700A59">
      <w:pPr>
        <w:pStyle w:val="UNLAMPRIMERNIVEL"/>
        <w:rPr>
          <w:b/>
          <w:bCs/>
          <w:i/>
          <w:iCs/>
          <w:color w:val="000000" w:themeColor="text1"/>
          <w:sz w:val="28"/>
          <w:szCs w:val="28"/>
          <w:u w:val="single"/>
        </w:rPr>
      </w:pPr>
      <w:bookmarkStart w:name="_Toc422622947" w:id="0"/>
      <w:r w:rsidRPr="41C4D853" w:rsidR="1A780ACB">
        <w:rPr>
          <w:b w:val="1"/>
          <w:bCs w:val="1"/>
          <w:i w:val="1"/>
          <w:iCs w:val="1"/>
          <w:color w:val="000000" w:themeColor="text1" w:themeTint="FF" w:themeShade="FF"/>
          <w:sz w:val="28"/>
          <w:szCs w:val="28"/>
          <w:u w:val="single"/>
        </w:rPr>
        <w:t>Tabla de contenido</w:t>
      </w:r>
      <w:bookmarkEnd w:id="0"/>
    </w:p>
    <w:sdt>
      <w:sdtPr>
        <w:id w:val="1423210659"/>
        <w:docPartObj>
          <w:docPartGallery w:val="Table of Contents"/>
          <w:docPartUnique/>
        </w:docPartObj>
      </w:sdtPr>
      <w:sdtEndPr/>
      <w:sdtContent>
        <w:p w:rsidRPr="0055557D" w:rsidR="0055557D" w:rsidP="5251F162" w:rsidRDefault="0055557D" w14:paraId="630E5187" w14:textId="014954B7">
          <w:pPr>
            <w:pStyle w:val="TDC1"/>
            <w:tabs>
              <w:tab w:val="right" w:leader="dot" w:pos="9345"/>
            </w:tabs>
            <w:spacing w:before="100" w:beforeAutospacing="1" w:afterAutospacing="1" w:line="240" w:lineRule="auto"/>
            <w:rPr>
              <w:rStyle w:val="Hipervnculo"/>
            </w:rPr>
          </w:pPr>
          <w:r>
            <w:fldChar w:fldCharType="begin"/>
          </w:r>
          <w:r>
            <w:instrText>TOC \o \z \u \h</w:instrText>
          </w:r>
          <w:r>
            <w:fldChar w:fldCharType="separate"/>
          </w:r>
          <w:hyperlink w:anchor="_Toc422622947">
            <w:r w:rsidRPr="5251F162" w:rsidR="5251F162">
              <w:rPr>
                <w:rStyle w:val="Hipervnculo"/>
              </w:rPr>
              <w:t>Tabla de contenido</w:t>
            </w:r>
            <w:r>
              <w:tab/>
            </w:r>
            <w:r>
              <w:fldChar w:fldCharType="begin"/>
            </w:r>
            <w:r>
              <w:instrText>PAGEREF _Toc422622947 \h</w:instrText>
            </w:r>
            <w:r>
              <w:fldChar w:fldCharType="separate"/>
            </w:r>
            <w:r w:rsidRPr="5251F162" w:rsidR="5251F162">
              <w:rPr>
                <w:rStyle w:val="Hipervnculo"/>
              </w:rPr>
              <w:t>1</w:t>
            </w:r>
            <w:r>
              <w:fldChar w:fldCharType="end"/>
            </w:r>
          </w:hyperlink>
        </w:p>
        <w:p w:rsidRPr="0055557D" w:rsidR="0055557D" w:rsidP="5251F162" w:rsidRDefault="5251F162" w14:paraId="56A16EE6" w14:textId="7FE94D47">
          <w:pPr>
            <w:pStyle w:val="TDC1"/>
            <w:tabs>
              <w:tab w:val="right" w:leader="dot" w:pos="9345"/>
            </w:tabs>
            <w:spacing w:before="100" w:beforeAutospacing="1" w:afterAutospacing="1" w:line="240" w:lineRule="auto"/>
            <w:rPr>
              <w:rStyle w:val="Hipervnculo"/>
            </w:rPr>
          </w:pPr>
          <w:hyperlink w:anchor="_Toc1623885345">
            <w:r w:rsidRPr="5251F162">
              <w:rPr>
                <w:rStyle w:val="Hipervnculo"/>
              </w:rPr>
              <w:t>Inteligencia artificial y sus implicaciones en la educación superior</w:t>
            </w:r>
            <w:r w:rsidR="0055557D">
              <w:tab/>
            </w:r>
            <w:r w:rsidR="0055557D">
              <w:fldChar w:fldCharType="begin"/>
            </w:r>
            <w:r w:rsidR="0055557D">
              <w:instrText>PAGEREF _Toc1623885345 \h</w:instrText>
            </w:r>
            <w:r w:rsidR="0055557D">
              <w:fldChar w:fldCharType="separate"/>
            </w:r>
            <w:r w:rsidRPr="5251F162">
              <w:rPr>
                <w:rStyle w:val="Hipervnculo"/>
              </w:rPr>
              <w:t>1</w:t>
            </w:r>
            <w:r w:rsidR="0055557D">
              <w:fldChar w:fldCharType="end"/>
            </w:r>
          </w:hyperlink>
        </w:p>
        <w:p w:rsidRPr="0055557D" w:rsidR="0055557D" w:rsidP="5251F162" w:rsidRDefault="5251F162" w14:paraId="64A550B1" w14:textId="252DC5E4">
          <w:pPr>
            <w:pStyle w:val="TDC2"/>
            <w:tabs>
              <w:tab w:val="right" w:leader="dot" w:pos="9345"/>
            </w:tabs>
            <w:spacing w:before="100" w:beforeAutospacing="1" w:afterAutospacing="1" w:line="240" w:lineRule="auto"/>
            <w:rPr>
              <w:rStyle w:val="Hipervnculo"/>
            </w:rPr>
          </w:pPr>
          <w:hyperlink w:anchor="_Toc981046110">
            <w:r w:rsidRPr="5251F162">
              <w:rPr>
                <w:rStyle w:val="Hipervnculo"/>
              </w:rPr>
              <w:t>Introducción</w:t>
            </w:r>
            <w:r w:rsidR="0055557D">
              <w:tab/>
            </w:r>
            <w:r w:rsidR="0055557D">
              <w:fldChar w:fldCharType="begin"/>
            </w:r>
            <w:r w:rsidR="0055557D">
              <w:instrText>PAGEREF _Toc981046110 \h</w:instrText>
            </w:r>
            <w:r w:rsidR="0055557D">
              <w:fldChar w:fldCharType="separate"/>
            </w:r>
            <w:r w:rsidRPr="5251F162">
              <w:rPr>
                <w:rStyle w:val="Hipervnculo"/>
              </w:rPr>
              <w:t>1</w:t>
            </w:r>
            <w:r w:rsidR="0055557D">
              <w:fldChar w:fldCharType="end"/>
            </w:r>
          </w:hyperlink>
        </w:p>
        <w:p w:rsidRPr="0055557D" w:rsidR="0055557D" w:rsidP="5251F162" w:rsidRDefault="5251F162" w14:paraId="5F74058C" w14:textId="2260B48F">
          <w:pPr>
            <w:pStyle w:val="TDC2"/>
            <w:tabs>
              <w:tab w:val="right" w:leader="dot" w:pos="9345"/>
            </w:tabs>
            <w:spacing w:before="100" w:beforeAutospacing="1" w:afterAutospacing="1" w:line="240" w:lineRule="auto"/>
            <w:rPr>
              <w:rStyle w:val="Hipervnculo"/>
            </w:rPr>
          </w:pPr>
          <w:hyperlink w:anchor="_Toc862960091">
            <w:r w:rsidRPr="5251F162">
              <w:rPr>
                <w:rStyle w:val="Hipervnculo"/>
              </w:rPr>
              <w:t>IA y su impacto profundo en el mundo globalizado.</w:t>
            </w:r>
            <w:r w:rsidR="0055557D">
              <w:tab/>
            </w:r>
            <w:r w:rsidR="0055557D">
              <w:fldChar w:fldCharType="begin"/>
            </w:r>
            <w:r w:rsidR="0055557D">
              <w:instrText>PAGEREF _Toc862960091 \h</w:instrText>
            </w:r>
            <w:r w:rsidR="0055557D">
              <w:fldChar w:fldCharType="separate"/>
            </w:r>
            <w:r w:rsidRPr="5251F162">
              <w:rPr>
                <w:rStyle w:val="Hipervnculo"/>
              </w:rPr>
              <w:t>1</w:t>
            </w:r>
            <w:r w:rsidR="0055557D">
              <w:fldChar w:fldCharType="end"/>
            </w:r>
          </w:hyperlink>
        </w:p>
        <w:p w:rsidRPr="0055557D" w:rsidR="0055557D" w:rsidP="5251F162" w:rsidRDefault="5251F162" w14:paraId="1D2B8593" w14:textId="792E944D">
          <w:pPr>
            <w:pStyle w:val="TDC2"/>
            <w:tabs>
              <w:tab w:val="right" w:leader="dot" w:pos="9345"/>
            </w:tabs>
            <w:spacing w:before="100" w:beforeAutospacing="1" w:afterAutospacing="1" w:line="240" w:lineRule="auto"/>
            <w:rPr>
              <w:rStyle w:val="Hipervnculo"/>
            </w:rPr>
          </w:pPr>
          <w:hyperlink w:anchor="_Toc1243527566">
            <w:r w:rsidRPr="5251F162">
              <w:rPr>
                <w:rStyle w:val="Hipervnculo"/>
              </w:rPr>
              <w:t>Inteligencia humana e inteligencia artificial.</w:t>
            </w:r>
            <w:r w:rsidR="0055557D">
              <w:tab/>
            </w:r>
            <w:r w:rsidR="0055557D">
              <w:fldChar w:fldCharType="begin"/>
            </w:r>
            <w:r w:rsidR="0055557D">
              <w:instrText>PAGEREF _Toc1243527566 \h</w:instrText>
            </w:r>
            <w:r w:rsidR="0055557D">
              <w:fldChar w:fldCharType="separate"/>
            </w:r>
            <w:r w:rsidRPr="5251F162">
              <w:rPr>
                <w:rStyle w:val="Hipervnculo"/>
              </w:rPr>
              <w:t>2</w:t>
            </w:r>
            <w:r w:rsidR="0055557D">
              <w:fldChar w:fldCharType="end"/>
            </w:r>
          </w:hyperlink>
        </w:p>
        <w:p w:rsidRPr="0055557D" w:rsidR="0055557D" w:rsidP="5251F162" w:rsidRDefault="5251F162" w14:paraId="2E5B39D0" w14:textId="723E973A">
          <w:pPr>
            <w:pStyle w:val="TDC2"/>
            <w:tabs>
              <w:tab w:val="right" w:leader="dot" w:pos="9345"/>
            </w:tabs>
            <w:spacing w:before="100" w:beforeAutospacing="1" w:afterAutospacing="1" w:line="240" w:lineRule="auto"/>
            <w:rPr>
              <w:rStyle w:val="Hipervnculo"/>
            </w:rPr>
          </w:pPr>
          <w:hyperlink w:anchor="_Toc1120584158">
            <w:r w:rsidRPr="5251F162">
              <w:rPr>
                <w:rStyle w:val="Hipervnculo"/>
              </w:rPr>
              <w:t>La universidad clásica versus la nueva universidad</w:t>
            </w:r>
            <w:r w:rsidR="0055557D">
              <w:tab/>
            </w:r>
            <w:r w:rsidR="0055557D">
              <w:fldChar w:fldCharType="begin"/>
            </w:r>
            <w:r w:rsidR="0055557D">
              <w:instrText>PAGEREF _Toc1120584158 \h</w:instrText>
            </w:r>
            <w:r w:rsidR="0055557D">
              <w:fldChar w:fldCharType="separate"/>
            </w:r>
            <w:r w:rsidRPr="5251F162">
              <w:rPr>
                <w:rStyle w:val="Hipervnculo"/>
              </w:rPr>
              <w:t>2</w:t>
            </w:r>
            <w:r w:rsidR="0055557D">
              <w:fldChar w:fldCharType="end"/>
            </w:r>
          </w:hyperlink>
        </w:p>
        <w:p w:rsidRPr="0055557D" w:rsidR="0055557D" w:rsidP="5251F162" w:rsidRDefault="5251F162" w14:paraId="7A708CF1" w14:textId="32BA9BED">
          <w:pPr>
            <w:pStyle w:val="TDC2"/>
            <w:tabs>
              <w:tab w:val="right" w:leader="dot" w:pos="9345"/>
            </w:tabs>
            <w:spacing w:before="100" w:beforeAutospacing="1" w:afterAutospacing="1" w:line="240" w:lineRule="auto"/>
            <w:rPr>
              <w:rStyle w:val="Hipervnculo"/>
            </w:rPr>
          </w:pPr>
          <w:hyperlink w:anchor="_Toc1264830607">
            <w:r w:rsidRPr="5251F162">
              <w:rPr>
                <w:rStyle w:val="Hipervnculo"/>
              </w:rPr>
              <w:t>Competencias digitales.</w:t>
            </w:r>
            <w:r w:rsidR="0055557D">
              <w:tab/>
            </w:r>
            <w:r w:rsidR="0055557D">
              <w:fldChar w:fldCharType="begin"/>
            </w:r>
            <w:r w:rsidR="0055557D">
              <w:instrText>PAGEREF _Toc1264830607 \h</w:instrText>
            </w:r>
            <w:r w:rsidR="0055557D">
              <w:fldChar w:fldCharType="separate"/>
            </w:r>
            <w:r w:rsidRPr="5251F162">
              <w:rPr>
                <w:rStyle w:val="Hipervnculo"/>
              </w:rPr>
              <w:t>3</w:t>
            </w:r>
            <w:r w:rsidR="0055557D">
              <w:fldChar w:fldCharType="end"/>
            </w:r>
          </w:hyperlink>
        </w:p>
        <w:p w:rsidRPr="0055557D" w:rsidR="0055557D" w:rsidP="5251F162" w:rsidRDefault="5251F162" w14:paraId="07E67946" w14:textId="0C0F4E5E">
          <w:pPr>
            <w:pStyle w:val="TDC3"/>
            <w:tabs>
              <w:tab w:val="right" w:leader="dot" w:pos="9345"/>
            </w:tabs>
            <w:spacing w:before="100" w:beforeAutospacing="1" w:afterAutospacing="1" w:line="240" w:lineRule="auto"/>
            <w:rPr>
              <w:rStyle w:val="Hipervnculo"/>
            </w:rPr>
          </w:pPr>
          <w:hyperlink w:anchor="_Toc1159797157">
            <w:r w:rsidRPr="5251F162">
              <w:rPr>
                <w:rStyle w:val="Hipervnculo"/>
              </w:rPr>
              <w:t>Pensamiento computacional.</w:t>
            </w:r>
            <w:r w:rsidR="0055557D">
              <w:tab/>
            </w:r>
            <w:r w:rsidR="0055557D">
              <w:fldChar w:fldCharType="begin"/>
            </w:r>
            <w:r w:rsidR="0055557D">
              <w:instrText>PAGEREF _Toc1159797157 \h</w:instrText>
            </w:r>
            <w:r w:rsidR="0055557D">
              <w:fldChar w:fldCharType="separate"/>
            </w:r>
            <w:r w:rsidRPr="5251F162">
              <w:rPr>
                <w:rStyle w:val="Hipervnculo"/>
              </w:rPr>
              <w:t>4</w:t>
            </w:r>
            <w:r w:rsidR="0055557D">
              <w:fldChar w:fldCharType="end"/>
            </w:r>
          </w:hyperlink>
        </w:p>
        <w:p w:rsidRPr="0055557D" w:rsidR="0055557D" w:rsidP="5251F162" w:rsidRDefault="5251F162" w14:paraId="6C56F8C3" w14:textId="33A07F92">
          <w:pPr>
            <w:pStyle w:val="TDC3"/>
            <w:tabs>
              <w:tab w:val="right" w:leader="dot" w:pos="9345"/>
            </w:tabs>
            <w:spacing w:before="100" w:beforeAutospacing="1" w:afterAutospacing="1" w:line="240" w:lineRule="auto"/>
            <w:rPr>
              <w:rStyle w:val="Hipervnculo"/>
            </w:rPr>
          </w:pPr>
          <w:hyperlink w:anchor="_Toc111664026">
            <w:r w:rsidRPr="5251F162">
              <w:rPr>
                <w:rStyle w:val="Hipervnculo"/>
              </w:rPr>
              <w:t>Competencias informáticas.</w:t>
            </w:r>
            <w:r w:rsidR="0055557D">
              <w:tab/>
            </w:r>
            <w:r w:rsidR="0055557D">
              <w:fldChar w:fldCharType="begin"/>
            </w:r>
            <w:r w:rsidR="0055557D">
              <w:instrText>PAGEREF _Toc111664026 \h</w:instrText>
            </w:r>
            <w:r w:rsidR="0055557D">
              <w:fldChar w:fldCharType="separate"/>
            </w:r>
            <w:r w:rsidRPr="5251F162">
              <w:rPr>
                <w:rStyle w:val="Hipervnculo"/>
              </w:rPr>
              <w:t>4</w:t>
            </w:r>
            <w:r w:rsidR="0055557D">
              <w:fldChar w:fldCharType="end"/>
            </w:r>
          </w:hyperlink>
        </w:p>
        <w:p w:rsidRPr="0055557D" w:rsidR="0055557D" w:rsidP="5251F162" w:rsidRDefault="5251F162" w14:paraId="7117DC45" w14:textId="0913E1B0">
          <w:pPr>
            <w:pStyle w:val="TDC3"/>
            <w:tabs>
              <w:tab w:val="right" w:leader="dot" w:pos="9345"/>
            </w:tabs>
            <w:spacing w:before="100" w:beforeAutospacing="1" w:afterAutospacing="1" w:line="240" w:lineRule="auto"/>
            <w:rPr>
              <w:rStyle w:val="Hipervnculo"/>
            </w:rPr>
          </w:pPr>
          <w:hyperlink w:anchor="_Toc1827248804">
            <w:r w:rsidRPr="5251F162">
              <w:rPr>
                <w:rStyle w:val="Hipervnculo"/>
              </w:rPr>
              <w:t>Competencias informacionales y audiovisuales.</w:t>
            </w:r>
            <w:r w:rsidR="0055557D">
              <w:tab/>
            </w:r>
            <w:r w:rsidR="0055557D">
              <w:fldChar w:fldCharType="begin"/>
            </w:r>
            <w:r w:rsidR="0055557D">
              <w:instrText>PAGEREF _Toc1827248804 \h</w:instrText>
            </w:r>
            <w:r w:rsidR="0055557D">
              <w:fldChar w:fldCharType="separate"/>
            </w:r>
            <w:r w:rsidRPr="5251F162">
              <w:rPr>
                <w:rStyle w:val="Hipervnculo"/>
              </w:rPr>
              <w:t>5</w:t>
            </w:r>
            <w:r w:rsidR="0055557D">
              <w:fldChar w:fldCharType="end"/>
            </w:r>
          </w:hyperlink>
        </w:p>
        <w:p w:rsidRPr="0055557D" w:rsidR="0055557D" w:rsidP="5251F162" w:rsidRDefault="5251F162" w14:paraId="02A6B692" w14:textId="48D33C50">
          <w:pPr>
            <w:pStyle w:val="TDC2"/>
            <w:tabs>
              <w:tab w:val="right" w:leader="dot" w:pos="9345"/>
            </w:tabs>
            <w:spacing w:before="100" w:beforeAutospacing="1" w:afterAutospacing="1" w:line="240" w:lineRule="auto"/>
            <w:rPr>
              <w:rStyle w:val="Hipervnculo"/>
            </w:rPr>
          </w:pPr>
          <w:hyperlink w:anchor="_Toc1576151360">
            <w:r w:rsidRPr="5251F162">
              <w:rPr>
                <w:rStyle w:val="Hipervnculo"/>
              </w:rPr>
              <w:t>Sistemas de tutoría inteligente (STI) y aprendizaje online.</w:t>
            </w:r>
            <w:r w:rsidR="0055557D">
              <w:tab/>
            </w:r>
            <w:r w:rsidR="0055557D">
              <w:fldChar w:fldCharType="begin"/>
            </w:r>
            <w:r w:rsidR="0055557D">
              <w:instrText>PAGEREF _Toc1576151360 \h</w:instrText>
            </w:r>
            <w:r w:rsidR="0055557D">
              <w:fldChar w:fldCharType="separate"/>
            </w:r>
            <w:r w:rsidRPr="5251F162">
              <w:rPr>
                <w:rStyle w:val="Hipervnculo"/>
              </w:rPr>
              <w:t>5</w:t>
            </w:r>
            <w:r w:rsidR="0055557D">
              <w:fldChar w:fldCharType="end"/>
            </w:r>
          </w:hyperlink>
        </w:p>
        <w:p w:rsidRPr="0055557D" w:rsidR="0055557D" w:rsidP="5251F162" w:rsidRDefault="5251F162" w14:paraId="4114E634" w14:textId="00BA32BF">
          <w:pPr>
            <w:pStyle w:val="TDC2"/>
            <w:tabs>
              <w:tab w:val="right" w:leader="dot" w:pos="9345"/>
            </w:tabs>
            <w:spacing w:before="100" w:beforeAutospacing="1" w:afterAutospacing="1" w:line="240" w:lineRule="auto"/>
            <w:rPr>
              <w:rStyle w:val="Hipervnculo"/>
            </w:rPr>
          </w:pPr>
          <w:hyperlink w:anchor="_Toc612671057">
            <w:r w:rsidRPr="5251F162">
              <w:rPr>
                <w:rStyle w:val="Hipervnculo"/>
              </w:rPr>
              <w:t>Conclusiones</w:t>
            </w:r>
            <w:r w:rsidR="0055557D">
              <w:tab/>
            </w:r>
            <w:r w:rsidR="0055557D">
              <w:fldChar w:fldCharType="begin"/>
            </w:r>
            <w:r w:rsidR="0055557D">
              <w:instrText>PAGEREF _Toc612671057 \h</w:instrText>
            </w:r>
            <w:r w:rsidR="0055557D">
              <w:fldChar w:fldCharType="separate"/>
            </w:r>
            <w:r w:rsidRPr="5251F162">
              <w:rPr>
                <w:rStyle w:val="Hipervnculo"/>
              </w:rPr>
              <w:t>7</w:t>
            </w:r>
            <w:r w:rsidR="0055557D">
              <w:fldChar w:fldCharType="end"/>
            </w:r>
          </w:hyperlink>
          <w:r w:rsidR="0055557D">
            <w:fldChar w:fldCharType="end"/>
          </w:r>
        </w:p>
      </w:sdtContent>
    </w:sdt>
    <w:p w:rsidRPr="0055557D" w:rsidR="0055557D" w:rsidP="5251F162" w:rsidRDefault="0055557D" w14:paraId="0E8A85DB" w14:textId="18CAF93F">
      <w:pPr>
        <w:pStyle w:val="UNLAMPRIMERNIVEL"/>
        <w:rPr>
          <w:b/>
          <w:bCs/>
          <w:i/>
          <w:iCs/>
          <w:color w:val="000000" w:themeColor="text1"/>
          <w:sz w:val="28"/>
          <w:szCs w:val="28"/>
          <w:u w:val="single"/>
        </w:rPr>
      </w:pPr>
    </w:p>
    <w:p w:rsidRPr="0055557D" w:rsidR="0055557D" w:rsidP="41C4D853" w:rsidRDefault="0055557D" w14:paraId="592FC190" w14:textId="57D05709">
      <w:pPr>
        <w:pStyle w:val="UNLAMPRIMERNIVEL"/>
        <w:rPr>
          <w:rFonts w:ascii="Verdana" w:hAnsi="Verdana" w:eastAsia="Times New Roman" w:cs="Times New Roman"/>
          <w:color w:val="000000" w:themeColor="text1" w:themeTint="FF" w:themeShade="FF"/>
          <w:sz w:val="20"/>
          <w:szCs w:val="20"/>
          <w:lang w:eastAsia="es-AR"/>
        </w:rPr>
      </w:pPr>
      <w:bookmarkStart w:name="_Toc1623885345" w:id="1"/>
      <w:r w:rsidR="7DA8E650">
        <w:rPr/>
        <w:t xml:space="preserve">Inteligencia artificial </w:t>
      </w:r>
      <w:r w:rsidR="17D6868E">
        <w:rPr/>
        <w:t xml:space="preserve">llega a </w:t>
      </w:r>
      <w:r w:rsidR="65BDC764">
        <w:rPr/>
        <w:t>Microsoft</w:t>
      </w:r>
      <w:r w:rsidR="17D6868E">
        <w:rPr/>
        <w:t xml:space="preserve"> </w:t>
      </w:r>
      <w:r w:rsidR="532D99EC">
        <w:rPr/>
        <w:t>Word</w:t>
      </w:r>
      <w:r w:rsidR="17D6868E">
        <w:rPr/>
        <w:t xml:space="preserve"> de la mano de ideas</w:t>
      </w:r>
      <w:bookmarkEnd w:id="1"/>
    </w:p>
    <w:p w:rsidRPr="0055557D" w:rsidR="0055557D" w:rsidP="41C4D853" w:rsidRDefault="0055557D" w14:paraId="3F20647C" w14:textId="1B8901CA">
      <w:pPr>
        <w:pStyle w:val="unlamsegundonivel"/>
        <w:rPr>
          <w:sz w:val="24"/>
          <w:szCs w:val="24"/>
        </w:rPr>
      </w:pPr>
      <w:r w:rsidRPr="41C4D853" w:rsidR="698C6109">
        <w:rPr>
          <w:sz w:val="24"/>
          <w:szCs w:val="24"/>
        </w:rPr>
        <w:t>Recopilacion</w:t>
      </w:r>
      <w:r w:rsidRPr="41C4D853" w:rsidR="698C6109">
        <w:rPr>
          <w:sz w:val="24"/>
          <w:szCs w:val="24"/>
        </w:rPr>
        <w:t xml:space="preserve"> de conocimiento</w:t>
      </w:r>
    </w:p>
    <w:p w:rsidRPr="0055557D" w:rsidR="0055557D" w:rsidP="41C4D853" w:rsidRDefault="0055557D" w14:paraId="119F4167" w14:textId="0CB88B6A">
      <w:pPr>
        <w:pStyle w:val="UNLAMPRIMERNIVEL"/>
        <w:rPr>
          <w:rFonts w:ascii="Verdana" w:hAnsi="Verdana" w:eastAsia="Times New Roman" w:cs="Times New Roman"/>
          <w:color w:val="000000" w:themeColor="text1" w:themeTint="FF" w:themeShade="FF"/>
          <w:sz w:val="20"/>
          <w:szCs w:val="20"/>
          <w:lang w:eastAsia="es-AR"/>
        </w:rPr>
      </w:pPr>
      <w:r w:rsidRPr="41C4D853" w:rsidR="7DA8E650">
        <w:rPr>
          <w:rFonts w:ascii="Verdana" w:hAnsi="Verdana" w:eastAsia="Times New Roman" w:cs="Times New Roman"/>
          <w:color w:val="000000" w:themeColor="text1" w:themeTint="FF" w:themeShade="FF"/>
          <w:sz w:val="20"/>
          <w:szCs w:val="20"/>
          <w:lang w:eastAsia="es-AR"/>
        </w:rPr>
        <w:t xml:space="preserve">En el actual contexto nos encontramos inmersos en una sociedad que se orienta, cada vez más, hacia el proceso de la tecnificación masiva. Cada cierto tiempo, y con enormes avances, todos los sectores que la estructuran están, en cierta medida sometiéndose en algunos caos o adecuándose en otros a los avances de la tecnología y, </w:t>
      </w:r>
      <w:r w:rsidRPr="41C4D853" w:rsidR="7DA8E650">
        <w:rPr>
          <w:rFonts w:ascii="Verdana" w:hAnsi="Verdana" w:eastAsia="Times New Roman" w:cs="Times New Roman"/>
          <w:color w:val="000000" w:themeColor="text1" w:themeTint="FF" w:themeShade="FF"/>
          <w:sz w:val="20"/>
          <w:szCs w:val="20"/>
          <w:lang w:eastAsia="es-AR"/>
        </w:rPr>
        <w:t>de acuerdo a</w:t>
      </w:r>
      <w:r w:rsidRPr="41C4D853" w:rsidR="7DA8E650">
        <w:rPr>
          <w:rFonts w:ascii="Verdana" w:hAnsi="Verdana" w:eastAsia="Times New Roman" w:cs="Times New Roman"/>
          <w:color w:val="000000" w:themeColor="text1" w:themeTint="FF" w:themeShade="FF"/>
          <w:sz w:val="20"/>
          <w:szCs w:val="20"/>
          <w:lang w:eastAsia="es-AR"/>
        </w:rPr>
        <w:t xml:space="preserve"> su nivel de desarrollo alcanzado, adaptándose frente a tan inevitable tendencia. El área de la educación (que es sensible a los cambios en la sociedad ya que avanza a la par de </w:t>
      </w:r>
      <w:r w:rsidRPr="41C4D853" w:rsidR="7DA8E650">
        <w:rPr>
          <w:rFonts w:ascii="Verdana" w:hAnsi="Verdana" w:eastAsia="Times New Roman" w:cs="Times New Roman"/>
          <w:color w:val="000000" w:themeColor="text1" w:themeTint="FF" w:themeShade="FF"/>
          <w:sz w:val="20"/>
          <w:szCs w:val="20"/>
          <w:lang w:eastAsia="es-AR"/>
        </w:rPr>
        <w:t>la misma</w:t>
      </w:r>
      <w:r w:rsidRPr="41C4D853" w:rsidR="7DA8E650">
        <w:rPr>
          <w:rFonts w:ascii="Verdana" w:hAnsi="Verdana" w:eastAsia="Times New Roman" w:cs="Times New Roman"/>
          <w:color w:val="000000" w:themeColor="text1" w:themeTint="FF" w:themeShade="FF"/>
          <w:sz w:val="20"/>
          <w:szCs w:val="20"/>
          <w:lang w:eastAsia="es-AR"/>
        </w:rPr>
        <w:t xml:space="preserve">) también se encuentra atravesando dicha tendencia ineluctable de adaptación a las novedosas comunidades de interacción tecnológica; proceso que está orientado a nuevas tendencias y perfiles </w:t>
      </w:r>
      <w:r w:rsidRPr="41C4D853" w:rsidR="7DA8E650">
        <w:rPr>
          <w:rFonts w:ascii="Verdana" w:hAnsi="Verdana" w:eastAsia="Times New Roman" w:cs="Times New Roman"/>
          <w:color w:val="000000" w:themeColor="text1" w:themeTint="FF" w:themeShade="FF"/>
          <w:sz w:val="20"/>
          <w:szCs w:val="20"/>
          <w:lang w:eastAsia="es-AR"/>
        </w:rPr>
        <w:t>en relación a</w:t>
      </w:r>
      <w:r w:rsidRPr="41C4D853" w:rsidR="7DA8E650">
        <w:rPr>
          <w:rFonts w:ascii="Verdana" w:hAnsi="Verdana" w:eastAsia="Times New Roman" w:cs="Times New Roman"/>
          <w:color w:val="000000" w:themeColor="text1" w:themeTint="FF" w:themeShade="FF"/>
          <w:sz w:val="20"/>
          <w:szCs w:val="20"/>
          <w:lang w:eastAsia="es-AR"/>
        </w:rPr>
        <w:t xml:space="preserve"> las nuevas propuestas en el sector. Pero, cabe la interrogante crucial ¿hasta qué nivel la tecnología es capaz de revolucionar el universo de la educación?</w:t>
      </w:r>
    </w:p>
    <w:p w:rsidRPr="0055557D" w:rsidR="0055557D" w:rsidP="007F7265" w:rsidRDefault="0055557D" w14:paraId="342E3FC3"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asumir de forma estructural un parámetro tan novedoso y a su vez vertiginoso, requiere del desarrollo y aplicaciones cada vez más impactantes, tanto así como las discrepancias y temores que se suscitan en relación a la aplicación de la inteligencia artificial (IA), debe ser punto clave en las discusiones de trascendencia en relación a la novedosas propuestas en educación superior y asumir al mismo tiempo los parámetros que permitan una mejor administración de este importante mecanismo, así como la aplicabilidad de políticas efectivas, cada vez más adecuadas que vitalicen de forma equilibrada las posibilidades de la IA, en función de las necesidades de las instituciones más representativas de la sociedad (tal como es el caso de las universidades) y por ende, sean los ciudadanos los beneficiarios de estas mediadas acertadas.</w:t>
      </w:r>
    </w:p>
    <w:p w:rsidRPr="0055557D" w:rsidR="0055557D" w:rsidP="007F7265" w:rsidRDefault="0055557D" w14:paraId="45445189"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41C4D853" w:rsidR="7DA8E650">
        <w:rPr>
          <w:rFonts w:ascii="Verdana" w:hAnsi="Verdana" w:eastAsia="Times New Roman" w:cs="Times New Roman"/>
          <w:color w:val="000000" w:themeColor="text1" w:themeTint="FF" w:themeShade="FF"/>
          <w:sz w:val="20"/>
          <w:szCs w:val="20"/>
          <w:lang w:eastAsia="es-AR"/>
        </w:rPr>
        <w:t>En relación al proceso de la educación personalizada, la aplicación de la IA puede, en cierta manera, plantearse como una solución viable, ya que la asistencia automatizada en relación a la ayuda de los estudiantes (independientemente del nivel) permite una nueva y atractiva perspectiva en relación al dinamismo del aprendizaje ya que la interactuación virtual, regulada por los parámetros de la IA permite facilitar los aprendizajes, ya que los mecanismos de apoyo se encontrarán disponibles cuando sean necesario independientemente del tiempo y el espacio del usuario. Lo anterior nos conlleva a repensar el proceso de enseñanza aprendizaje cuyos impactos en relación a la tendencia de un panorama de una educación adaptativa, genere un gran impacto en los aprendizajes convencionales, y a medida que se desarrollen nuevas y mejores aplicaciones sustentadas en la IA, será más que probable que los nuevos </w:t>
      </w:r>
      <w:r w:rsidRPr="41C4D853" w:rsidR="7DA8E650">
        <w:rPr>
          <w:rFonts w:ascii="Verdana" w:hAnsi="Verdana" w:eastAsia="Times New Roman" w:cs="Times New Roman"/>
          <w:i w:val="1"/>
          <w:iCs w:val="1"/>
          <w:color w:val="000000" w:themeColor="text1" w:themeTint="FF" w:themeShade="FF"/>
          <w:sz w:val="20"/>
          <w:szCs w:val="20"/>
          <w:lang w:eastAsia="es-AR"/>
        </w:rPr>
        <w:t>currícula</w:t>
      </w:r>
      <w:r w:rsidRPr="41C4D853" w:rsidR="7DA8E650">
        <w:rPr>
          <w:rFonts w:ascii="Verdana" w:hAnsi="Verdana" w:eastAsia="Times New Roman" w:cs="Times New Roman"/>
          <w:color w:val="000000" w:themeColor="text1" w:themeTint="FF" w:themeShade="FF"/>
          <w:sz w:val="20"/>
          <w:szCs w:val="20"/>
          <w:lang w:eastAsia="es-AR"/>
        </w:rPr>
        <w:t> puedan ser sensibles y versátiles a la adaptación acelerada en relación a las nuevas y parsimoniosas formas de entender el quehacer educacional en el presente siglo.</w:t>
      </w:r>
    </w:p>
    <w:p w:rsidR="343FDFD5" w:rsidP="41C4D853" w:rsidRDefault="343FDFD5" w14:paraId="481D58E1" w14:textId="70945A4B">
      <w:pPr>
        <w:pStyle w:val="unlamsegundonivel"/>
        <w:rPr>
          <w:rFonts w:ascii="Verdana" w:hAnsi="Verdana" w:eastAsia="Times New Roman" w:cs="Times New Roman"/>
          <w:color w:val="000000" w:themeColor="text1" w:themeTint="FF" w:themeShade="FF"/>
          <w:sz w:val="24"/>
          <w:szCs w:val="24"/>
          <w:lang w:eastAsia="es-AR"/>
        </w:rPr>
      </w:pPr>
      <w:r w:rsidRPr="41C4D853" w:rsidR="343FDFD5">
        <w:rPr>
          <w:sz w:val="24"/>
          <w:szCs w:val="24"/>
        </w:rPr>
        <w:t xml:space="preserve">Trabajar en Microsoft </w:t>
      </w:r>
      <w:r w:rsidRPr="41C4D853" w:rsidR="343FDFD5">
        <w:rPr>
          <w:sz w:val="24"/>
          <w:szCs w:val="24"/>
        </w:rPr>
        <w:t>Edge</w:t>
      </w:r>
    </w:p>
    <w:p w:rsidRPr="0055557D" w:rsidR="0055557D" w:rsidP="007F7265" w:rsidRDefault="0055557D" w14:paraId="5496F564"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IA es un tema de por sí de gran envergadura, ya que logra avasallar muchos aspectos de las tendencias actuales; pero, el promedio de la población que entiende por ello es el mínimo. Sobre este aspecto, Miailhe y Lannquist (2018) mencionaron que la enorme masa de ciudadanos de la denominada "aldea mundo" se encuentran en una situación no muy privilegiada respecto a las tecnologías de IA y desconocen notoriamente los posibles efectos y por ende los riesgos a los que quedarían expuestos ante este avance ineluctable que se gesta cada vez a pasos más acelerados. Lo anterior no solo puede ser entendido desde el riesgo social- económico, o posibles debacles por "independencia de las máquinas" como algunos posibles futurólogos apocalípticos tienden a elucubrar, es decir los puntos de vista distópicos sobre lo relacionado a la IA; sino que los impactos de las tecnologías de la IA no requieren de un futuro para impactar de diversas maneras en este mundo globalizado, ya que una de las consecuencias y ejes dinámicos de este proceso se sustenta en estas tecnologías que optimizan muchas y diversas actividades: en el mundo de la interactividad a tiempo real, las consecuencias de las posibles alteraciones que sean producto de la aplicación de la IA plantearán lugar a nuevos y trascendentales desafíos (Diéguez, 2017); haciendo ver que los impactos causados por las revoluciones industriales y otras más del siglo XX sean mínimas en relación con lo que se está gestando en base a la IA, lo que plantea enormes encrucijadas y problemas asociados por el alcance y velocidad de aquellos posibles impactos. (Miailhe y Lannquist, 2018).</w:t>
      </w:r>
    </w:p>
    <w:p w:rsidRPr="009A701E" w:rsidR="0055557D" w:rsidP="41C4D853" w:rsidRDefault="0055557D" w14:paraId="4CCBD054" w14:textId="4289E637">
      <w:pPr>
        <w:pStyle w:val="unlamsegundonivel"/>
      </w:pPr>
      <w:bookmarkStart w:name="_Toc1243527566" w:id="4"/>
      <w:r w:rsidRPr="41C4D853" w:rsidR="19719D05">
        <w:rPr>
          <w:rStyle w:val="unlamsegundonivelChar"/>
          <w:b w:val="1"/>
          <w:bCs w:val="1"/>
          <w:sz w:val="24"/>
          <w:szCs w:val="24"/>
        </w:rPr>
        <w:t xml:space="preserve">Mejores documentos en </w:t>
      </w:r>
      <w:r w:rsidRPr="41C4D853" w:rsidR="19719D05">
        <w:rPr>
          <w:rStyle w:val="unlamsegundonivelChar"/>
          <w:b w:val="1"/>
          <w:bCs w:val="1"/>
          <w:sz w:val="24"/>
          <w:szCs w:val="24"/>
        </w:rPr>
        <w:t>word</w:t>
      </w:r>
      <w:r w:rsidR="7DA8E650">
        <w:rPr/>
        <w:t>.</w:t>
      </w:r>
      <w:bookmarkEnd w:id="4"/>
    </w:p>
    <w:p w:rsidRPr="0055557D" w:rsidR="0055557D" w:rsidP="007F7265" w:rsidRDefault="0055557D" w14:paraId="31BE68B1"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inteligencia humana conviene a ser la suma aquellas capacidades cognitivas que le otorgan al ser humano una relativa autonomía, las que pueden categorizarse como "perfiles de inteligencia" o "inteligencias múltiples", según lo expuesto por Corvalán (2017). Ahora bien, otros investigadores como Barrio (2018) desde la óptica antropológica le dan otra perspectiva a tan intrincado aspecto, al asumir sendas diferencias entre las inteligencias artificial y humana, ya que según dicho investigador el ordenador (independiente de su capacidad o potencia) está limitado en el manejo de lo que denomina "significantes" (lenguaje lógico de programación) con una capacidad de memoria superior a la inteligencia humana; pero que a diferencia de esta última no es capaz de interpretar los significados; por lo que la inteligencia operacional o de cálculo de un computador está limitado al manejo de información; pero que no posee la capacidad de comprensión de aquello que procesan.</w:t>
      </w:r>
    </w:p>
    <w:p w:rsidRPr="0055557D" w:rsidR="0055557D" w:rsidP="007F7265" w:rsidRDefault="0055557D" w14:paraId="06EA5A0A"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Entre la diversidad de aspectos relacionados a la idea de "inteligencia", se tiene que el eje transversal es la capacidad que se tiene para procesar la información del mundo circundante y que se orienta a la solución de problemas. Por esencia el cerebro, de forma específica la corteza cerebral, controla la capacidad para el procesamiento de la información proveniente del entorno y del mismo organismo que deberá de emplearse de forma inmediata para evaluar y elegir los mecanismos de acción, sobre un plano de decisiones y la selección de opciones que parezcan las más útiles o posibles.</w:t>
      </w:r>
    </w:p>
    <w:p w:rsidR="00F64956" w:rsidP="007F7265" w:rsidRDefault="0055557D" w14:paraId="1563804A"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41C4D853" w:rsidR="7DA8E650">
        <w:rPr>
          <w:rFonts w:ascii="Verdana" w:hAnsi="Verdana" w:eastAsia="Times New Roman" w:cs="Times New Roman"/>
          <w:color w:val="000000" w:themeColor="text1" w:themeTint="FF" w:themeShade="FF"/>
          <w:sz w:val="20"/>
          <w:szCs w:val="20"/>
          <w:lang w:eastAsia="es-AR"/>
        </w:rPr>
        <w:t xml:space="preserve">La inteligencia artificial (IA) está referida al modo de simular las capacidades de inteligencia del cerebro humano. (Badaró, Ibañez, Agüero, 2013). También se asumen que la IA es parte de las Ciencias de la Computación que se ocupa del diseño de sistemas inteligentes, esto es sistemas que exhiben características que asociamos con la inteligencia en las conductas humanas. Mariño y Primorac (2016) ahondan un poco más en la cuestión al manifestar que la IA es concebida como parte de las Ciencia de la Computación que permiten proporcionar "una diversidad de métodos, técnicas y herramientas para modelizar y resolver problemas simulando el proceder de los sujetos cognoscentes". (p. 232). </w:t>
      </w:r>
    </w:p>
    <w:p w:rsidR="2A1FB493" w:rsidP="41C4D853" w:rsidRDefault="2A1FB493" w14:paraId="4CE1AFC1" w14:textId="3DAD186E">
      <w:pPr>
        <w:pStyle w:val="unlamsegundonivel"/>
        <w:rPr>
          <w:rFonts w:ascii="Verdana" w:hAnsi="Verdana" w:eastAsia="Times New Roman" w:cs="Times New Roman"/>
          <w:b w:val="1"/>
          <w:bCs w:val="1"/>
          <w:color w:val="000000" w:themeColor="text1" w:themeTint="FF" w:themeShade="FF"/>
          <w:sz w:val="20"/>
          <w:szCs w:val="20"/>
          <w:lang w:eastAsia="es-AR"/>
        </w:rPr>
      </w:pPr>
      <w:r w:rsidR="2A1FB493">
        <w:rPr/>
        <w:t xml:space="preserve">Redes neuronales para </w:t>
      </w:r>
      <w:r w:rsidR="2A1FB493">
        <w:rPr/>
        <w:t>escribir mejores</w:t>
      </w:r>
      <w:r w:rsidR="2A1FB493">
        <w:rPr/>
        <w:t xml:space="preserve"> textos</w:t>
      </w:r>
    </w:p>
    <w:p w:rsidRPr="0055557D" w:rsidR="0055557D" w:rsidP="00F64956" w:rsidRDefault="0055557D" w14:paraId="47859F56"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Es clásico al entender que la universidad estratégicamente se ha dedicado a conservación e integración de la denominada herencia cultural de saberes, ideas y valores generados por el desarrollo de la humanidad en los diversos campos del quehacer científico, técnico y humanístico; virtud por la cual, según se adecua al contexto, se ha mantenido estratégicamente conservadora, ya que en esencia no podría ser cuestionada por ello, porque la universidad entendida mediáticamente como una institución representativa en todo el orbe, dispone del régimen de autonomía, lo cual la faculta para mantener dicho apostolado. </w:t>
      </w:r>
    </w:p>
    <w:p w:rsidRPr="0055557D" w:rsidR="0055557D" w:rsidP="007F7265" w:rsidRDefault="0055557D" w14:paraId="379336C6"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relación contrapuesta de la conservación de los estamentos de la sociedad y su cultura y los nuevos desafíos que afronta la sociedad, colocan a la universidad clásica en un serio dilema de elevada coyuntura, que problematiza su sesgo de decisiones en función de cuál de los dos parámetros deberá de tener en cuenta al momento de llevar a cabo sus fines y objetivos. </w:t>
      </w:r>
    </w:p>
    <w:p w:rsidRPr="0055557D" w:rsidR="0055557D" w:rsidP="5251F162" w:rsidRDefault="0055557D" w14:paraId="1D8AB4F9" w14:textId="4BD2B507">
      <w:pPr>
        <w:shd w:val="clear" w:color="auto" w:fill="FFFFFF" w:themeFill="background1"/>
        <w:spacing w:before="100" w:beforeAutospacing="1" w:after="100" w:afterAutospacing="1" w:line="240" w:lineRule="auto"/>
        <w:jc w:val="both"/>
        <w:rPr>
          <w:rFonts w:ascii="Verdana" w:hAnsi="Verdana" w:eastAsia="Times New Roman" w:cs="Times New Roman"/>
          <w:color w:val="000000" w:themeColor="text1"/>
          <w:sz w:val="24"/>
          <w:szCs w:val="24"/>
          <w:lang w:eastAsia="es-AR"/>
        </w:rPr>
      </w:pPr>
      <w:r w:rsidRPr="5251F162">
        <w:rPr>
          <w:rFonts w:ascii="Verdana" w:hAnsi="Verdana" w:eastAsia="Times New Roman" w:cs="Times New Roman"/>
          <w:color w:val="000000" w:themeColor="text1"/>
          <w:sz w:val="20"/>
          <w:szCs w:val="20"/>
          <w:lang w:eastAsia="es-AR"/>
        </w:rPr>
        <w:t>En la formación universitaria se pone énfasis en el diseño de perfiles profesionales que se enmarquen al trabajo y la generación de conocimiento. En lo que va del presente siglo, la educación superior universitaria se ha volcado a un novedoso paradigma socio-cognitivo, donde el proceso de aprendizaje es constante y en constante evolución, en el que los contenidos y metodologías deben estar acordes a las necesidades propias de cada realidad, con la necesidad de implementar estrategias metacognitivas, el raciocinio de carácter lógico basado en nuevos estilos de comunicación e interactividad digital (Mariño y Primorac, 2016).</w:t>
      </w:r>
    </w:p>
    <w:p w:rsidRPr="0055557D" w:rsidR="0055557D" w:rsidP="5251F162" w:rsidRDefault="13AAEB54" w14:paraId="5778605F" w14:textId="50084DEC">
      <w:pPr>
        <w:pStyle w:val="unlamsegundonivel"/>
        <w:rPr>
          <w:rFonts w:ascii="Verdana" w:hAnsi="Verdana" w:eastAsia="Times New Roman" w:cs="Times New Roman"/>
          <w:color w:val="000000" w:themeColor="text1"/>
          <w:sz w:val="24"/>
          <w:szCs w:val="24"/>
        </w:rPr>
      </w:pPr>
      <w:bookmarkStart w:name="_Toc1264830607" w:id="6"/>
      <w:r w:rsidRPr="41C4D853" w:rsidR="43C2CCEB">
        <w:rPr>
          <w:rStyle w:val="unlamsegundonivelChar"/>
          <w:b w:val="1"/>
          <w:bCs w:val="1"/>
          <w:sz w:val="24"/>
          <w:szCs w:val="24"/>
        </w:rPr>
        <w:t xml:space="preserve">El nuevo Microsoft </w:t>
      </w:r>
      <w:r w:rsidRPr="41C4D853" w:rsidR="43C2CCEB">
        <w:rPr>
          <w:rStyle w:val="unlamsegundonivelChar"/>
          <w:b w:val="1"/>
          <w:bCs w:val="1"/>
          <w:sz w:val="24"/>
          <w:szCs w:val="24"/>
        </w:rPr>
        <w:t>Word</w:t>
      </w:r>
      <w:r w:rsidRPr="41C4D853" w:rsidR="43C2CCEB">
        <w:rPr>
          <w:rStyle w:val="unlamsegundonivelChar"/>
          <w:b w:val="1"/>
          <w:bCs w:val="1"/>
          <w:sz w:val="24"/>
          <w:szCs w:val="24"/>
        </w:rPr>
        <w:t xml:space="preserve"> con IA</w:t>
      </w:r>
      <w:r w:rsidR="332746D2">
        <w:rPr/>
        <w:t>.</w:t>
      </w:r>
      <w:bookmarkEnd w:id="6"/>
    </w:p>
    <w:p w:rsidRPr="0055557D" w:rsidR="0055557D" w:rsidP="5251F162" w:rsidRDefault="0055557D" w14:paraId="4BAF876B" w14:textId="20120C90">
      <w:pPr>
        <w:shd w:val="clear" w:color="auto" w:fill="FFFFFF" w:themeFill="background1"/>
        <w:spacing w:before="100" w:beforeAutospacing="1" w:after="100" w:afterAutospacing="1" w:line="240" w:lineRule="auto"/>
        <w:jc w:val="both"/>
        <w:rPr>
          <w:rFonts w:ascii="Verdana" w:hAnsi="Verdana" w:eastAsia="Times New Roman" w:cs="Times New Roman"/>
          <w:color w:val="000000"/>
          <w:sz w:val="20"/>
          <w:szCs w:val="20"/>
          <w:lang w:eastAsia="es-AR"/>
        </w:rPr>
      </w:pPr>
    </w:p>
    <w:p w:rsidRPr="0055557D" w:rsidR="0055557D" w:rsidP="007F7265" w:rsidRDefault="0055557D" w14:paraId="51E6BD33"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revolución en las diversas tecnologías en las últimas décadas ha generado una serie de impactos importantes y de gran repercusión en lo que respecta a la educación superior, ya que no solo ha permitido la generación de procedimientos sustentados en los modernos procesos de gestión del conocimiento, sino que además ha permitido la generación de novedosos entornos y planteado nuevas modalidades en la formación (Gisbert y Esteve, 2016).</w:t>
      </w:r>
    </w:p>
    <w:p w:rsidRPr="0055557D" w:rsidR="0055557D" w:rsidP="007F7265" w:rsidRDefault="0055557D" w14:paraId="21B411B5"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Pero bien, la revolución en la educación universitaria ¿se orienta estructuralmente a los grandes cambios en las tecnologías masivas de información? ¿Hay una vertiente diáfana en los contextos de la educación superior que se enfoquen a los cambios que suscitan en los nuevos retos sustentados en la educación digital?; ¿cuál es el perfil, y que competencias deberá de desarrollar el estudiante inmerso en el mundo virtual? Es consabido que la enseñanza de la IA plantea diversos desafíos los que abarcan desde los aspectos éticos al cómo debe ser enseñado o divulgado en etapas tempranas de pregrado y del desafío más crucial del cómo hacerla más interdisciplinaria (Eaton, </w:t>
      </w:r>
      <w:r w:rsidRPr="0055557D">
        <w:rPr>
          <w:rFonts w:ascii="Verdana" w:hAnsi="Verdana" w:eastAsia="Times New Roman" w:cs="Times New Roman"/>
          <w:i/>
          <w:iCs/>
          <w:color w:val="000000"/>
          <w:sz w:val="20"/>
          <w:szCs w:val="20"/>
          <w:lang w:eastAsia="es-AR"/>
        </w:rPr>
        <w:t>et. al</w:t>
      </w:r>
      <w:r w:rsidRPr="0055557D">
        <w:rPr>
          <w:rFonts w:ascii="Verdana" w:hAnsi="Verdana" w:eastAsia="Times New Roman" w:cs="Times New Roman"/>
          <w:color w:val="000000"/>
          <w:sz w:val="20"/>
          <w:szCs w:val="20"/>
          <w:lang w:eastAsia="es-AR"/>
        </w:rPr>
        <w:t>, 2018).</w:t>
      </w:r>
    </w:p>
    <w:p w:rsidRPr="0055557D" w:rsidR="0055557D" w:rsidP="007F7265" w:rsidRDefault="0055557D" w14:paraId="593AB3FA"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Un punto básico en tan intrincado dilema se sitúa en el campo de la nueva alfabetización del estudiante universitario: la alfabetización digital. Otros aspectos que se relacionan con el rubro de las competencias digitales sustentadas en IA lo ha planteado tiempo atrás la Comisión Europea (2007), al asumir que la competencia digital deberá ser entendid</w:t>
      </w:r>
      <w:r w:rsidRPr="0055557D">
        <w:rPr>
          <w:rFonts w:ascii="Verdana" w:hAnsi="Verdana" w:eastAsia="Times New Roman" w:cs="Times New Roman"/>
          <w:i/>
          <w:iCs/>
          <w:color w:val="000000"/>
          <w:sz w:val="20"/>
          <w:szCs w:val="20"/>
          <w:lang w:eastAsia="es-AR"/>
        </w:rPr>
        <w:t>a</w:t>
      </w:r>
      <w:r w:rsidRPr="0055557D">
        <w:rPr>
          <w:rFonts w:ascii="Verdana" w:hAnsi="Verdana" w:eastAsia="Times New Roman" w:cs="Times New Roman"/>
          <w:color w:val="000000"/>
          <w:sz w:val="20"/>
          <w:szCs w:val="20"/>
          <w:lang w:eastAsia="es-AR"/>
        </w:rPr>
        <w:t> como una de las </w:t>
      </w:r>
      <w:r w:rsidRPr="0055557D">
        <w:rPr>
          <w:rFonts w:ascii="Verdana" w:hAnsi="Verdana" w:eastAsia="Times New Roman" w:cs="Times New Roman"/>
          <w:i/>
          <w:iCs/>
          <w:color w:val="000000"/>
          <w:sz w:val="20"/>
          <w:szCs w:val="20"/>
          <w:lang w:eastAsia="es-AR"/>
        </w:rPr>
        <w:t>competencias clave</w:t>
      </w:r>
      <w:r w:rsidRPr="0055557D">
        <w:rPr>
          <w:rFonts w:ascii="Verdana" w:hAnsi="Verdana" w:eastAsia="Times New Roman" w:cs="Times New Roman"/>
          <w:color w:val="000000"/>
          <w:sz w:val="20"/>
          <w:szCs w:val="20"/>
          <w:lang w:eastAsia="es-AR"/>
        </w:rPr>
        <w:t> muy necesaria para el aprendizaje continuo, definiéndola como la amalgama de actitudes, capacidades y conocimientos con lo cual se asegura un adecuado empleo de carácter crítico de la tecnología en el campo de las sociedades de la información, que serán utilizadas en diversas actividades que van desde el trabajo, la comunicación, hasta el ocio. Dichas exigencias, según el organismo mencionado, están enraizadas en las competencias básicas en temas de las tecnologías de información y comunicación, el empleo del ordenador para obtener, evaluar, almacenar, producir, presentar e intercambiar información y comunicarse, además de participar en comunidades virtuales interactivas a través de la internet. Entonces podría decirse que las competencias digitales tienden a ser la suma de todas los conocimientos, actitudes y habilidades en aspectos tecnológicos, informacionales y virtuales generados en el crisol de la educación superior, y sustentado sobre una nueva y muy compleja alfabetización tecnológica de carácter funcional, ya que comprende la utilización de las herramientas de forma productiva, que abarcaría mucho más que un uso estrictamente operacional (Gisbert y Esteve, 2016).</w:t>
      </w:r>
    </w:p>
    <w:p w:rsidRPr="0055557D" w:rsidR="0055557D" w:rsidP="007F7265" w:rsidRDefault="0055557D" w14:paraId="52D3CA62"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41C4D853" w:rsidR="7DA8E650">
        <w:rPr>
          <w:rFonts w:ascii="Verdana" w:hAnsi="Verdana" w:eastAsia="Times New Roman" w:cs="Times New Roman"/>
          <w:color w:val="000000" w:themeColor="text1" w:themeTint="FF" w:themeShade="FF"/>
          <w:sz w:val="20"/>
          <w:szCs w:val="20"/>
          <w:lang w:eastAsia="es-AR"/>
        </w:rPr>
        <w:t>El gran reto de la universidad del nuevo milenio estriba en la urgente necesidad de planificar, diseñar, desarrollar e implementar (sustentado en las competencias digitales) procesos formativos y de certera acreditación que le permita poner en evidencia los niveles para estas competencias a fin de lograr conseguir formar mejores profesionales y personas que estén en la completa capacidad de entender y desarrollar el entorno tecnológico en función a sus necesidades.</w:t>
      </w:r>
    </w:p>
    <w:p w:rsidR="5DE129AF" w:rsidP="41C4D853" w:rsidRDefault="5DE129AF" w14:paraId="3111FE98" w14:textId="4D5A9B2A">
      <w:pPr>
        <w:pStyle w:val="unlamtercernivel"/>
        <w:rPr>
          <w:rFonts w:ascii="Verdana" w:hAnsi="Verdana" w:eastAsia="Times New Roman" w:cs="Times New Roman"/>
          <w:b w:val="1"/>
          <w:bCs w:val="1"/>
          <w:color w:val="000000" w:themeColor="text1" w:themeTint="FF" w:themeShade="FF"/>
          <w:sz w:val="20"/>
          <w:szCs w:val="20"/>
          <w:lang w:eastAsia="es-AR"/>
        </w:rPr>
      </w:pPr>
      <w:r w:rsidR="5DE129AF">
        <w:rPr/>
        <w:t>Microsoft</w:t>
      </w:r>
      <w:r w:rsidR="5DE129AF">
        <w:rPr/>
        <w:t xml:space="preserve"> </w:t>
      </w:r>
      <w:r w:rsidR="5DE129AF">
        <w:rPr/>
        <w:t>Search</w:t>
      </w:r>
    </w:p>
    <w:p w:rsidRPr="0055557D" w:rsidR="0055557D" w:rsidP="007F7265" w:rsidRDefault="0055557D" w14:paraId="009E793D"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Una de las funciones sustantivas y que justifican el proceso de la instrucción es la alfabetización, proceso por el cual se capacita al sujeto para que pueda acceder y comprender los contenidos y las estructuras simbólicas a través de las cuales se transmite el bagaje de conocimientos y el acceso a la cultura; así como el dominio de las herramientas y diversos códigos que le permitirán expresarse y comunicarse en su contexto. Durante el último siglo, el proceso de alfabetización estuvo referido al enseñar a leer y escribir mediante los códigos textuales en materiales</w:t>
      </w:r>
      <w:r w:rsidR="0074151F">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impresos.</w:t>
      </w:r>
    </w:p>
    <w:p w:rsidRPr="0055557D" w:rsidR="0055557D" w:rsidP="007F7265" w:rsidRDefault="0055557D" w14:paraId="315A894F"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entornos digitales actuales, basados en modelos de competitividad de mercado, están supeditados al empleo de tecnologías cada vez más refinadas, depuradas y potenciadas tanto en cantidad como en calidad, hechos que revierten en el posicionamiento de vanguardia que las principales universidades y centros de investigación en el mundo ostentan, tal como lo referencian Pandiella, Moreno, García, y Sanz (2018) al enunciar la revisión de los parámetros estimados según el modelo de estimación de los indicadores del Academic Ranking of World Universities (Sha nghai Ranking).</w:t>
      </w:r>
    </w:p>
    <w:p w:rsidRPr="0055557D" w:rsidR="0055557D" w:rsidP="007F7265" w:rsidRDefault="0055557D" w14:paraId="046C1183"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lenguaje digital, entendido como suma de distintos lenguajes, recoge una serie de competencias diversas:</w:t>
      </w:r>
    </w:p>
    <w:p w:rsidRPr="009A701E" w:rsidR="00F64956" w:rsidP="41C4D853" w:rsidRDefault="0055557D" w14:paraId="4B091DDD" w14:textId="023F8037">
      <w:pPr>
        <w:pStyle w:val="unlamtercernivel"/>
      </w:pPr>
      <w:bookmarkStart w:name="_Toc1159797157" w:id="7"/>
      <w:r w:rsidRPr="41C4D853" w:rsidR="7DEFAFD9">
        <w:rPr>
          <w:rStyle w:val="unlamtercernivelChar"/>
        </w:rPr>
        <w:t xml:space="preserve">Microsoft </w:t>
      </w:r>
      <w:r w:rsidRPr="41C4D853" w:rsidR="7DEFAFD9">
        <w:rPr>
          <w:rStyle w:val="unlamtercernivelChar"/>
        </w:rPr>
        <w:t>graph</w:t>
      </w:r>
      <w:r w:rsidR="7DA8E650">
        <w:rPr/>
        <w:t>.</w:t>
      </w:r>
      <w:bookmarkEnd w:id="7"/>
    </w:p>
    <w:p w:rsidRPr="0055557D" w:rsidR="0055557D" w:rsidP="00F64956" w:rsidRDefault="0055557D" w14:paraId="3F5A5753" w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Está ya definido que los miembros de esta nueva generación o nativos digitales tienen cierta ventaja debido a su temprana proximidad a los recursos digitales y el uso de las nuevas tecnologías. Recursos, equipos, aplicativos, redes sociales, interactividad, comunicación a tiempo real son situaciones muy comunes para los nativos digitales, que bajo los parámetros del acercamiento desarrollan una forma de pensamiento computacional que les facilita el uso continuo de dichos recursos. Mucha de las actividades que realizan están sujetas al uso constante de equipos digitales que permitan dicha interactividad, por lo que son más afines a la idea de lo computacional o digital.</w:t>
      </w:r>
    </w:p>
    <w:p w:rsidRPr="009A701E" w:rsidR="00F64956" w:rsidP="41C4D853" w:rsidRDefault="0055557D" w14:paraId="3579A61D" w14:textId="55AAB5CA">
      <w:pPr>
        <w:shd w:val="clear" w:color="auto" w:fill="FFFFFF" w:themeFill="background1"/>
        <w:spacing w:before="100" w:beforeAutospacing="on" w:after="100" w:afterAutospacing="on" w:line="240" w:lineRule="auto"/>
        <w:ind w:left="360"/>
        <w:jc w:val="both"/>
        <w:rPr>
          <w:rFonts w:ascii="Verdana" w:hAnsi="Verdana" w:eastAsia="Times New Roman" w:cs="Times New Roman"/>
          <w:b w:val="1"/>
          <w:bCs w:val="1"/>
          <w:color w:val="000000"/>
          <w:lang w:eastAsia="es-AR"/>
        </w:rPr>
      </w:pPr>
      <w:r w:rsidRPr="41C4D853" w:rsidR="751093BF">
        <w:rPr>
          <w:rStyle w:val="unlamtercernivelChar"/>
        </w:rPr>
        <w:t>Caracteristica</w:t>
      </w:r>
      <w:r w:rsidRPr="41C4D853" w:rsidR="751093BF">
        <w:rPr>
          <w:rStyle w:val="unlamtercernivelChar"/>
        </w:rPr>
        <w:t xml:space="preserve"> ideas</w:t>
      </w:r>
      <w:r w:rsidRPr="41C4D853" w:rsidR="7DA8E650">
        <w:rPr>
          <w:rFonts w:ascii="Verdana" w:hAnsi="Verdana" w:eastAsia="Times New Roman" w:cs="Times New Roman"/>
          <w:b w:val="1"/>
          <w:bCs w:val="1"/>
          <w:color w:val="000000" w:themeColor="text1" w:themeTint="FF" w:themeShade="FF"/>
          <w:lang w:eastAsia="es-AR"/>
        </w:rPr>
        <w:t xml:space="preserve">. </w:t>
      </w:r>
    </w:p>
    <w:p w:rsidRPr="0055557D" w:rsidR="0055557D" w:rsidP="00F64956" w:rsidRDefault="0055557D" w14:paraId="7F747DDD" w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denominados lenguajes de programación son la base de la implementación y desarrollo de las tendencias basadas en los lenguajes de programación desde su simple evolución conocido los de primera generación hasta los lenguajes basados en</w:t>
      </w:r>
      <w:r w:rsidR="00F64956">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 xml:space="preserve">inteligencia universal que bajo ciertos parámetros es el nuevo lenguaje en las TIC. La implementación de los equipos y dispositivos tecnológicos, la velocidad de transmisión de data y nuevas formas de almacenamiento requiere toda una nueva logística que logre el soporte para dicha implementación para la interfaz de interactuación entre los usuarios y el equipo desde la interactuación simple (consumo de datos en base a forma de búsqueda en red) hasta la calidad de transmisión de data en color, video audio de alta definición. Al respecto, cómo es posible dicha forma de soporte. La respuesta se sustenta en el cómo es estructurado el soporte de software que en su ejecución. Es innegable que el soporte de la IA se sustenta en los nuevos lenguajes de programación cuyos avances son ya de uso público, como por ejemplo el desarrollo de las redes sociales se sustenta sobre lenguajes de programación de mayor potencia como </w:t>
      </w:r>
      <w:r w:rsidRPr="0055557D" w:rsidR="00F12A6F">
        <w:rPr>
          <w:rFonts w:ascii="Verdana" w:hAnsi="Verdana" w:eastAsia="Times New Roman" w:cs="Times New Roman"/>
          <w:color w:val="000000"/>
          <w:sz w:val="20"/>
          <w:szCs w:val="20"/>
          <w:lang w:eastAsia="es-AR"/>
        </w:rPr>
        <w:t>Python</w:t>
      </w:r>
      <w:r w:rsidRPr="0055557D">
        <w:rPr>
          <w:rFonts w:ascii="Verdana" w:hAnsi="Verdana" w:eastAsia="Times New Roman" w:cs="Times New Roman"/>
          <w:color w:val="000000"/>
          <w:sz w:val="20"/>
          <w:szCs w:val="20"/>
          <w:lang w:eastAsia="es-AR"/>
        </w:rPr>
        <w:t xml:space="preserve"> o Ruby, cuya interfaz es mucho más asequible.</w:t>
      </w:r>
    </w:p>
    <w:p w:rsidRPr="009A701E" w:rsidR="00F64956" w:rsidP="5251F162" w:rsidRDefault="0055557D" w14:paraId="52A5022D" w14:textId="53A7B6CB">
      <w:pPr>
        <w:pStyle w:val="unlamtercernivel"/>
        <w:rPr>
          <w:rFonts w:ascii="Verdana" w:hAnsi="Verdana" w:eastAsia="Times New Roman" w:cs="Times New Roman"/>
          <w:color w:val="000000" w:themeColor="text1"/>
        </w:rPr>
      </w:pPr>
      <w:bookmarkStart w:name="_Toc111664026" w:id="8"/>
      <w:r w:rsidR="7DA8E650">
        <w:rPr/>
        <w:t>C.</w:t>
      </w:r>
      <w:bookmarkEnd w:id="8"/>
    </w:p>
    <w:p w:rsidRPr="0055557D" w:rsidR="0055557D" w:rsidP="00F64956" w:rsidRDefault="0055557D" w14:paraId="2214C726" w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 completamente evidente que uno de los retos más sustanciales en la actual coyuntura de las políticas educativas, recae sobre la integración de las tecnologías de la información y comunicación (TICs) en la educación superior, según lo expuesto por Ocaña y Valenzuela (2018). Dichas políticas deberán sustentarse sobre una sólida base de generalización entre los equipos docentes cuyo accionar sobre este punto deberá orientarse al desarrollo de un modelo pedagógico que justifique y de sentido a las prácticas de enseñanza y aprendizaje que permitan el uso de ordenadores (en la mayor cantidad de cursos) de modo que las nuevas tecnologías sean empleadas en una perspectiva innovadora desde un punto de vista tecno-didáctico que puedan plasmar.</w:t>
      </w:r>
    </w:p>
    <w:p w:rsidRPr="009A701E" w:rsidR="00F64956" w:rsidP="5251F162" w:rsidRDefault="0055557D" w14:paraId="02060552" w14:textId="77777777">
      <w:pPr>
        <w:shd w:val="clear" w:color="auto" w:fill="FFFFFF" w:themeFill="background1"/>
        <w:spacing w:before="100" w:beforeAutospacing="1" w:after="100" w:afterAutospacing="1" w:line="240" w:lineRule="auto"/>
        <w:ind w:left="360"/>
        <w:jc w:val="both"/>
        <w:rPr>
          <w:rFonts w:ascii="Verdana" w:hAnsi="Verdana" w:eastAsia="Times New Roman" w:cs="Times New Roman"/>
          <w:b/>
          <w:bCs/>
          <w:color w:val="000000"/>
          <w:lang w:eastAsia="es-AR"/>
        </w:rPr>
      </w:pPr>
      <w:bookmarkStart w:name="_Toc1827248804" w:id="9"/>
      <w:r w:rsidRPr="5251F162">
        <w:rPr>
          <w:rStyle w:val="unlamtercernivelChar"/>
        </w:rPr>
        <w:t>Competencias informacionales y audiovisuales.</w:t>
      </w:r>
      <w:bookmarkEnd w:id="9"/>
      <w:r w:rsidRPr="5251F162">
        <w:rPr>
          <w:rFonts w:ascii="Verdana" w:hAnsi="Verdana" w:eastAsia="Times New Roman" w:cs="Times New Roman"/>
          <w:b/>
          <w:bCs/>
          <w:color w:val="000000" w:themeColor="text1"/>
          <w:lang w:eastAsia="es-AR"/>
        </w:rPr>
        <w:t xml:space="preserve"> </w:t>
      </w:r>
    </w:p>
    <w:p w:rsidRPr="0055557D" w:rsidR="0055557D" w:rsidP="41C4D853" w:rsidRDefault="0055557D" w14:paraId="2984A043" w14:textId="41FB04EE">
      <w:pPr>
        <w:pStyle w:val="Normal"/>
        <w:shd w:val="clear" w:color="auto" w:fill="FFFFFF" w:themeFill="background1"/>
        <w:spacing w:before="100" w:beforeAutospacing="on" w:after="100" w:afterAutospacing="on" w:line="240" w:lineRule="auto"/>
        <w:ind w:left="360"/>
        <w:jc w:val="both"/>
        <w:rPr>
          <w:rFonts w:ascii="Verdana" w:hAnsi="Verdana" w:eastAsia="Times New Roman" w:cs="Times New Roman"/>
          <w:color w:val="000000"/>
          <w:sz w:val="20"/>
          <w:szCs w:val="20"/>
          <w:lang w:eastAsia="es-AR"/>
        </w:rPr>
      </w:pPr>
      <w:r w:rsidRPr="41C4D853" w:rsidR="7DA8E650">
        <w:rPr>
          <w:rFonts w:ascii="Verdana" w:hAnsi="Verdana" w:eastAsia="Times New Roman" w:cs="Times New Roman"/>
          <w:color w:val="000000" w:themeColor="text1" w:themeTint="FF" w:themeShade="FF"/>
          <w:sz w:val="20"/>
          <w:szCs w:val="20"/>
          <w:lang w:eastAsia="es-AR"/>
        </w:rPr>
        <w:t xml:space="preserve">Enfrentar los retos de las nuevas tecnologías demandará una serie de cambios, los que irán desde la parte logística, preparación docente, nuevas estructuras curriculares, nuevas modalidades de enseñanza-aprendizaje, evaluación dentro de los contextos del e- </w:t>
      </w:r>
      <w:r w:rsidRPr="41C4D853" w:rsidR="7DA8E650">
        <w:rPr>
          <w:rFonts w:ascii="Verdana" w:hAnsi="Verdana" w:eastAsia="Times New Roman" w:cs="Times New Roman"/>
          <w:color w:val="000000" w:themeColor="text1" w:themeTint="FF" w:themeShade="FF"/>
          <w:sz w:val="20"/>
          <w:szCs w:val="20"/>
          <w:lang w:eastAsia="es-AR"/>
        </w:rPr>
        <w:t>learning</w:t>
      </w:r>
      <w:r w:rsidRPr="41C4D853" w:rsidR="7DA8E650">
        <w:rPr>
          <w:rFonts w:ascii="Verdana" w:hAnsi="Verdana" w:eastAsia="Times New Roman" w:cs="Times New Roman"/>
          <w:color w:val="000000" w:themeColor="text1" w:themeTint="FF" w:themeShade="FF"/>
          <w:sz w:val="20"/>
          <w:szCs w:val="20"/>
          <w:lang w:eastAsia="es-AR"/>
        </w:rPr>
        <w:t xml:space="preserve"> y de forma peyorativa las políticas educativas nacionales y regionales si es que se desea coexistir en este vertiginoso contexto de la implementación de las nuevas tecnologías sustentadas en IA, y no convertirse en una especie de </w:t>
      </w:r>
      <w:r w:rsidRPr="41C4D853" w:rsidR="7DA8E650">
        <w:rPr>
          <w:rFonts w:ascii="Verdana" w:hAnsi="Verdana" w:eastAsia="Times New Roman" w:cs="Times New Roman"/>
          <w:i w:val="1"/>
          <w:iCs w:val="1"/>
          <w:color w:val="000000" w:themeColor="text1" w:themeTint="FF" w:themeShade="FF"/>
          <w:sz w:val="20"/>
          <w:szCs w:val="20"/>
          <w:lang w:eastAsia="es-AR"/>
        </w:rPr>
        <w:t>tecnofósiles</w:t>
      </w:r>
      <w:r w:rsidRPr="41C4D853" w:rsidR="7DA8E650">
        <w:rPr>
          <w:rFonts w:ascii="Verdana" w:hAnsi="Verdana" w:eastAsia="Times New Roman" w:cs="Times New Roman"/>
          <w:color w:val="000000" w:themeColor="text1" w:themeTint="FF" w:themeShade="FF"/>
          <w:sz w:val="20"/>
          <w:szCs w:val="20"/>
          <w:lang w:eastAsia="es-AR"/>
        </w:rPr>
        <w:t xml:space="preserve"> que serán vistos como reliquias aberrantes de un experimento fallido en relación a la adaptación evolutiva de los entornos digitales que siguieron su ruta inevitable de extinción y, que </w:t>
      </w:r>
      <w:r w:rsidR="609DBD77">
        <w:rPr/>
        <w:t>ompetencias informáticas</w:t>
      </w:r>
      <w:r w:rsidRPr="41C4D853" w:rsidR="609DBD77">
        <w:rPr>
          <w:rFonts w:ascii="Verdana" w:hAnsi="Verdana" w:eastAsia="Times New Roman" w:cs="Times New Roman"/>
          <w:color w:val="000000" w:themeColor="text1" w:themeTint="FF" w:themeShade="FF"/>
          <w:sz w:val="20"/>
          <w:szCs w:val="20"/>
          <w:lang w:eastAsia="es-AR"/>
        </w:rPr>
        <w:t xml:space="preserve"> </w:t>
      </w:r>
      <w:r w:rsidRPr="41C4D853" w:rsidR="7DA8E650">
        <w:rPr>
          <w:rFonts w:ascii="Verdana" w:hAnsi="Verdana" w:eastAsia="Times New Roman" w:cs="Times New Roman"/>
          <w:color w:val="000000" w:themeColor="text1" w:themeTint="FF" w:themeShade="FF"/>
          <w:sz w:val="20"/>
          <w:szCs w:val="20"/>
          <w:lang w:eastAsia="es-AR"/>
        </w:rPr>
        <w:t>alejados de las mismas los condujo en algún momento a la paradoja irreconciliable del punto de no retorno al mantener una postura pasiva frente a los cambios. Pero para preparar a nuestros jóvenes para enfrentarse al mundo en el que les tocará vivir, necesitamos un cuarto bloque que podíamos etiquetar como lenguaje digital, que incorporaría las competencias necesarias para desenvolverse con éxito en el mundo digital, con la programación como forma de resolver problemas y el pensamiento computacional como paradigma de trabajo. Hay una nueva alfabetización, que podemos llamar alfabetización digital, necesaria para las nuevas sociedades y en la que debemos formar a los futuros ciudadanos.</w:t>
      </w:r>
    </w:p>
    <w:p w:rsidRPr="0055557D" w:rsidR="0055557D" w:rsidP="5251F162" w:rsidRDefault="0055557D" w14:paraId="7654A3F8" w14:textId="77777777">
      <w:pPr>
        <w:pStyle w:val="unlamsegundonivel"/>
        <w:rPr>
          <w:rFonts w:ascii="Verdana" w:hAnsi="Verdana" w:eastAsia="Times New Roman" w:cs="Times New Roman"/>
          <w:color w:val="000000" w:themeColor="text1"/>
          <w:sz w:val="20"/>
          <w:szCs w:val="20"/>
        </w:rPr>
      </w:pPr>
      <w:bookmarkStart w:name="_Toc1576151360" w:id="10"/>
      <w:r>
        <w:t>Sistemas de tutoría inteligente (STI) y aprendizaje online.</w:t>
      </w:r>
      <w:bookmarkEnd w:id="10"/>
    </w:p>
    <w:p w:rsidRPr="0055557D" w:rsidR="0055557D" w:rsidP="007F7265" w:rsidRDefault="0055557D" w14:paraId="383C11D6"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últimos años han sido testigos de los considerables avances de inteligencia artificial en la educación. Muchas aplicaciones son ampliamente utilizadas por los educadores y los estudiantes de hoy, con algunas variaciones entre el modelo K- 12 y configuración que requiere la universidad. Aunque la educación de calidad siempre requerirá un compromiso activo por parte de profesores humanos, los formatos basados en IA prometen una muy sustancial mejorar en la educación para todos los diversos niveles, con una mejora cualitativa sin precedentes: proporcionar al aprendiz una certera personalización a medida de sus requerimientos, con lo cual se estaría resolviendo el proceso, hasta cierto punto paradigmático, de cómo lograr una mejor integración entre las diversas formas de interacción humana y el aprendizaje </w:t>
      </w:r>
      <w:r w:rsidRPr="0055557D">
        <w:rPr>
          <w:rFonts w:ascii="Verdana" w:hAnsi="Verdana" w:eastAsia="Times New Roman" w:cs="Times New Roman"/>
          <w:i/>
          <w:iCs/>
          <w:color w:val="000000"/>
          <w:sz w:val="20"/>
          <w:szCs w:val="20"/>
          <w:lang w:eastAsia="es-AR"/>
        </w:rPr>
        <w:t>face to face</w:t>
      </w:r>
      <w:r w:rsidRPr="0055557D">
        <w:rPr>
          <w:rFonts w:ascii="Verdana" w:hAnsi="Verdana" w:eastAsia="Times New Roman" w:cs="Times New Roman"/>
          <w:color w:val="000000"/>
          <w:sz w:val="20"/>
          <w:szCs w:val="20"/>
          <w:lang w:eastAsia="es-AR"/>
        </w:rPr>
        <w:t> con las novedosas tecnologías prometedoras sustentadas en IA. El logro material de tan titánico proceso, por el momento, sigue siendo un desafío clave.</w:t>
      </w:r>
    </w:p>
    <w:p w:rsidRPr="0055557D" w:rsidR="0055557D" w:rsidP="007F7265" w:rsidRDefault="0055557D" w14:paraId="154C5154"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sistemas de tutoría inteligente (ITS) están basados en tutores automatizados que se han empleado para la enseñanza de ciencias, matemáticas, idiomas y otras disciplinas; están basados en tecnologías interactivas, en muchos casos. Los sistemas de procesamiento del lenguaje natural humano, especialmente combinado con el aprendizaje automatizado y crowdsourcing, ha impulsado el aprendizaje </w:t>
      </w:r>
      <w:r w:rsidRPr="0055557D">
        <w:rPr>
          <w:rFonts w:ascii="Verdana" w:hAnsi="Verdana" w:eastAsia="Times New Roman" w:cs="Times New Roman"/>
          <w:i/>
          <w:iCs/>
          <w:color w:val="000000"/>
          <w:sz w:val="20"/>
          <w:szCs w:val="20"/>
          <w:lang w:eastAsia="es-AR"/>
        </w:rPr>
        <w:t>on line</w:t>
      </w:r>
      <w:r w:rsidRPr="0055557D">
        <w:rPr>
          <w:rFonts w:ascii="Verdana" w:hAnsi="Verdana" w:eastAsia="Times New Roman" w:cs="Times New Roman"/>
          <w:color w:val="000000"/>
          <w:sz w:val="20"/>
          <w:szCs w:val="20"/>
          <w:lang w:eastAsia="es-AR"/>
        </w:rPr>
        <w:t> lo cual repercutió positivamente en la labor docente al ampliar significativamente las dimensiones de las clásicas aulas y, al mismo tiempo abordar las diversas necesidades y estilos de aprendizaje de los estudiantes. Los conjuntos de datos de grandes los sistemas de aprendizaje en línea han impulsado un rápido crecimiento en el aprendizaje analítico.</w:t>
      </w:r>
    </w:p>
    <w:p w:rsidR="009A701E" w:rsidP="007F7265" w:rsidRDefault="0055557D" w14:paraId="0E246010"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El desarrollo de la interfaz de la interactuación entre la máquina y el ser humano es cada vez más asequible, y más aún cabe la posibilidad de que la máquina sea capaz de sugerir, si es que se puede hablar coloquialmente, al usuario final, es decir tienda a generar un cambio de actitud con carácter de persuasivo hacia el individuo para que éste tienda a realizar cierta actividad que el programa ya decidió como la más relevante y de forma efectiva al interactuar con diversas matrices de datos que al sistema basado en IA le permita recomendar una determinada acción. </w:t>
      </w:r>
    </w:p>
    <w:p w:rsidR="009A701E" w:rsidRDefault="009A701E" w14:paraId="672A6659" w14:textId="77777777">
      <w:pPr>
        <w:rPr>
          <w:rFonts w:ascii="Verdana" w:hAnsi="Verdana" w:eastAsia="Times New Roman" w:cs="Times New Roman"/>
          <w:color w:val="000000"/>
          <w:sz w:val="20"/>
          <w:szCs w:val="20"/>
          <w:lang w:eastAsia="es-AR"/>
        </w:rPr>
      </w:pPr>
      <w:r>
        <w:rPr>
          <w:rFonts w:ascii="Verdana" w:hAnsi="Verdana" w:eastAsia="Times New Roman" w:cs="Times New Roman"/>
          <w:color w:val="000000"/>
          <w:sz w:val="20"/>
          <w:szCs w:val="20"/>
          <w:lang w:eastAsia="es-AR"/>
        </w:rPr>
        <w:br w:type="page"/>
      </w:r>
    </w:p>
    <w:p w:rsidR="0074151F" w:rsidP="007F7265" w:rsidRDefault="0074151F" w14:paraId="0A37501D"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p>
    <w:p w:rsidRPr="009A701E" w:rsidR="0055557D" w:rsidP="5251F162" w:rsidRDefault="0055557D" w14:paraId="19FF5C40" w14:textId="77777777">
      <w:pPr>
        <w:pStyle w:val="unlamsegundonivel"/>
        <w:rPr>
          <w:rFonts w:ascii="Verdana" w:hAnsi="Verdana" w:eastAsia="Times New Roman" w:cs="Times New Roman"/>
          <w:color w:val="000000" w:themeColor="text1"/>
          <w:sz w:val="24"/>
          <w:szCs w:val="24"/>
        </w:rPr>
      </w:pPr>
      <w:bookmarkStart w:name="_Toc612671057" w:id="11"/>
      <w:r>
        <w:t>Conclusiones</w:t>
      </w:r>
      <w:bookmarkEnd w:id="11"/>
    </w:p>
    <w:p w:rsidR="0055557D" w:rsidP="007F7265" w:rsidRDefault="0055557D" w14:paraId="4B006776"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dilema confrontacional generacional en la actualidad es más evidente que en cualquier otro tiempo. Si la década de los sesentas, setentas y ochentas estuvieron marcados por una gran cantidad de sucesos que en su momento generaron diversas repercusiones, actualmente dicha confrontación se sustenta en una lid cuyos horizontes rebasan lo percibido hasta hoy, ya que las brechas generacionales van más allá de la escala temporal porque es de un carácter más radical que sobrepasa aquellos linderos conceptuales, la brecha es tecnológica, es virtual, es digital, es completamente nueva en el desarrollo humano que mantiene una dialéctica muy significativa de acercarnos cada vez más y al mismo tiempo distanciar civilizaciones ante el paso avasallador de las nuevas tecnologías basadas en la IA, que han configurado dos bandos co</w:t>
      </w:r>
      <w:r w:rsidR="0074151F">
        <w:rPr>
          <w:rFonts w:ascii="Verdana" w:hAnsi="Verdana" w:eastAsia="Times New Roman" w:cs="Times New Roman"/>
          <w:color w:val="000000"/>
          <w:sz w:val="20"/>
          <w:szCs w:val="20"/>
          <w:lang w:eastAsia="es-AR"/>
        </w:rPr>
        <w:t xml:space="preserve">ntrapuestos generacionalmente. </w:t>
      </w:r>
    </w:p>
    <w:p w:rsidR="00F12A6F" w:rsidP="007F7265" w:rsidRDefault="00F12A6F" w14:paraId="5DAB6C7B"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p>
    <w:p w:rsidRPr="0055557D" w:rsidR="00F12A6F" w:rsidP="007F7265" w:rsidRDefault="00F12A6F" w14:paraId="02B9B416"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b/>
          <w:bCs/>
          <w:color w:val="000000"/>
          <w:sz w:val="20"/>
          <w:szCs w:val="20"/>
          <w:lang w:val="en-US" w:eastAsia="es-AR"/>
        </w:rPr>
        <w:t>Yolvi Ocaña-Fernández* </w:t>
      </w:r>
      <w:r w:rsidRPr="0055557D">
        <w:rPr>
          <w:rFonts w:ascii="Verdana" w:hAnsi="Verdana" w:eastAsia="Times New Roman" w:cs="Times New Roman"/>
          <w:b/>
          <w:bCs/>
          <w:color w:val="000000"/>
          <w:sz w:val="20"/>
          <w:szCs w:val="20"/>
          <w:vertAlign w:val="superscript"/>
          <w:lang w:val="en-US" w:eastAsia="es-AR"/>
        </w:rPr>
        <w:t>ORCID</w:t>
      </w:r>
      <w:r w:rsidRPr="0055557D">
        <w:rPr>
          <w:rFonts w:ascii="Verdana" w:hAnsi="Verdana" w:eastAsia="Times New Roman" w:cs="Times New Roman"/>
          <w:color w:val="000000"/>
          <w:sz w:val="20"/>
          <w:szCs w:val="20"/>
          <w:lang w:val="en-US" w:eastAsia="es-AR"/>
        </w:rPr>
        <w:t>: </w:t>
      </w:r>
      <w:r w:rsidRPr="0055557D">
        <w:rPr>
          <w:rFonts w:ascii="Verdana" w:hAnsi="Verdana" w:eastAsia="Times New Roman" w:cs="Times New Roman"/>
          <w:color w:val="0000FF"/>
          <w:sz w:val="20"/>
          <w:szCs w:val="20"/>
          <w:u w:val="single"/>
          <w:lang w:val="en-US" w:eastAsia="es-AR"/>
        </w:rPr>
        <w:t>https://orcid.org/0000-0002-2566-6875</w:t>
      </w:r>
    </w:p>
    <w:sectPr w:rsidRPr="0055557D" w:rsidR="00F12A6F" w:rsidSect="009A701E">
      <w:pgSz w:w="11907" w:h="16839" w:orient="portrait"/>
      <w:pgMar w:top="1417" w:right="849"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s>
</file>

<file path=word/intelligence2.xml><?xml version="1.0" encoding="utf-8"?>
<int2:intelligence xmlns:int2="http://schemas.microsoft.com/office/intelligence/2020/intelligence">
  <int2:observations>
    <int2:textHash int2:hashCode="NVnXrM8ANglxlh" int2:id="3Hm94VEP">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A506A"/>
    <w:multiLevelType w:val="multilevel"/>
    <w:tmpl w:val="66BC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C486B"/>
    <w:multiLevelType w:val="multilevel"/>
    <w:tmpl w:val="03D43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FA6CDB"/>
    <w:multiLevelType w:val="multilevel"/>
    <w:tmpl w:val="D6EA5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8086286">
    <w:abstractNumId w:val="0"/>
  </w:num>
  <w:num w:numId="2" w16cid:durableId="525145699">
    <w:abstractNumId w:val="1"/>
  </w:num>
  <w:num w:numId="3" w16cid:durableId="625307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57D"/>
    <w:rsid w:val="00001DB4"/>
    <w:rsid w:val="00020B6F"/>
    <w:rsid w:val="00030EDC"/>
    <w:rsid w:val="0039261B"/>
    <w:rsid w:val="004064E0"/>
    <w:rsid w:val="0049350D"/>
    <w:rsid w:val="004C5B49"/>
    <w:rsid w:val="0055557D"/>
    <w:rsid w:val="00703184"/>
    <w:rsid w:val="0074151F"/>
    <w:rsid w:val="007F7265"/>
    <w:rsid w:val="009A701E"/>
    <w:rsid w:val="00AA149B"/>
    <w:rsid w:val="00AF1812"/>
    <w:rsid w:val="00BC7E26"/>
    <w:rsid w:val="00D96B54"/>
    <w:rsid w:val="00F12A6F"/>
    <w:rsid w:val="00F64956"/>
    <w:rsid w:val="00FE75D6"/>
    <w:rsid w:val="00FF4F79"/>
    <w:rsid w:val="00FF7B93"/>
    <w:rsid w:val="015E1203"/>
    <w:rsid w:val="07145E4E"/>
    <w:rsid w:val="080AE4AA"/>
    <w:rsid w:val="0C9E1590"/>
    <w:rsid w:val="0DAAB1CA"/>
    <w:rsid w:val="1121E152"/>
    <w:rsid w:val="12421E9E"/>
    <w:rsid w:val="13AAEB54"/>
    <w:rsid w:val="17D6868E"/>
    <w:rsid w:val="19719D05"/>
    <w:rsid w:val="1A780ACB"/>
    <w:rsid w:val="1A996D93"/>
    <w:rsid w:val="233D9687"/>
    <w:rsid w:val="2580E5C1"/>
    <w:rsid w:val="28F5714F"/>
    <w:rsid w:val="2A1FB493"/>
    <w:rsid w:val="2D36B39C"/>
    <w:rsid w:val="2D69006E"/>
    <w:rsid w:val="301C3006"/>
    <w:rsid w:val="30314ECA"/>
    <w:rsid w:val="31490196"/>
    <w:rsid w:val="332746D2"/>
    <w:rsid w:val="343FDFD5"/>
    <w:rsid w:val="35D89CD0"/>
    <w:rsid w:val="35F7540D"/>
    <w:rsid w:val="3FB338FE"/>
    <w:rsid w:val="41C4D853"/>
    <w:rsid w:val="41E491C5"/>
    <w:rsid w:val="43C2CCEB"/>
    <w:rsid w:val="44D2C983"/>
    <w:rsid w:val="4745B1BC"/>
    <w:rsid w:val="49DE825E"/>
    <w:rsid w:val="4D70D697"/>
    <w:rsid w:val="5251F162"/>
    <w:rsid w:val="531C79D9"/>
    <w:rsid w:val="532D99EC"/>
    <w:rsid w:val="5668BC6C"/>
    <w:rsid w:val="5DE129AF"/>
    <w:rsid w:val="60738C42"/>
    <w:rsid w:val="609DBD77"/>
    <w:rsid w:val="6410965F"/>
    <w:rsid w:val="656EDF8B"/>
    <w:rsid w:val="65BDC764"/>
    <w:rsid w:val="698C6109"/>
    <w:rsid w:val="71EE8B62"/>
    <w:rsid w:val="73ADD3DB"/>
    <w:rsid w:val="751093BF"/>
    <w:rsid w:val="786E2BD3"/>
    <w:rsid w:val="7DA8E650"/>
    <w:rsid w:val="7DEFAFD9"/>
  </w:rsids>
  <m:mathPr>
    <m:mathFont m:val="Cambria Math"/>
    <m:brkBin m:val="before"/>
    <m:brkBinSub m:val="--"/>
    <m:smallFrac m:val="0"/>
    <m:dispDef/>
    <m:lMargin m:val="0"/>
    <m:rMargin m:val="0"/>
    <m:defJc m:val="centerGroup"/>
    <m:wrapIndent m:val="1440"/>
    <m:intLim m:val="subSup"/>
    <m:naryLim m:val="undOvr"/>
  </m:mathPr>
  <w:themeFontLang w:val="es-A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D485E"/>
  <w15:chartTrackingRefBased/>
  <w15:docId w15:val="{82996BD6-4ED0-40A5-A910-AE39BCF94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rsid w:val="5251F162"/>
    <w:pPr>
      <w:keepNext/>
      <w:keepLines/>
      <w:spacing w:before="360" w:after="80"/>
      <w:outlineLvl w:val="0"/>
    </w:pPr>
    <w:rPr>
      <w:rFonts w:asciiTheme="majorHAnsi" w:hAnsiTheme="majorHAnsi" w:eastAsiaTheme="majorEastAsia" w:cstheme="majorBidi"/>
      <w:color w:val="2E74B5" w:themeColor="accent1" w:themeShade="BF"/>
      <w:sz w:val="40"/>
      <w:szCs w:val="40"/>
    </w:rPr>
  </w:style>
  <w:style w:type="paragraph" w:styleId="Ttulo2">
    <w:name w:val="heading 2"/>
    <w:basedOn w:val="Normal"/>
    <w:link w:val="Ttulo2Car"/>
    <w:uiPriority w:val="9"/>
    <w:qFormat/>
    <w:rsid w:val="0055557D"/>
    <w:pPr>
      <w:spacing w:before="100" w:beforeAutospacing="1" w:after="100" w:afterAutospacing="1" w:line="240" w:lineRule="auto"/>
      <w:outlineLvl w:val="1"/>
    </w:pPr>
    <w:rPr>
      <w:rFonts w:ascii="Times New Roman" w:hAnsi="Times New Roman" w:eastAsia="Times New Roman" w:cs="Times New Roman"/>
      <w:b/>
      <w:bCs/>
      <w:sz w:val="36"/>
      <w:szCs w:val="36"/>
      <w:lang w:eastAsia="es-AR"/>
    </w:rPr>
  </w:style>
  <w:style w:type="paragraph" w:styleId="Ttulo3">
    <w:name w:val="heading 3"/>
    <w:basedOn w:val="Normal"/>
    <w:link w:val="Ttulo3Car"/>
    <w:uiPriority w:val="9"/>
    <w:qFormat/>
    <w:rsid w:val="0055557D"/>
    <w:pPr>
      <w:spacing w:before="100" w:beforeAutospacing="1" w:after="100" w:afterAutospacing="1" w:line="240" w:lineRule="auto"/>
      <w:outlineLvl w:val="2"/>
    </w:pPr>
    <w:rPr>
      <w:rFonts w:ascii="Times New Roman" w:hAnsi="Times New Roman" w:eastAsia="Times New Roman" w:cs="Times New Roman"/>
      <w:b/>
      <w:bCs/>
      <w:sz w:val="27"/>
      <w:szCs w:val="27"/>
      <w:lang w:eastAsia="es-AR"/>
    </w:rPr>
  </w:style>
  <w:style w:type="paragraph" w:styleId="Ttulo4">
    <w:name w:val="heading 4"/>
    <w:basedOn w:val="Normal"/>
    <w:link w:val="Ttulo4Car"/>
    <w:uiPriority w:val="9"/>
    <w:qFormat/>
    <w:rsid w:val="0055557D"/>
    <w:pPr>
      <w:spacing w:before="100" w:beforeAutospacing="1" w:after="100" w:afterAutospacing="1" w:line="240" w:lineRule="auto"/>
      <w:outlineLvl w:val="3"/>
    </w:pPr>
    <w:rPr>
      <w:rFonts w:ascii="Times New Roman" w:hAnsi="Times New Roman" w:eastAsia="Times New Roman" w:cs="Times New Roman"/>
      <w:b/>
      <w:bCs/>
      <w:sz w:val="24"/>
      <w:szCs w:val="24"/>
      <w:lang w:eastAsia="es-AR"/>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LUNES5" w:customStyle="1">
    <w:name w:val="LUNES 5"/>
    <w:basedOn w:val="Normal"/>
    <w:next w:val="Normal"/>
    <w:link w:val="LUNES5Car"/>
    <w:autoRedefine/>
    <w:qFormat/>
    <w:rsid w:val="00020B6F"/>
    <w:rPr>
      <w:color w:val="538135" w:themeColor="accent6" w:themeShade="BF"/>
      <w:u w:val="single"/>
    </w:rPr>
  </w:style>
  <w:style w:type="character" w:styleId="LUNES5Car" w:customStyle="1">
    <w:name w:val="LUNES 5 Car"/>
    <w:link w:val="LUNES5"/>
    <w:uiPriority w:val="1"/>
    <w:rsid w:val="5251F162"/>
    <w:rPr>
      <w:color w:val="538135" w:themeColor="accent6" w:themeShade="BF"/>
      <w:u w:val="single"/>
    </w:rPr>
  </w:style>
  <w:style w:type="character" w:styleId="Ttulo2Car" w:customStyle="1">
    <w:name w:val="Título 2 Car"/>
    <w:link w:val="Ttulo2"/>
    <w:uiPriority w:val="9"/>
    <w:rsid w:val="5251F162"/>
    <w:rPr>
      <w:rFonts w:ascii="Times New Roman" w:hAnsi="Times New Roman" w:eastAsia="Times New Roman" w:cs="Times New Roman"/>
      <w:b/>
      <w:bCs/>
      <w:sz w:val="36"/>
      <w:szCs w:val="36"/>
      <w:lang w:eastAsia="es-AR"/>
    </w:rPr>
  </w:style>
  <w:style w:type="character" w:styleId="Ttulo3Car" w:customStyle="1">
    <w:name w:val="Título 3 Car"/>
    <w:link w:val="Ttulo3"/>
    <w:uiPriority w:val="9"/>
    <w:rsid w:val="5251F162"/>
    <w:rPr>
      <w:rFonts w:ascii="Times New Roman" w:hAnsi="Times New Roman" w:eastAsia="Times New Roman" w:cs="Times New Roman"/>
      <w:b/>
      <w:bCs/>
      <w:sz w:val="27"/>
      <w:szCs w:val="27"/>
      <w:lang w:eastAsia="es-AR"/>
    </w:rPr>
  </w:style>
  <w:style w:type="character" w:styleId="Ttulo4Car" w:customStyle="1">
    <w:name w:val="Título 4 Car"/>
    <w:link w:val="Ttulo4"/>
    <w:uiPriority w:val="9"/>
    <w:rsid w:val="5251F162"/>
    <w:rPr>
      <w:rFonts w:ascii="Times New Roman" w:hAnsi="Times New Roman" w:eastAsia="Times New Roman" w:cs="Times New Roman"/>
      <w:b/>
      <w:bCs/>
      <w:sz w:val="24"/>
      <w:szCs w:val="24"/>
      <w:lang w:eastAsia="es-AR"/>
    </w:rPr>
  </w:style>
  <w:style w:type="character" w:styleId="nfasis">
    <w:name w:val="Emphasis"/>
    <w:uiPriority w:val="20"/>
    <w:qFormat/>
    <w:rsid w:val="5251F162"/>
    <w:rPr>
      <w:i/>
      <w:iCs/>
    </w:rPr>
  </w:style>
  <w:style w:type="paragraph" w:styleId="NormalWeb">
    <w:name w:val="Normal (Web)"/>
    <w:basedOn w:val="Normal"/>
    <w:uiPriority w:val="99"/>
    <w:semiHidden/>
    <w:unhideWhenUsed/>
    <w:rsid w:val="0055557D"/>
    <w:pPr>
      <w:spacing w:before="100" w:beforeAutospacing="1" w:after="100" w:afterAutospacing="1" w:line="240" w:lineRule="auto"/>
    </w:pPr>
    <w:rPr>
      <w:rFonts w:ascii="Times New Roman" w:hAnsi="Times New Roman" w:eastAsia="Times New Roman" w:cs="Times New Roman"/>
      <w:sz w:val="24"/>
      <w:szCs w:val="24"/>
      <w:lang w:eastAsia="es-AR"/>
    </w:rPr>
  </w:style>
  <w:style w:type="character" w:styleId="Fuerte">
    <w:name w:val="Strong"/>
    <w:uiPriority w:val="22"/>
    <w:qFormat/>
    <w:rsid w:val="5251F162"/>
    <w:rPr>
      <w:b/>
      <w:bCs/>
    </w:rPr>
  </w:style>
  <w:style w:type="character" w:styleId="Hipervnculo">
    <w:name w:val="Hyperlink"/>
    <w:uiPriority w:val="99"/>
    <w:semiHidden/>
    <w:unhideWhenUsed/>
    <w:rsid w:val="5251F162"/>
    <w:rPr>
      <w:color w:val="0000FF"/>
      <w:u w:val="single"/>
    </w:rPr>
  </w:style>
  <w:style w:type="paragraph" w:styleId="UNLAMPRIMERNIVEL" w:customStyle="true">
    <w:uiPriority w:val="1"/>
    <w:name w:val="UNLAM PRIMER NIVEL"/>
    <w:basedOn w:val="Normal"/>
    <w:link w:val="UNLAMPRIMERNIVELChar"/>
    <w:qFormat/>
    <w:rsid w:val="41C4D853"/>
    <w:rPr>
      <w:rFonts w:ascii="Calibri Light" w:hAnsi="Calibri Light" w:eastAsia="游ゴシック Light" w:cs="Times New Roman" w:asciiTheme="majorAscii" w:hAnsiTheme="majorAscii" w:eastAsiaTheme="majorEastAsia" w:cstheme="majorBidi"/>
      <w:color w:val="2E74B5" w:themeColor="accent1" w:themeTint="FF" w:themeShade="BF"/>
      <w:sz w:val="40"/>
      <w:szCs w:val="40"/>
    </w:rPr>
    <w:pPr>
      <w:keepNext w:val="1"/>
      <w:keepLines w:val="1"/>
      <w:spacing w:before="360" w:after="80"/>
      <w:outlineLvl w:val="0"/>
    </w:pPr>
  </w:style>
  <w:style w:type="character" w:styleId="UNLAMPRIMERNIVELChar" w:customStyle="true">
    <w:uiPriority w:val="1"/>
    <w:name w:val="UNLAM PRIMER NIVEL Char"/>
    <w:link w:val="UNLAMPRIMERNIVEL"/>
    <w:rsid w:val="41C4D853"/>
    <w:rPr>
      <w:rFonts w:ascii="Calibri Light" w:hAnsi="Calibri Light" w:eastAsia="游ゴシック Light" w:cs="Times New Roman" w:asciiTheme="majorAscii" w:hAnsiTheme="majorAscii" w:eastAsiaTheme="majorEastAsia" w:cstheme="majorBidi"/>
      <w:color w:val="2E74B5" w:themeColor="accent1" w:themeTint="FF" w:themeShade="BF"/>
      <w:sz w:val="40"/>
      <w:szCs w:val="40"/>
    </w:rPr>
  </w:style>
  <w:style w:type="paragraph" w:styleId="unlamsegundonivel" w:customStyle="1">
    <w:name w:val="unlam segundo nivel"/>
    <w:basedOn w:val="Normal"/>
    <w:link w:val="unlamsegundonivelChar"/>
    <w:uiPriority w:val="1"/>
    <w:qFormat/>
    <w:rsid w:val="5251F162"/>
    <w:pPr>
      <w:spacing w:beforeAutospacing="1" w:afterAutospacing="1" w:line="240" w:lineRule="auto"/>
      <w:outlineLvl w:val="1"/>
    </w:pPr>
    <w:rPr>
      <w:rFonts w:eastAsiaTheme="minorEastAsia"/>
      <w:b/>
      <w:bCs/>
      <w:sz w:val="36"/>
      <w:szCs w:val="36"/>
      <w:lang w:eastAsia="es-AR"/>
    </w:rPr>
  </w:style>
  <w:style w:type="character" w:styleId="unlamsegundonivelChar" w:customStyle="1">
    <w:name w:val="unlam segundo nivel Char"/>
    <w:link w:val="unlamsegundonivel"/>
    <w:rsid w:val="5251F162"/>
    <w:rPr>
      <w:rFonts w:asciiTheme="minorHAnsi" w:hAnsiTheme="minorHAnsi" w:eastAsiaTheme="minorEastAsia" w:cstheme="minorBidi"/>
      <w:b/>
      <w:bCs/>
      <w:sz w:val="36"/>
      <w:szCs w:val="36"/>
      <w:lang w:eastAsia="es-AR"/>
    </w:rPr>
  </w:style>
  <w:style w:type="paragraph" w:styleId="unlamtercernivel" w:customStyle="1">
    <w:name w:val="unlam tercer nivel"/>
    <w:basedOn w:val="Normal"/>
    <w:link w:val="unlamtercernivelChar"/>
    <w:uiPriority w:val="1"/>
    <w:qFormat/>
    <w:rsid w:val="5251F162"/>
    <w:pPr>
      <w:spacing w:beforeAutospacing="1" w:afterAutospacing="1" w:line="240" w:lineRule="auto"/>
      <w:outlineLvl w:val="2"/>
    </w:pPr>
    <w:rPr>
      <w:rFonts w:eastAsiaTheme="minorEastAsia"/>
      <w:b/>
      <w:bCs/>
      <w:sz w:val="27"/>
      <w:szCs w:val="27"/>
      <w:lang w:eastAsia="es-AR"/>
    </w:rPr>
  </w:style>
  <w:style w:type="character" w:styleId="unlamtercernivelChar" w:customStyle="1">
    <w:name w:val="unlam tercer nivel Char"/>
    <w:link w:val="unlamtercernivel"/>
    <w:rsid w:val="5251F162"/>
    <w:rPr>
      <w:rFonts w:asciiTheme="minorHAnsi" w:hAnsiTheme="minorHAnsi" w:eastAsiaTheme="minorEastAsia" w:cstheme="minorBidi"/>
      <w:b/>
      <w:bCs/>
      <w:sz w:val="27"/>
      <w:szCs w:val="27"/>
      <w:lang w:eastAsia="es-AR"/>
    </w:rPr>
  </w:style>
  <w:style w:type="paragraph" w:styleId="TDC1">
    <w:name w:val="toc 1"/>
    <w:basedOn w:val="Normal"/>
    <w:next w:val="Normal"/>
    <w:uiPriority w:val="39"/>
    <w:unhideWhenUsed/>
    <w:rsid w:val="5251F162"/>
    <w:pPr>
      <w:spacing w:after="100"/>
    </w:pPr>
  </w:style>
  <w:style w:type="paragraph" w:styleId="TDC2">
    <w:name w:val="toc 2"/>
    <w:basedOn w:val="Normal"/>
    <w:next w:val="Normal"/>
    <w:uiPriority w:val="39"/>
    <w:unhideWhenUsed/>
    <w:rsid w:val="5251F162"/>
    <w:pPr>
      <w:spacing w:after="100"/>
      <w:ind w:left="220"/>
    </w:pPr>
  </w:style>
  <w:style w:type="paragraph" w:styleId="TDC3">
    <w:name w:val="toc 3"/>
    <w:basedOn w:val="Normal"/>
    <w:next w:val="Normal"/>
    <w:uiPriority w:val="39"/>
    <w:unhideWhenUsed/>
    <w:rsid w:val="5251F16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3552770">
      <w:bodyDiv w:val="1"/>
      <w:marLeft w:val="0"/>
      <w:marRight w:val="0"/>
      <w:marTop w:val="0"/>
      <w:marBottom w:val="0"/>
      <w:divBdr>
        <w:top w:val="none" w:sz="0" w:space="0" w:color="auto"/>
        <w:left w:val="none" w:sz="0" w:space="0" w:color="auto"/>
        <w:bottom w:val="none" w:sz="0" w:space="0" w:color="auto"/>
        <w:right w:val="none" w:sz="0" w:space="0" w:color="auto"/>
      </w:divBdr>
      <w:divsChild>
        <w:div w:id="1059282555">
          <w:marLeft w:val="0"/>
          <w:marRight w:val="0"/>
          <w:marTop w:val="0"/>
          <w:marBottom w:val="0"/>
          <w:divBdr>
            <w:top w:val="none" w:sz="0" w:space="0" w:color="auto"/>
            <w:left w:val="none" w:sz="0" w:space="0" w:color="auto"/>
            <w:bottom w:val="single" w:sz="6" w:space="15" w:color="8D8D8D"/>
            <w:right w:val="none" w:sz="0" w:space="0" w:color="auto"/>
          </w:divBdr>
          <w:divsChild>
            <w:div w:id="1446459407">
              <w:marLeft w:val="0"/>
              <w:marRight w:val="0"/>
              <w:marTop w:val="0"/>
              <w:marBottom w:val="0"/>
              <w:divBdr>
                <w:top w:val="none" w:sz="0" w:space="0" w:color="auto"/>
                <w:left w:val="none" w:sz="0" w:space="0" w:color="auto"/>
                <w:bottom w:val="none" w:sz="0" w:space="0" w:color="auto"/>
                <w:right w:val="none" w:sz="0" w:space="0" w:color="auto"/>
              </w:divBdr>
            </w:div>
          </w:divsChild>
        </w:div>
        <w:div w:id="6406950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microsoft.com/office/2020/10/relationships/intelligence" Target="intelligence2.xml" Id="Rd6206d3bf8344d16"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Laboratorios</dc:creator>
  <keywords/>
  <dc:description/>
  <lastModifiedBy>CASTRO MIGUEL ANGEL</lastModifiedBy>
  <revision>4</revision>
  <dcterms:created xsi:type="dcterms:W3CDTF">2026-02-11T02:34:00.0000000Z</dcterms:created>
  <dcterms:modified xsi:type="dcterms:W3CDTF">2026-02-11T02:55:07.2581040Z</dcterms:modified>
</coreProperties>
</file>