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923E23" wp14:paraId="339612D0" wp14:textId="435E3404">
      <w:pPr>
        <w:spacing w:before="240" w:beforeAutospacing="off" w:after="240" w:afterAutospacing="off"/>
      </w:pPr>
      <w:r w:rsidRPr="33923E23" w:rsidR="0F980FEC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dominación colonial española y las transformaciones ocurridas entre los siglos XVIII y XIX. Como parte del Virreinato del Río de la Plata, la región tenía una economía basada en la agricultura, la ganadería y el comercio, aunque las restricciones impuestas por España generaron descontento social.</w:t>
      </w:r>
    </w:p>
    <w:p xmlns:wp14="http://schemas.microsoft.com/office/word/2010/wordml" w:rsidP="33923E23" wp14:paraId="05BB7311" wp14:textId="1657CF01">
      <w:pPr>
        <w:spacing w:before="240" w:beforeAutospacing="off" w:after="240" w:afterAutospacing="off"/>
      </w:pPr>
      <w:r w:rsidRPr="33923E23" w:rsidR="0F980FEC">
        <w:rPr>
          <w:rFonts w:ascii="Aptos" w:hAnsi="Aptos" w:eastAsia="Aptos" w:cs="Aptos"/>
          <w:noProof w:val="0"/>
          <w:sz w:val="24"/>
          <w:szCs w:val="24"/>
          <w:lang w:val="es-ES"/>
        </w:rPr>
        <w:t>Las ideas de la Ilustración y el impacto de las revoluciones de Estados Unidos y Francia promovieron principios como la soberanía popular y los derechos individuales, influyendo en los líderes criollos. La invasión napoleónica a España en 1808 y la captura del rey Fernando VII provocaron una crisis de poder que aceleró los movimientos independentistas en América.</w:t>
      </w:r>
    </w:p>
    <w:p xmlns:wp14="http://schemas.microsoft.com/office/word/2010/wordml" w:rsidP="33923E23" wp14:paraId="78EEC122" wp14:textId="0B4A5F45">
      <w:pPr>
        <w:spacing w:before="240" w:beforeAutospacing="off" w:after="240" w:afterAutospacing="off"/>
      </w:pPr>
      <w:r w:rsidRPr="33923E23" w:rsidR="0F980FEC">
        <w:rPr>
          <w:rFonts w:ascii="Aptos" w:hAnsi="Aptos" w:eastAsia="Aptos" w:cs="Aptos"/>
          <w:noProof w:val="0"/>
          <w:sz w:val="24"/>
          <w:szCs w:val="24"/>
          <w:lang w:val="es-ES"/>
        </w:rPr>
        <w:t>La Revolución de Mayo de 1810 marcó el inicio de la autonomía política al destituir al virrey y formar una Junta de Gobierno, aunque inicialmente se mantuvo una lealtad formal al rey español. El proceso culminó con la Declaración de Independencia el 9 de julio de 1816 en el Congreso de Tucumán, donde se proclamó la soberanía del nuevo Estado.</w:t>
      </w:r>
    </w:p>
    <w:p xmlns:wp14="http://schemas.microsoft.com/office/word/2010/wordml" w:rsidP="33923E23" wp14:paraId="05254F0E" wp14:textId="7EF2AACD">
      <w:pPr>
        <w:spacing w:before="240" w:beforeAutospacing="off" w:after="240" w:afterAutospacing="off"/>
      </w:pPr>
      <w:r w:rsidRPr="33923E23" w:rsidR="0F980FEC">
        <w:rPr>
          <w:rFonts w:ascii="Aptos" w:hAnsi="Aptos" w:eastAsia="Aptos" w:cs="Aptos"/>
          <w:noProof w:val="0"/>
          <w:sz w:val="24"/>
          <w:szCs w:val="24"/>
          <w:lang w:val="es-ES"/>
        </w:rPr>
        <w:t>La independencia se consolidó mediante conflictos militares liderados por figuras clave como José de San Martín y Manuel Belgrano, quienes jugaron un papel fundamental en la liberación del territorio y de otras regiones de América del Sur. Este proceso no solo dio origen a una nación soberana, sino que también dejó un legado duradero basado en los ideales de libertad, justicia y autodeterminación.</w:t>
      </w:r>
    </w:p>
    <w:p xmlns:wp14="http://schemas.microsoft.com/office/word/2010/wordml" w:rsidP="33923E23" wp14:paraId="7A1A4429" wp14:textId="00DC89B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3923E23" wp14:paraId="71BFB07B" wp14:textId="121F08DD">
      <w:pPr>
        <w:pStyle w:val="Normal"/>
        <w:spacing w:before="240" w:beforeAutospacing="off" w:after="240" w:afterAutospacing="off"/>
      </w:pPr>
      <w:r w:rsidR="107538E5">
        <w:drawing>
          <wp:inline xmlns:wp14="http://schemas.microsoft.com/office/word/2010/wordprocessingDrawing" wp14:editId="5890A1FF" wp14:anchorId="2FAA1324">
            <wp:extent cx="5105400" cy="5724525"/>
            <wp:effectExtent l="0" t="0" r="0" b="0"/>
            <wp:docPr id="667823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23372" name="Picture 667823372"/>
                    <pic:cNvPicPr/>
                  </pic:nvPicPr>
                  <pic:blipFill>
                    <a:blip xmlns:r="http://schemas.openxmlformats.org/officeDocument/2006/relationships" r:embed="rId682260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58DE3B3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59CA87"/>
    <w:rsid w:val="0F980FEC"/>
    <w:rsid w:val="107538E5"/>
    <w:rsid w:val="33923E23"/>
    <w:rsid w:val="42D765C1"/>
    <w:rsid w:val="6259C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1D40"/>
  <w15:chartTrackingRefBased/>
  <w15:docId w15:val="{BF5AD77E-9DE7-4ECB-90A3-25B6DA7D1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22608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2026-02-06T00:26:46.2032046Z</dcterms:created>
  <dcterms:modified xsi:type="dcterms:W3CDTF">2026-02-06T00:34:05.1374199Z</dcterms:modified>
  <dc:creator>NECEFOR SHEILA MARIEL</dc:creator>
  <lastModifiedBy>NECEFOR SHEILA MARIEL</lastModifiedBy>
</coreProperties>
</file>