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7DE606D" wp14:paraId="2FA4D584" wp14:textId="092F5083">
      <w:pPr>
        <w:spacing w:before="240" w:beforeAutospacing="off" w:after="240" w:afterAutospacing="off"/>
      </w:pPr>
      <w:r w:rsidRPr="17DE606D" w:rsidR="2CFA563E">
        <w:rPr>
          <w:rFonts w:ascii="Aptos" w:hAnsi="Aptos" w:eastAsia="Aptos" w:cs="Aptos"/>
          <w:noProof w:val="0"/>
          <w:sz w:val="24"/>
          <w:szCs w:val="24"/>
          <w:lang w:val="es-ES"/>
        </w:rPr>
        <w:t xml:space="preserve">¡Claro! Acá tenés un </w:t>
      </w:r>
      <w:r w:rsidRPr="17DE606D" w:rsidR="2CFA563E">
        <w:rPr>
          <w:rFonts w:ascii="Aptos" w:hAnsi="Aptos" w:eastAsia="Aptos" w:cs="Aptos"/>
          <w:b w:val="1"/>
          <w:bCs w:val="1"/>
          <w:noProof w:val="0"/>
          <w:sz w:val="24"/>
          <w:szCs w:val="24"/>
          <w:lang w:val="es-ES"/>
        </w:rPr>
        <w:t>resumen claro y sintético</w:t>
      </w:r>
      <w:r w:rsidRPr="17DE606D" w:rsidR="2CFA563E">
        <w:rPr>
          <w:rFonts w:ascii="Aptos" w:hAnsi="Aptos" w:eastAsia="Aptos" w:cs="Aptos"/>
          <w:noProof w:val="0"/>
          <w:sz w:val="24"/>
          <w:szCs w:val="24"/>
          <w:lang w:val="es-ES"/>
        </w:rPr>
        <w:t xml:space="preserve"> del texto:</w:t>
      </w:r>
    </w:p>
    <w:p xmlns:wp14="http://schemas.microsoft.com/office/word/2010/wordml" w:rsidP="17DE606D" wp14:paraId="46B7D60A" wp14:textId="2714678A">
      <w:pPr>
        <w:spacing w:before="240" w:beforeAutospacing="off" w:after="240" w:afterAutospacing="off"/>
      </w:pPr>
      <w:r w:rsidRPr="17DE606D" w:rsidR="2CFA563E">
        <w:rPr>
          <w:rFonts w:ascii="Aptos" w:hAnsi="Aptos" w:eastAsia="Aptos" w:cs="Aptos"/>
          <w:noProof w:val="0"/>
          <w:sz w:val="24"/>
          <w:szCs w:val="24"/>
          <w:lang w:val="es-ES"/>
        </w:rPr>
        <w:t>El proceso de independencia de Argentina se desarrolló en un contexto histórico, social y político complejo, marcado por el dominio colonial español y las transformaciones ocurridas a fines del siglo XVIII y comienzos del XIX. Como parte del Virreinato del Río de la Plata, la región estaba organizada para beneficiar a la Corona española, con una economía basada en la agricultura, la ganadería y el comercio, lo que generó descontento social debido a las restricciones impuestas por la metrópoli.</w:t>
      </w:r>
    </w:p>
    <w:p xmlns:wp14="http://schemas.microsoft.com/office/word/2010/wordml" w:rsidP="17DE606D" wp14:paraId="057EFCF2" wp14:textId="0DCC8AFA">
      <w:pPr>
        <w:spacing w:before="240" w:beforeAutospacing="off" w:after="240" w:afterAutospacing="off"/>
      </w:pPr>
      <w:r w:rsidRPr="17DE606D" w:rsidR="2CFA563E">
        <w:rPr>
          <w:rFonts w:ascii="Aptos" w:hAnsi="Aptos" w:eastAsia="Aptos" w:cs="Aptos"/>
          <w:noProof w:val="0"/>
          <w:sz w:val="24"/>
          <w:szCs w:val="24"/>
          <w:lang w:val="es-ES"/>
        </w:rPr>
        <w:t>Las ideas de la Ilustración y el impacto de las revoluciones de Estados Unidos y Francia impulsaron a los criollos a cuestionar el orden colonial y a reclamar mayor autonomía. A esto se sumó la crisis política en España tras la invasión napoleónica de 1808, que debilitó la autoridad del rey y aceleró los movimientos independentistas en América.</w:t>
      </w:r>
    </w:p>
    <w:p xmlns:wp14="http://schemas.microsoft.com/office/word/2010/wordml" w:rsidP="17DE606D" wp14:paraId="0AFC0E45" wp14:textId="1FB63FFA">
      <w:pPr>
        <w:spacing w:before="240" w:beforeAutospacing="off" w:after="240" w:afterAutospacing="off"/>
      </w:pPr>
      <w:r w:rsidRPr="17DE606D" w:rsidR="2CFA563E">
        <w:rPr>
          <w:rFonts w:ascii="Aptos" w:hAnsi="Aptos" w:eastAsia="Aptos" w:cs="Aptos"/>
          <w:noProof w:val="0"/>
          <w:sz w:val="24"/>
          <w:szCs w:val="24"/>
          <w:lang w:val="es-ES"/>
        </w:rPr>
        <w:t>La Revolución de Mayo de 1810 marcó el inicio del proceso de autonomía política en Argentina con la formación de un gobierno propio, aunque inicialmente se mantuvo una lealtad formal al rey español. El proceso culminó en 1816 con la Declaración de la Independencia en el Congreso de Tucumán, que proclamó la soberanía de la nueva nación.</w:t>
      </w:r>
    </w:p>
    <w:p xmlns:wp14="http://schemas.microsoft.com/office/word/2010/wordml" w:rsidP="17DE606D" wp14:paraId="02A7CE6E" wp14:textId="345B4C3C">
      <w:pPr>
        <w:spacing w:before="240" w:beforeAutospacing="off" w:after="240" w:afterAutospacing="off"/>
      </w:pPr>
      <w:r w:rsidRPr="17DE606D" w:rsidR="2CFA563E">
        <w:rPr>
          <w:rFonts w:ascii="Aptos" w:hAnsi="Aptos" w:eastAsia="Aptos" w:cs="Aptos"/>
          <w:noProof w:val="0"/>
          <w:sz w:val="24"/>
          <w:szCs w:val="24"/>
          <w:lang w:val="es-ES"/>
        </w:rPr>
        <w:t>La independencia estuvo acompañada de conflictos militares y del liderazgo de figuras clave como José de San Martín y Manuel Belgrano, quienes contribuyeron decisivamente a la liberación del territorio y de otras regiones de América del Sur. Este proceso no solo dio origen a la nación argentina, sino que también dejó un legado duradero de ideales de libertad, autodeterminación y justicia que influyeron en toda la región.</w:t>
      </w:r>
    </w:p>
    <w:p xmlns:wp14="http://schemas.microsoft.com/office/word/2010/wordml" wp14:paraId="5C1A07E2" wp14:textId="33E6AC2C"/>
    <w:p w:rsidR="68E60189" w:rsidP="17DE606D" w:rsidRDefault="68E60189" w14:paraId="39F97B50" w14:textId="489316BD">
      <w:pPr>
        <w:pStyle w:val="Normal"/>
      </w:pPr>
      <w:r w:rsidR="68E60189">
        <w:drawing>
          <wp:inline wp14:editId="1F740487" wp14:anchorId="2C87721D">
            <wp:extent cx="5724525" cy="2657527"/>
            <wp:effectExtent l="0" t="0" r="0" b="0"/>
            <wp:docPr id="1437818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818456" name="Picture 1437818456"/>
                    <pic:cNvPicPr/>
                  </pic:nvPicPr>
                  <pic:blipFill>
                    <a:blip xmlns:r="http://schemas.openxmlformats.org/officeDocument/2006/relationships" r:embed="rId1630961920">
                      <a:extLst>
                        <a:ext uri="{28A0092B-C50C-407E-A947-70E740481C1C}">
                          <a14:useLocalDpi xmlns:a14="http://schemas.microsoft.com/office/drawing/2010/main"/>
                        </a:ext>
                      </a:extLst>
                    </a:blip>
                    <a:srcRect l="0" t="12721" r="0" b="4733"/>
                    <a:stretch>
                      <a:fillRect/>
                    </a:stretch>
                  </pic:blipFill>
                  <pic:spPr>
                    <a:xfrm rot="0">
                      <a:off x="0" y="0"/>
                      <a:ext cx="5724525" cy="2657527"/>
                    </a:xfrm>
                    <a:prstGeom prst="rect">
                      <a:avLst/>
                    </a:prstGeom>
                  </pic:spPr>
                </pic:pic>
              </a:graphicData>
            </a:graphic>
          </wp:inline>
        </w:drawing>
      </w:r>
    </w:p>
    <w:p w:rsidR="72361F2B" w:rsidP="17DE606D" w:rsidRDefault="72361F2B" w14:paraId="32114B0F" w14:textId="4527D276">
      <w:pPr>
        <w:pStyle w:val="Normal"/>
      </w:pPr>
      <w:r w:rsidR="72361F2B">
        <w:drawing>
          <wp:inline wp14:editId="3DECE21E" wp14:anchorId="5DCAF4E2">
            <wp:extent cx="5724525" cy="2686084"/>
            <wp:effectExtent l="0" t="0" r="0" b="0"/>
            <wp:docPr id="1058593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593396" name="Picture 1058593396"/>
                    <pic:cNvPicPr/>
                  </pic:nvPicPr>
                  <pic:blipFill>
                    <a:blip xmlns:r="http://schemas.openxmlformats.org/officeDocument/2006/relationships" r:embed="rId1642926422">
                      <a:extLst>
                        <a:ext uri="{28A0092B-C50C-407E-A947-70E740481C1C}">
                          <a14:useLocalDpi xmlns:a14="http://schemas.microsoft.com/office/drawing/2010/main"/>
                        </a:ext>
                      </a:extLst>
                    </a:blip>
                    <a:srcRect l="0" t="11538" r="0" b="5029"/>
                    <a:stretch>
                      <a:fillRect/>
                    </a:stretch>
                  </pic:blipFill>
                  <pic:spPr>
                    <a:xfrm rot="0">
                      <a:off x="0" y="0"/>
                      <a:ext cx="5724525" cy="2686084"/>
                    </a:xfrm>
                    <a:prstGeom prst="rect">
                      <a:avLst/>
                    </a:prstGeom>
                  </pic:spPr>
                </pic:pic>
              </a:graphicData>
            </a:graphic>
          </wp:inline>
        </w:drawing>
      </w:r>
    </w:p>
    <w:p w:rsidR="72361F2B" w:rsidP="17DE606D" w:rsidRDefault="72361F2B" w14:paraId="51A25B8D" w14:textId="4F366147">
      <w:pPr>
        <w:pStyle w:val="Normal"/>
      </w:pPr>
      <w:r w:rsidR="72361F2B">
        <w:drawing>
          <wp:inline wp14:editId="57C86EFA" wp14:anchorId="0F3BF621">
            <wp:extent cx="5724525" cy="2476530"/>
            <wp:effectExtent l="0" t="0" r="0" b="0"/>
            <wp:docPr id="947494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494118" name="Picture 947494118"/>
                    <pic:cNvPicPr/>
                  </pic:nvPicPr>
                  <pic:blipFill>
                    <a:blip xmlns:r="http://schemas.openxmlformats.org/officeDocument/2006/relationships" r:embed="rId500693819">
                      <a:extLst>
                        <a:ext uri="{28A0092B-C50C-407E-A947-70E740481C1C}">
                          <a14:useLocalDpi xmlns:a14="http://schemas.microsoft.com/office/drawing/2010/main"/>
                        </a:ext>
                      </a:extLst>
                    </a:blip>
                    <a:srcRect l="0" t="11834" r="0" b="11242"/>
                    <a:stretch>
                      <a:fillRect/>
                    </a:stretch>
                  </pic:blipFill>
                  <pic:spPr>
                    <a:xfrm rot="0">
                      <a:off x="0" y="0"/>
                      <a:ext cx="5724525" cy="2476530"/>
                    </a:xfrm>
                    <a:prstGeom prst="rect">
                      <a:avLst/>
                    </a:prstGeom>
                  </pic:spPr>
                </pic:pic>
              </a:graphicData>
            </a:graphic>
          </wp:inline>
        </w:drawing>
      </w:r>
    </w:p>
    <w:sectPr>
      <w:pgSz w:w="11906" w:h="16838" w:orient="portrait"/>
      <w:pgMar w:top="1440" w:right="1440" w:bottom="1440" w:left="1440" w:header="720" w:footer="720" w:gutter="0"/>
      <w:cols w:space="720"/>
      <w:docGrid w:linePitch="360"/>
      <w:headerReference w:type="default" r:id="R90ce622e04644971"/>
      <w:footerReference w:type="default" r:id="R4c176fc247044b0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7DE606D" w:rsidTr="17DE606D" w14:paraId="4DC264DB">
      <w:trPr>
        <w:trHeight w:val="300"/>
      </w:trPr>
      <w:tc>
        <w:tcPr>
          <w:tcW w:w="3005" w:type="dxa"/>
          <w:tcMar/>
        </w:tcPr>
        <w:p w:rsidR="17DE606D" w:rsidP="17DE606D" w:rsidRDefault="17DE606D" w14:paraId="235D87FF" w14:textId="437A5C22">
          <w:pPr>
            <w:pStyle w:val="Header"/>
            <w:bidi w:val="0"/>
            <w:ind w:left="-115"/>
            <w:jc w:val="left"/>
          </w:pPr>
        </w:p>
      </w:tc>
      <w:tc>
        <w:tcPr>
          <w:tcW w:w="3005" w:type="dxa"/>
          <w:tcMar/>
        </w:tcPr>
        <w:p w:rsidR="17DE606D" w:rsidP="17DE606D" w:rsidRDefault="17DE606D" w14:paraId="7D48FE60" w14:textId="11B896FB">
          <w:pPr>
            <w:pStyle w:val="Header"/>
            <w:bidi w:val="0"/>
            <w:jc w:val="center"/>
          </w:pPr>
        </w:p>
      </w:tc>
      <w:tc>
        <w:tcPr>
          <w:tcW w:w="3005" w:type="dxa"/>
          <w:tcMar/>
        </w:tcPr>
        <w:p w:rsidR="17DE606D" w:rsidP="17DE606D" w:rsidRDefault="17DE606D" w14:paraId="0175B7EE" w14:textId="7998BECD">
          <w:pPr>
            <w:pStyle w:val="Header"/>
            <w:bidi w:val="0"/>
            <w:ind w:right="-115"/>
            <w:jc w:val="right"/>
          </w:pPr>
        </w:p>
      </w:tc>
    </w:tr>
  </w:tbl>
  <w:p w:rsidR="17DE606D" w:rsidP="17DE606D" w:rsidRDefault="17DE606D" w14:paraId="289F5DF6" w14:textId="369E569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7DE606D" w:rsidTr="17DE606D" w14:paraId="7B0E2257">
      <w:trPr>
        <w:trHeight w:val="300"/>
      </w:trPr>
      <w:tc>
        <w:tcPr>
          <w:tcW w:w="3005" w:type="dxa"/>
          <w:tcMar/>
        </w:tcPr>
        <w:p w:rsidR="17DE606D" w:rsidP="17DE606D" w:rsidRDefault="17DE606D" w14:paraId="781459F6" w14:textId="64B2DC61">
          <w:pPr>
            <w:pStyle w:val="Header"/>
            <w:bidi w:val="0"/>
            <w:ind w:left="-115"/>
            <w:jc w:val="left"/>
          </w:pPr>
          <w:r w:rsidR="17DE606D">
            <w:rPr/>
            <w:t>Computación</w:t>
          </w:r>
          <w:r w:rsidR="17DE606D">
            <w:rPr/>
            <w:t xml:space="preserve"> II</w:t>
          </w:r>
        </w:p>
      </w:tc>
      <w:tc>
        <w:tcPr>
          <w:tcW w:w="3005" w:type="dxa"/>
          <w:tcMar/>
        </w:tcPr>
        <w:p w:rsidR="17DE606D" w:rsidP="17DE606D" w:rsidRDefault="17DE606D" w14:paraId="6EC4BA4E" w14:textId="5FB08B33">
          <w:pPr>
            <w:pStyle w:val="Header"/>
            <w:bidi w:val="0"/>
            <w:jc w:val="center"/>
          </w:pPr>
          <w:r w:rsidR="17DE606D">
            <w:rPr/>
            <w:t>Florencia Maia Encina</w:t>
          </w:r>
        </w:p>
      </w:tc>
      <w:tc>
        <w:tcPr>
          <w:tcW w:w="3005" w:type="dxa"/>
          <w:tcMar/>
        </w:tcPr>
        <w:p w:rsidR="17DE606D" w:rsidP="17DE606D" w:rsidRDefault="17DE606D" w14:paraId="3C4B6C29" w14:textId="6730BC0A">
          <w:pPr>
            <w:pStyle w:val="Header"/>
            <w:bidi w:val="0"/>
            <w:ind w:right="-115"/>
            <w:jc w:val="right"/>
          </w:pPr>
          <w:r w:rsidR="17DE606D">
            <w:rPr/>
            <w:t>DNI: 41.853.542</w:t>
          </w:r>
        </w:p>
      </w:tc>
    </w:tr>
  </w:tbl>
  <w:p w:rsidR="17DE606D" w:rsidP="17DE606D" w:rsidRDefault="17DE606D" w14:paraId="5DCA09CC" w14:textId="499FB5B3">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5D0E6B"/>
    <w:rsid w:val="0D721B35"/>
    <w:rsid w:val="17DE606D"/>
    <w:rsid w:val="1C51D908"/>
    <w:rsid w:val="2CFA563E"/>
    <w:rsid w:val="405D0E6B"/>
    <w:rsid w:val="5566933A"/>
    <w:rsid w:val="5CE14442"/>
    <w:rsid w:val="65AA86C2"/>
    <w:rsid w:val="68E60189"/>
    <w:rsid w:val="6CE96CBB"/>
    <w:rsid w:val="72361F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0E6B"/>
  <w15:chartTrackingRefBased/>
  <w15:docId w15:val="{5DA4D5E5-2BB1-4CD6-AD6C-E381E14141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7DE606D"/>
    <w:pPr>
      <w:tabs>
        <w:tab w:val="center" w:leader="none" w:pos="4680"/>
        <w:tab w:val="right" w:leader="none" w:pos="9360"/>
      </w:tabs>
      <w:spacing w:after="0" w:line="240" w:lineRule="auto"/>
    </w:pPr>
  </w:style>
  <w:style w:type="paragraph" w:styleId="Footer">
    <w:uiPriority w:val="99"/>
    <w:name w:val="footer"/>
    <w:basedOn w:val="Normal"/>
    <w:unhideWhenUsed/>
    <w:rsid w:val="17DE606D"/>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30961920" /><Relationship Type="http://schemas.openxmlformats.org/officeDocument/2006/relationships/image" Target="/media/image2.png" Id="rId1642926422" /><Relationship Type="http://schemas.openxmlformats.org/officeDocument/2006/relationships/image" Target="/media/image3.png" Id="rId500693819" /><Relationship Type="http://schemas.openxmlformats.org/officeDocument/2006/relationships/header" Target="header.xml" Id="R90ce622e04644971" /><Relationship Type="http://schemas.openxmlformats.org/officeDocument/2006/relationships/footer" Target="footer.xml" Id="R4c176fc247044b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2026-02-07T14:54:13.6371842Z</dcterms:created>
  <dcterms:modified xsi:type="dcterms:W3CDTF">2026-02-07T15:06:47.0147367Z</dcterms:modified>
  <dc:creator>FLORENCIA MAIA ENCINA</dc:creator>
  <lastModifiedBy>FLORENCIA MAIA ENCINA</lastModifiedBy>
</coreProperties>
</file>