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color w:val="888888"/>
          <w:sz w:val="20"/>
          <w:szCs w:val="20"/>
        </w:rPr>
        <w:t xml:space="preserve">حقيبة تدريبية تفاعلية — Course 10</w:t>
      </w:r>
    </w:p>
    <w:p>
      <w:pPr>
        <w:spacing w:after="40"/>
        <w:jc w:val="center"/>
      </w:pPr>
      <w:r>
        <w:rPr>
          <w:rFonts w:ascii="Calibri" w:cs="Calibri" w:eastAsia="Calibri" w:hAnsi="Calibri"/>
          <w:b/>
          <w:bCs/>
          <w:color w:val="1E4620"/>
          <w:sz w:val="44"/>
          <w:szCs w:val="44"/>
        </w:rPr>
        <w:t xml:space="preserve">التنظيم الاقتصادي — تقييم التقنيات الصحية</w:t>
      </w:r>
    </w:p>
    <w:p>
      <w:pPr>
        <w:spacing w:after="300"/>
        <w:jc w:val="center"/>
      </w:pPr>
      <w:r>
        <w:rPr>
          <w:rFonts w:ascii="Calibri" w:cs="Calibri" w:eastAsia="Calibri" w:hAnsi="Calibri"/>
          <w:i/>
          <w:iCs/>
          <w:color w:val="556B2F"/>
          <w:sz w:val="24"/>
          <w:szCs w:val="24"/>
        </w:rPr>
        <w:t xml:space="preserve">سكريبت سرد ناصر — نسخة للمراجعة والموافقة</w:t>
      </w:r>
    </w:p>
    <w:p>
      <w:pPr>
        <w:bidi/>
        <w:spacing w:after="200"/>
        <w:jc w:val="right"/>
      </w:pPr>
      <w:r>
        <w:rPr>
          <w:rFonts w:ascii="Calibri" w:cs="Calibri" w:eastAsia="Calibri" w:hAnsi="Calibri"/>
          <w:i/>
          <w:iCs/>
          <w:color w:val="7A7A7A"/>
          <w:sz w:val="20"/>
          <w:szCs w:val="20"/>
        </w:rPr>
        <w:t xml:space="preserve">هذا المستند مخصص لمراجعة العميل والموافقة على النص فقط. الترقيم بالوحدات (1-5) يطابق أيام التدريب الخمسة في دليل المتدرب المرجعي. سيتم إنتاج الصوت عبر ElevenLabs بعد اعتماد هذا النص حرفيًا، لذلك أي تعديل الرجاء إدخاله هنا مباشرة قبل التسجيل.</w:t>
      </w:r>
    </w:p>
    <w:p>
      <w:pPr>
        <w:pBdr>
          <w:bottom w:val="single" w:color="C9C9C9" w:sz="6"/>
        </w:pBdr>
        <w:spacing w:after="200" w:before="200"/>
      </w:pPr>
    </w:p>
    <w:p>
      <w:pPr>
        <w:pStyle w:val="Heading1"/>
        <w:bidi/>
        <w:spacing w:after="200" w:before="400"/>
        <w:jc w:val="right"/>
      </w:pPr>
      <w:r>
        <w:rPr>
          <w:rFonts w:ascii="Calibri" w:cs="Calibri" w:eastAsia="Calibri" w:hAnsi="Calibri"/>
          <w:b/>
          <w:bCs/>
          <w:color w:val="1E4620"/>
          <w:sz w:val="32"/>
          <w:szCs w:val="32"/>
        </w:rPr>
        <w:t xml:space="preserve">مقدمة الحقيبة</w:t>
      </w:r>
    </w:p>
    <w:p>
      <w:pPr>
        <w:bidi/>
        <w:spacing w:after="160" w:line="300"/>
        <w:jc w:val="right"/>
      </w:pPr>
      <w:r>
        <w:rPr>
          <w:rFonts w:ascii="Calibri" w:cs="Calibri" w:eastAsia="Calibri" w:hAnsi="Calibri"/>
          <w:b w:val="false"/>
          <w:bCs w:val="false"/>
          <w:i w:val="false"/>
          <w:iCs w:val="false"/>
          <w:sz w:val="22"/>
          <w:szCs w:val="22"/>
        </w:rPr>
        <w:t xml:space="preserve">أهلًا بكم في حقيبة "التنظيم الاقتصادي: تقييم التقنيات الصحية". أنا ناصر، وسأكون معكم خلال هذه الرحلة التدريبية التي تتناول كيف تُقيَّم التقنيات الصحية، وكيف تُدار بياناتها، وكيف تُحكم رقميًا وأمنيًا وأخلاقيًا وقانونيًا.</w:t>
      </w:r>
    </w:p>
    <w:p>
      <w:pPr>
        <w:bidi/>
        <w:spacing w:after="160" w:line="300"/>
        <w:jc w:val="right"/>
      </w:pPr>
      <w:r>
        <w:rPr>
          <w:rFonts w:ascii="Calibri" w:cs="Calibri" w:eastAsia="Calibri" w:hAnsi="Calibri"/>
          <w:b w:val="false"/>
          <w:bCs w:val="false"/>
          <w:i w:val="false"/>
          <w:iCs w:val="false"/>
          <w:sz w:val="22"/>
          <w:szCs w:val="22"/>
        </w:rPr>
        <w:t xml:space="preserve">نعيش اليوم تحولًا رقميًا متسارعًا في القطاع الصحي، من السجلات الإلكترونية إلى الذكاء الاصطناعي والطب عن بُعد. هذه الحقيبة تمنحكم الإطار الكامل لفهم هذا التحول، وتقييمه، وحوكمته بمسؤولية.</w:t>
      </w:r>
    </w:p>
    <w:p>
      <w:pPr>
        <w:bidi/>
        <w:spacing w:after="160" w:line="300"/>
        <w:jc w:val="right"/>
      </w:pPr>
      <w:r>
        <w:rPr>
          <w:rFonts w:ascii="Calibri" w:cs="Calibri" w:eastAsia="Calibri" w:hAnsi="Calibri"/>
          <w:b w:val="false"/>
          <w:bCs w:val="false"/>
          <w:i w:val="false"/>
          <w:iCs w:val="false"/>
          <w:sz w:val="22"/>
          <w:szCs w:val="22"/>
        </w:rPr>
        <w:t xml:space="preserve">بنهاية هذه الحقيبة، ستكونون قادرين على فهم ماهية التقنيات الصحية وحوكمتها بشكل شامل، من التقييم الاقتصادي والسريري، مرورًا بإدارة البيانات والتشغيل البيني، وصولًا إلى الأمن السيبراني والأطر القانونية والأخلاقية.</w:t>
      </w:r>
    </w:p>
    <w:p>
      <w:pPr>
        <w:bidi/>
        <w:spacing w:after="80"/>
        <w:jc w:val="right"/>
      </w:pPr>
      <w:r>
        <w:rPr>
          <w:rFonts w:ascii="Calibri" w:cs="Calibri" w:eastAsia="Calibri" w:hAnsi="Calibri"/>
          <w:b/>
          <w:bCs/>
          <w:color w:val="1E4620"/>
          <w:sz w:val="21"/>
          <w:szCs w:val="21"/>
        </w:rPr>
        <w:t xml:space="preserve">الوحدة الأولى</w:t>
      </w:r>
      <w:r>
        <w:rPr>
          <w:rFonts w:ascii="Calibri" w:cs="Calibri" w:eastAsia="Calibri" w:hAnsi="Calibri"/>
          <w:color w:val="444444"/>
          <w:sz w:val="20"/>
          <w:szCs w:val="20"/>
        </w:rPr>
        <w:t xml:space="preserve">  —  الإطار العام لتقييم التقنيات الصحية والتحول الرقمي</w:t>
      </w:r>
    </w:p>
    <w:p>
      <w:pPr>
        <w:bidi/>
        <w:spacing w:after="80"/>
        <w:jc w:val="right"/>
      </w:pPr>
      <w:r>
        <w:rPr>
          <w:rFonts w:ascii="Calibri" w:cs="Calibri" w:eastAsia="Calibri" w:hAnsi="Calibri"/>
          <w:b/>
          <w:bCs/>
          <w:color w:val="1E4620"/>
          <w:sz w:val="21"/>
          <w:szCs w:val="21"/>
        </w:rPr>
        <w:t xml:space="preserve">الوحدة الثانية</w:t>
      </w:r>
      <w:r>
        <w:rPr>
          <w:rFonts w:ascii="Calibri" w:cs="Calibri" w:eastAsia="Calibri" w:hAnsi="Calibri"/>
          <w:color w:val="444444"/>
          <w:sz w:val="20"/>
          <w:szCs w:val="20"/>
        </w:rPr>
        <w:t xml:space="preserve">  —  المعلوماتية الصحية وإدارة البيانات</w:t>
      </w:r>
    </w:p>
    <w:p>
      <w:pPr>
        <w:bidi/>
        <w:spacing w:after="80"/>
        <w:jc w:val="right"/>
      </w:pPr>
      <w:r>
        <w:rPr>
          <w:rFonts w:ascii="Calibri" w:cs="Calibri" w:eastAsia="Calibri" w:hAnsi="Calibri"/>
          <w:b/>
          <w:bCs/>
          <w:color w:val="1E4620"/>
          <w:sz w:val="21"/>
          <w:szCs w:val="21"/>
        </w:rPr>
        <w:t xml:space="preserve">الوحدة الثالثة</w:t>
      </w:r>
      <w:r>
        <w:rPr>
          <w:rFonts w:ascii="Calibri" w:cs="Calibri" w:eastAsia="Calibri" w:hAnsi="Calibri"/>
          <w:color w:val="444444"/>
          <w:sz w:val="20"/>
          <w:szCs w:val="20"/>
        </w:rPr>
        <w:t xml:space="preserve">  —  التشغيل البيني والمعايير الصحية</w:t>
      </w:r>
    </w:p>
    <w:p>
      <w:pPr>
        <w:bidi/>
        <w:spacing w:after="80"/>
        <w:jc w:val="right"/>
      </w:pPr>
      <w:r>
        <w:rPr>
          <w:rFonts w:ascii="Calibri" w:cs="Calibri" w:eastAsia="Calibri" w:hAnsi="Calibri"/>
          <w:b/>
          <w:bCs/>
          <w:color w:val="1E4620"/>
          <w:sz w:val="21"/>
          <w:szCs w:val="21"/>
        </w:rPr>
        <w:t xml:space="preserve">الوحدة الرابعة</w:t>
      </w:r>
      <w:r>
        <w:rPr>
          <w:rFonts w:ascii="Calibri" w:cs="Calibri" w:eastAsia="Calibri" w:hAnsi="Calibri"/>
          <w:color w:val="444444"/>
          <w:sz w:val="20"/>
          <w:szCs w:val="20"/>
        </w:rPr>
        <w:t xml:space="preserve">  —  الأمن السيبراني والخصوصية والثقة</w:t>
      </w:r>
    </w:p>
    <w:p>
      <w:pPr>
        <w:bidi/>
        <w:spacing w:after="80"/>
        <w:jc w:val="right"/>
      </w:pPr>
      <w:r>
        <w:rPr>
          <w:rFonts w:ascii="Calibri" w:cs="Calibri" w:eastAsia="Calibri" w:hAnsi="Calibri"/>
          <w:b/>
          <w:bCs/>
          <w:color w:val="1E4620"/>
          <w:sz w:val="21"/>
          <w:szCs w:val="21"/>
        </w:rPr>
        <w:t xml:space="preserve">الوحدة الخامسة</w:t>
      </w:r>
      <w:r>
        <w:rPr>
          <w:rFonts w:ascii="Calibri" w:cs="Calibri" w:eastAsia="Calibri" w:hAnsi="Calibri"/>
          <w:color w:val="444444"/>
          <w:sz w:val="20"/>
          <w:szCs w:val="20"/>
        </w:rPr>
        <w:t xml:space="preserve">  —  الأطر القانونية، الأخلاقيات، والتعاون</w:t>
      </w:r>
    </w:p>
    <w:p>
      <w:pPr>
        <w:pBdr>
          <w:bottom w:val="single" w:color="C9C9C9" w:sz="6"/>
        </w:pBdr>
        <w:spacing w:after="200" w:before="200"/>
      </w:pPr>
    </w:p>
    <w:p>
      <w:pPr>
        <w:pStyle w:val="Heading1"/>
        <w:bidi/>
        <w:spacing w:after="200" w:before="400"/>
        <w:jc w:val="right"/>
      </w:pPr>
      <w:r>
        <w:rPr>
          <w:rFonts w:ascii="Calibri" w:cs="Calibri" w:eastAsia="Calibri" w:hAnsi="Calibri"/>
          <w:b/>
          <w:bCs/>
          <w:color w:val="1E4620"/>
          <w:sz w:val="32"/>
          <w:szCs w:val="32"/>
        </w:rPr>
        <w:t xml:space="preserve">الوحدة الأولى — الإطار العام لتقييم التقنيات الصحية والتحول الرقمي</w:t>
      </w:r>
    </w:p>
    <w:p>
      <w:pPr>
        <w:pStyle w:val="Heading2"/>
        <w:bidi/>
        <w:spacing w:after="150" w:before="300"/>
        <w:jc w:val="right"/>
      </w:pPr>
      <w:r>
        <w:rPr>
          <w:rFonts w:ascii="Calibri" w:cs="Calibri" w:eastAsia="Calibri" w:hAnsi="Calibri"/>
          <w:b/>
          <w:bCs/>
          <w:color w:val="2C5F2D"/>
          <w:sz w:val="26"/>
          <w:szCs w:val="26"/>
        </w:rPr>
        <w:t xml:space="preserve">١. ما المقصود بالتقنيات الصحية</w:t>
      </w:r>
    </w:p>
    <w:p>
      <w:pPr>
        <w:bidi/>
        <w:spacing w:after="160" w:line="300"/>
        <w:jc w:val="right"/>
      </w:pPr>
      <w:r>
        <w:rPr>
          <w:rFonts w:ascii="Calibri" w:cs="Calibri" w:eastAsia="Calibri" w:hAnsi="Calibri"/>
          <w:b w:val="false"/>
          <w:bCs w:val="false"/>
          <w:i w:val="false"/>
          <w:iCs w:val="false"/>
          <w:sz w:val="22"/>
          <w:szCs w:val="22"/>
        </w:rPr>
        <w:t xml:space="preserve">تُعرّف منظمة الصحة العالمية التقنيات الصحية بأنها تطبيق للمعرفة المنظمة والمهارات والأنظمة — بما في ذلك الأدوية والأجهزة واللقاحات والإجراءات — التي تم تطويرها لحل المشكلات الصحية، وتحسين نوعية الحياة، وتعزيز تقديم الرعاية الصحية.</w:t>
      </w:r>
    </w:p>
    <w:p>
      <w:pPr>
        <w:bidi/>
        <w:spacing w:after="160" w:line="300"/>
        <w:jc w:val="right"/>
      </w:pPr>
      <w:r>
        <w:rPr>
          <w:rFonts w:ascii="Calibri" w:cs="Calibri" w:eastAsia="Calibri" w:hAnsi="Calibri"/>
          <w:b w:val="false"/>
          <w:bCs w:val="false"/>
          <w:i w:val="false"/>
          <w:iCs w:val="false"/>
          <w:sz w:val="22"/>
          <w:szCs w:val="22"/>
        </w:rPr>
        <w:t xml:space="preserve">وهي تشمل مجموعة واسعة من الأدوات المستخدمة للوقاية من الحالات الطبية وتشخيصها وعلاجها، فضلًا عن تعزيز الصحة العامة وتنظيم تقديم الرعاية.</w:t>
      </w:r>
    </w:p>
    <w:p>
      <w:pPr>
        <w:bidi/>
        <w:spacing w:after="160" w:line="300"/>
        <w:jc w:val="right"/>
      </w:pPr>
      <w:r>
        <w:rPr>
          <w:rFonts w:ascii="Calibri" w:cs="Calibri" w:eastAsia="Calibri" w:hAnsi="Calibri"/>
          <w:b w:val="false"/>
          <w:bCs w:val="false"/>
          <w:i w:val="false"/>
          <w:iCs w:val="false"/>
          <w:sz w:val="22"/>
          <w:szCs w:val="22"/>
        </w:rPr>
        <w:t xml:space="preserve">تُصنَّف التقنيات الصحية ضمن خمس فئات رئيسية، ولكل فئة طابعها الخاص:</w:t>
      </w:r>
    </w:p>
    <w:p>
      <w:pPr>
        <w:bidi/>
        <w:spacing w:after="80"/>
        <w:jc w:val="right"/>
      </w:pPr>
      <w:r>
        <w:rPr>
          <w:rFonts w:ascii="Calibri" w:cs="Calibri" w:eastAsia="Calibri" w:hAnsi="Calibri"/>
          <w:b/>
          <w:bCs/>
          <w:color w:val="1E4620"/>
          <w:sz w:val="21"/>
          <w:szCs w:val="21"/>
        </w:rPr>
        <w:t xml:space="preserve">الأجهزة الطبية MedTech</w:t>
      </w:r>
      <w:r>
        <w:rPr>
          <w:rFonts w:ascii="Calibri" w:cs="Calibri" w:eastAsia="Calibri" w:hAnsi="Calibri"/>
          <w:color w:val="444444"/>
          <w:sz w:val="20"/>
          <w:szCs w:val="20"/>
        </w:rPr>
        <w:t xml:space="preserve">  —  من موازين الحرارة البسيطة إلى الروبوتات الجراحية</w:t>
      </w:r>
    </w:p>
    <w:p>
      <w:pPr>
        <w:bidi/>
        <w:spacing w:after="80"/>
        <w:jc w:val="right"/>
      </w:pPr>
      <w:r>
        <w:rPr>
          <w:rFonts w:ascii="Calibri" w:cs="Calibri" w:eastAsia="Calibri" w:hAnsi="Calibri"/>
          <w:b/>
          <w:bCs/>
          <w:color w:val="1E4620"/>
          <w:sz w:val="21"/>
          <w:szCs w:val="21"/>
        </w:rPr>
        <w:t xml:space="preserve">الصحة الرقمية HealthTech</w:t>
      </w:r>
      <w:r>
        <w:rPr>
          <w:rFonts w:ascii="Calibri" w:cs="Calibri" w:eastAsia="Calibri" w:hAnsi="Calibri"/>
          <w:color w:val="444444"/>
          <w:sz w:val="20"/>
          <w:szCs w:val="20"/>
        </w:rPr>
        <w:t xml:space="preserve">  —  حلول برمجية ومنصات موجهة للمستهلك، مثل التطبيب عن بُعد</w:t>
      </w:r>
    </w:p>
    <w:p>
      <w:pPr>
        <w:bidi/>
        <w:spacing w:after="80"/>
        <w:jc w:val="right"/>
      </w:pPr>
      <w:r>
        <w:rPr>
          <w:rFonts w:ascii="Calibri" w:cs="Calibri" w:eastAsia="Calibri" w:hAnsi="Calibri"/>
          <w:b/>
          <w:bCs/>
          <w:color w:val="1E4620"/>
          <w:sz w:val="21"/>
          <w:szCs w:val="21"/>
        </w:rPr>
        <w:t xml:space="preserve">تقنية المعلومات الصحية HIT</w:t>
      </w:r>
      <w:r>
        <w:rPr>
          <w:rFonts w:ascii="Calibri" w:cs="Calibri" w:eastAsia="Calibri" w:hAnsi="Calibri"/>
          <w:color w:val="444444"/>
          <w:sz w:val="20"/>
          <w:szCs w:val="20"/>
        </w:rPr>
        <w:t xml:space="preserve">  —  السجلات الصحية الإلكترونية وبوابات المرضى</w:t>
      </w:r>
    </w:p>
    <w:p>
      <w:pPr>
        <w:bidi/>
        <w:spacing w:after="80"/>
        <w:jc w:val="right"/>
      </w:pPr>
      <w:r>
        <w:rPr>
          <w:rFonts w:ascii="Calibri" w:cs="Calibri" w:eastAsia="Calibri" w:hAnsi="Calibri"/>
          <w:b/>
          <w:bCs/>
          <w:color w:val="1E4620"/>
          <w:sz w:val="21"/>
          <w:szCs w:val="21"/>
        </w:rPr>
        <w:t xml:space="preserve">التقنيات العلاجية</w:t>
      </w:r>
      <w:r>
        <w:rPr>
          <w:rFonts w:ascii="Calibri" w:cs="Calibri" w:eastAsia="Calibri" w:hAnsi="Calibri"/>
          <w:color w:val="444444"/>
          <w:sz w:val="20"/>
          <w:szCs w:val="20"/>
        </w:rPr>
        <w:t xml:space="preserve">  —  الأدوية واللقاحات والتدخلات البيولوجية المتقدمة</w:t>
      </w:r>
    </w:p>
    <w:p>
      <w:pPr>
        <w:bidi/>
        <w:spacing w:after="80"/>
        <w:jc w:val="right"/>
      </w:pPr>
      <w:r>
        <w:rPr>
          <w:rFonts w:ascii="Calibri" w:cs="Calibri" w:eastAsia="Calibri" w:hAnsi="Calibri"/>
          <w:b/>
          <w:bCs/>
          <w:color w:val="1E4620"/>
          <w:sz w:val="21"/>
          <w:szCs w:val="21"/>
        </w:rPr>
        <w:t xml:space="preserve">التقنيات المساعدة</w:t>
      </w:r>
      <w:r>
        <w:rPr>
          <w:rFonts w:ascii="Calibri" w:cs="Calibri" w:eastAsia="Calibri" w:hAnsi="Calibri"/>
          <w:color w:val="444444"/>
          <w:sz w:val="20"/>
          <w:szCs w:val="20"/>
        </w:rPr>
        <w:t xml:space="preserve">  —  الكراسي المتحركة وأجهزة السمع والتواصل المتخصصة</w:t>
      </w:r>
    </w:p>
    <w:p>
      <w:pPr>
        <w:bidi/>
        <w:spacing w:after="160" w:line="300"/>
        <w:jc w:val="right"/>
      </w:pPr>
      <w:r>
        <w:rPr>
          <w:rFonts w:ascii="Calibri" w:cs="Calibri" w:eastAsia="Calibri" w:hAnsi="Calibri"/>
          <w:b w:val="false"/>
          <w:bCs w:val="false"/>
          <w:i w:val="false"/>
          <w:iCs w:val="false"/>
          <w:sz w:val="22"/>
          <w:szCs w:val="22"/>
        </w:rPr>
        <w:t xml:space="preserve">ولا يقف الأمر عند هذا الحد؛ فمستقبل التقنيات الصحية يحمل أربعة اتجاهات ناشئة: الذكاء الاصطناعي في التحليلات التنبؤية والكشف عن الأمراض، وتقنية النانو لتوصيل الأدوية بشكل مستهدف، والطباعة الحيوية لإنشاء أنسجة وأعضاء بديلة، والتوائم الرقمية لاختبار العلاجات دون أي مخاطر.</w:t>
      </w:r>
    </w:p>
    <w:p>
      <w:pPr>
        <w:bidi/>
        <w:spacing w:after="160" w:line="300"/>
        <w:jc w:val="right"/>
      </w:pPr>
      <w:r>
        <w:rPr>
          <w:rFonts w:ascii="Calibri" w:cs="Calibri" w:eastAsia="Calibri" w:hAnsi="Calibri"/>
          <w:b w:val="false"/>
          <w:bCs w:val="false"/>
          <w:i w:val="false"/>
          <w:iCs w:val="false"/>
          <w:sz w:val="22"/>
          <w:szCs w:val="22"/>
        </w:rPr>
        <w:t xml:space="preserve">تحمل هذه التقنيات فوائد واضحة: تحسين الكفاءة، والدقة والتخصيص، وتسهيل الوصول إلى رعاية متخصصة، وتمكين المريض. لكنها تحمل في المقابل تحديات جوهرية تتعلق بالسرية والخصوصية، والبيانات، والأخلاقيات، والجودة، والقوانين والإجراءات — وهذا بالضبط ما ستتناوله هذه الحقيبة على مدى وحداتها الخمس.</w:t>
      </w:r>
    </w:p>
    <w:p>
      <w:pPr>
        <w:bidi/>
        <w:spacing w:after="160" w:line="300"/>
        <w:jc w:val="right"/>
      </w:pPr>
      <w:r>
        <w:rPr>
          <w:rFonts w:ascii="Calibri" w:cs="Calibri" w:eastAsia="Calibri" w:hAnsi="Calibri"/>
          <w:b w:val="false"/>
          <w:bCs w:val="false"/>
          <w:i w:val="false"/>
          <w:iCs w:val="false"/>
          <w:sz w:val="22"/>
          <w:szCs w:val="22"/>
        </w:rPr>
        <w:t xml:space="preserve">تقييم التقنيات الصحية هو تقييم منهجي متعدد التخصصات للآثار الطبية والاقتصادية والاجتماعية والأخلاقية للتكنولوجيات الصحية — من الأدوية إلى الأجهزة والإجراءات. يقارن هذا التقييم التقنيات الجديدة بالبدائل المتاحة، لإثراء القرارات السياسية القائمة على الأدلة، مثل التعويضات والتسعير والإرشادات السريرية.</w:t>
      </w:r>
    </w:p>
    <w:p>
      <w:pPr>
        <w:bidi/>
        <w:spacing w:after="160" w:line="300"/>
        <w:jc w:val="right"/>
      </w:pPr>
      <w:r>
        <w:rPr>
          <w:rFonts w:ascii="Calibri" w:cs="Calibri" w:eastAsia="Calibri" w:hAnsi="Calibri"/>
          <w:b w:val="false"/>
          <w:bCs w:val="false"/>
          <w:i w:val="false"/>
          <w:iCs w:val="false"/>
          <w:sz w:val="22"/>
          <w:szCs w:val="22"/>
        </w:rPr>
        <w:t xml:space="preserve">الهدف من ذلك هو توفير المعلومات اللازمة لاتخاذ القرارات بما يُسهم في بناء نظام صحي عادل وفعّال وعالي الجودة.</w:t>
      </w:r>
    </w:p>
    <w:p>
      <w:pPr>
        <w:bidi/>
        <w:spacing w:after="160" w:line="300"/>
        <w:jc w:val="right"/>
      </w:pPr>
      <w:r>
        <w:rPr>
          <w:rFonts w:ascii="Calibri" w:cs="Calibri" w:eastAsia="Calibri" w:hAnsi="Calibri"/>
          <w:b w:val="false"/>
          <w:bCs w:val="false"/>
          <w:i w:val="false"/>
          <w:iCs w:val="false"/>
          <w:sz w:val="22"/>
          <w:szCs w:val="22"/>
        </w:rPr>
        <w:t xml:space="preserve">لا يقتصر التقييم على الفعالية السريرية والسلامة فحسب، بل يشمل أيضًا الجدوى الاقتصادية والآثار التنظيمية والاجتماعية والأخلاقية. أما الهدف فهو توفير المعلومات اللازمة لاتخاذ القرارات في القطاع الصحي، وتسهيل تخصيص الموارد المحدودة لأكثر العلاجات فعالية.</w:t>
      </w:r>
    </w:p>
    <w:p>
      <w:pPr>
        <w:bidi/>
        <w:spacing w:after="160" w:line="300"/>
        <w:jc w:val="right"/>
      </w:pPr>
      <w:r>
        <w:rPr>
          <w:rFonts w:ascii="Calibri" w:cs="Calibri" w:eastAsia="Calibri" w:hAnsi="Calibri"/>
          <w:b w:val="false"/>
          <w:bCs w:val="false"/>
          <w:i w:val="false"/>
          <w:iCs w:val="false"/>
          <w:sz w:val="22"/>
          <w:szCs w:val="22"/>
        </w:rPr>
        <w:t xml:space="preserve">تتضمن منهجية التقييم إجراء بحوث قائمة على الأدلة، مثل المراجعات المنهجية، لتحديد ما إذا كانت التقنية توفر قيمة أفضل من المعايير الحالية. ومن أبرز المنظمات الرائدة في هذا المجال: منظمة الصحة العالمية، والمفوضية الأوروبية، والهيئات الوطنية المتخصصة.</w:t>
      </w:r>
    </w:p>
    <w:p>
      <w:pPr>
        <w:bidi/>
        <w:spacing w:after="160" w:line="300"/>
        <w:jc w:val="right"/>
      </w:pPr>
      <w:r>
        <w:rPr>
          <w:rFonts w:ascii="Calibri" w:cs="Calibri" w:eastAsia="Calibri" w:hAnsi="Calibri"/>
          <w:b w:val="false"/>
          <w:bCs w:val="false"/>
          <w:i w:val="false"/>
          <w:iCs w:val="false"/>
          <w:sz w:val="22"/>
          <w:szCs w:val="22"/>
        </w:rPr>
        <w:t xml:space="preserve">يركز النطاق السريري لتقييم التقنيات الصحية على تحديد الفعالية النسبية والسلامة مقارنةً بالممارسات الحالية، عبر أربع خطوات: توليد الأدلة من التجارب العشوائية والدراسات الرصدية، وتقييم الفعالية النسبية مقارنة بمعيار الرعاية الحالي، وتقدير القيمة العلاجية على الوفيات وجودة الحياة، وتحديد المجالات المستهدفة كأدوية السرطان الجديدة والأجهزة عالية الخطورة.</w:t>
      </w:r>
    </w:p>
    <w:p>
      <w:pPr>
        <w:bidi/>
        <w:spacing w:after="160" w:line="300"/>
        <w:jc w:val="right"/>
      </w:pPr>
      <w:r>
        <w:rPr>
          <w:rFonts w:ascii="Calibri" w:cs="Calibri" w:eastAsia="Calibri" w:hAnsi="Calibri"/>
          <w:b w:val="false"/>
          <w:bCs w:val="false"/>
          <w:i w:val="false"/>
          <w:iCs w:val="false"/>
          <w:sz w:val="22"/>
          <w:szCs w:val="22"/>
        </w:rPr>
        <w:t xml:space="preserve">أما النطاق الرقمي، فيقيّم التقنيات القائمة على البرمجيات — كالذكاء الاصطناعي وتطبيقات الصحة المتنقلة والطب عن بُعد — ولأن هذه البرمجيات تتطور بسرعة، فإن تقييمها يتطلب أساليب أسرع وأكثر مرونة وتكرارًا، تركز على حماية البيانات والأمن التقني وسهولة الاستخدام.</w:t>
      </w:r>
    </w:p>
    <w:p>
      <w:pPr>
        <w:bidi/>
        <w:spacing w:after="160" w:line="300"/>
        <w:jc w:val="right"/>
      </w:pPr>
      <w:r>
        <w:rPr>
          <w:rFonts w:ascii="Calibri" w:cs="Calibri" w:eastAsia="Calibri" w:hAnsi="Calibri"/>
          <w:b w:val="false"/>
          <w:bCs w:val="false"/>
          <w:i w:val="false"/>
          <w:iCs w:val="false"/>
          <w:sz w:val="22"/>
          <w:szCs w:val="22"/>
        </w:rPr>
        <w:t xml:space="preserve">يمر تقييم التقنيات الصحية بسبع مراحل متسلسلة: تحديد النطاق، ثم مراجعة الأدلة، فبناء النموذج الاقتصادي، فتحليل الميزانية، فتحليل التأثير على النظام، فمراجعة الأثر على المعايير الأخلاقية، وأخيرًا التوصية.</w:t>
      </w:r>
    </w:p>
    <w:p>
      <w:pPr>
        <w:bidi/>
        <w:spacing w:after="160" w:line="300"/>
        <w:jc w:val="right"/>
      </w:pPr>
      <w:r>
        <w:rPr>
          <w:rFonts w:ascii="Calibri" w:cs="Calibri" w:eastAsia="Calibri" w:hAnsi="Calibri"/>
          <w:b w:val="false"/>
          <w:bCs w:val="false"/>
          <w:i w:val="false"/>
          <w:iCs w:val="false"/>
          <w:sz w:val="22"/>
          <w:szCs w:val="22"/>
        </w:rPr>
        <w:t xml:space="preserve">ويأخذ هذا التقييم ثلاثة أشكال بحسب الحاجة: تقييم شامل متعدد المجالات على المستوى الوطني، أو تقييم سريع يصلح لمراجعة مختصرة عند اتخاذ قرارات عاجلة، أو تقييم مصغّر خاص بمستشفى بعينه.</w:t>
      </w:r>
    </w:p>
    <w:p>
      <w:pPr>
        <w:bidi/>
        <w:spacing w:after="160" w:line="300"/>
        <w:jc w:val="right"/>
      </w:pPr>
      <w:r>
        <w:rPr>
          <w:rFonts w:ascii="Calibri" w:cs="Calibri" w:eastAsia="Calibri" w:hAnsi="Calibri"/>
          <w:b w:val="false"/>
          <w:bCs w:val="false"/>
          <w:i w:val="false"/>
          <w:iCs w:val="false"/>
          <w:sz w:val="22"/>
          <w:szCs w:val="22"/>
        </w:rPr>
        <w:t xml:space="preserve">لنأخذ مثالًا عمليًا: دواء جديد لمرض السكري، يُقارَن بالأنسولين التقليدي. النتيجة السريرية أظهرت انخفاضًا في الهيموجلوبين السكري مع ارتفاع طفيف في خطر أمراض القلب، وتكلفته السنوية ألفا دولار. هنا يُحسب ما يُعرف بنسبة التكلفة الإضافية لكل سنة حياة معدلة حسب الجودة، وتبلغ في مثالنا خمسة وعشرين ألف دولار. القرار باعتماد الدواء يُتخذ إذا كانت هذه النسبة أقل من العتبة المحددة، وهي ثلاثون ألف دولار في هذا المثال.</w:t>
      </w:r>
    </w:p>
    <w:p>
      <w:pPr>
        <w:bidi/>
        <w:spacing w:after="160" w:line="300"/>
        <w:jc w:val="right"/>
      </w:pPr>
      <w:r>
        <w:rPr>
          <w:rFonts w:ascii="Calibri" w:cs="Calibri" w:eastAsia="Calibri" w:hAnsi="Calibri"/>
          <w:b w:val="false"/>
          <w:bCs w:val="false"/>
          <w:i w:val="false"/>
          <w:iCs w:val="false"/>
          <w:sz w:val="22"/>
          <w:szCs w:val="22"/>
        </w:rPr>
        <w:t xml:space="preserve">السياسات الصحية هي مجموعة القرارات والخطط والإجراءات التنظيمية التي تتخذها الحكومات والمؤسسات لتحقيق أهداف صحية محددة، مثل تعزيز الصحة والوقاية من الأمراض وتقديم الرعاية بجودة وكفاءة. وتبرز أهميتها في تحسين النتائج الصحية العامة، والإنصاف في الوصول للرعاية، ورفع كفاءة النظم الصحية، والاستجابة للأزمات، وتحديد الرؤية والأولويات، ودعم التنمية الاقتصادية والاجتماعية.</w:t>
      </w:r>
    </w:p>
    <w:p>
      <w:pPr>
        <w:bidi/>
        <w:spacing w:after="160" w:line="300"/>
        <w:jc w:val="right"/>
      </w:pPr>
      <w:r>
        <w:rPr>
          <w:rFonts w:ascii="Calibri" w:cs="Calibri" w:eastAsia="Calibri" w:hAnsi="Calibri"/>
          <w:b w:val="false"/>
          <w:bCs w:val="false"/>
          <w:i w:val="false"/>
          <w:iCs w:val="false"/>
          <w:sz w:val="22"/>
          <w:szCs w:val="22"/>
        </w:rPr>
        <w:t xml:space="preserve">تشهد السياسات الصحية في المملكة العربية السعودية تحولًا جذريًا ضمن رؤية 2030، يركز على الخصخصة والتحول الرقمي وتعزيز الوقاية بدلًا من العلاج فقط. ومن أبرز ركائز هذا التحول: برنامج تحول القطاع الصحي الذي يهدف لرفع رضا المستفيدين وتعميم السجل الطبي الرقمي، ونموذج الرعاية الصحية الحديث عبر التجمعات الصحية العشرين، والتحول الرقمي من خلال منظومة "نفيس" وتطبيق "صحتي"، إلى جانب توجيه وزارة الصحة لتكون جهة تنظيمية بينما تتولى شركة الصحة القابضة تقديم الخدمات.</w:t>
      </w:r>
    </w:p>
    <w:p>
      <w:pPr>
        <w:bidi/>
        <w:spacing w:after="160" w:line="300"/>
        <w:jc w:val="right"/>
      </w:pPr>
      <w:r>
        <w:rPr>
          <w:rFonts w:ascii="Calibri" w:cs="Calibri" w:eastAsia="Calibri" w:hAnsi="Calibri"/>
          <w:b w:val="false"/>
          <w:bCs w:val="false"/>
          <w:i w:val="false"/>
          <w:iCs w:val="false"/>
          <w:sz w:val="22"/>
          <w:szCs w:val="22"/>
        </w:rPr>
        <w:t xml:space="preserve">تحول الرعاية الصحية هو عملية شاملة لإعادة هيكلة النظام الصحي ليكون أكثر شمولية وكفاءة وتمركزًا حول المريض، بالانتقال من نموذج علاجي تقليدي إلى نموذج يركز على الوقاية والابتكار التكنولوجي.</w:t>
      </w:r>
    </w:p>
    <w:p>
      <w:pPr>
        <w:bidi/>
        <w:spacing w:after="160" w:line="300"/>
        <w:jc w:val="right"/>
      </w:pPr>
      <w:r>
        <w:rPr>
          <w:rFonts w:ascii="Calibri" w:cs="Calibri" w:eastAsia="Calibri" w:hAnsi="Calibri"/>
          <w:b w:val="false"/>
          <w:bCs w:val="false"/>
          <w:i w:val="false"/>
          <w:iCs w:val="false"/>
          <w:sz w:val="22"/>
          <w:szCs w:val="22"/>
        </w:rPr>
        <w:t xml:space="preserve">ومن أهم ملامح هذا التحول: التحول نحو الرعاية المبنية على القيمة، التي تركز على جودة النتائج الصحية للمريض مقابل التكلفة وليس فقط عدد الخدمات المقدمة. ففي هذا النموذج، يُكافأ مقدمو الرعاية على الحفاظ على صحة المرضى وإدارة الأمراض المزمنة بفعالية، بدلًا من الدفع مقابل حجم الخدمات كما في النموذج التقليدي.</w:t>
      </w:r>
    </w:p>
    <w:p>
      <w:pPr>
        <w:bidi/>
        <w:spacing w:after="160" w:line="300"/>
        <w:jc w:val="right"/>
      </w:pPr>
      <w:r>
        <w:rPr>
          <w:rFonts w:ascii="Calibri" w:cs="Calibri" w:eastAsia="Calibri" w:hAnsi="Calibri"/>
          <w:b w:val="false"/>
          <w:bCs w:val="false"/>
          <w:i w:val="false"/>
          <w:iCs w:val="false"/>
          <w:sz w:val="22"/>
          <w:szCs w:val="22"/>
        </w:rPr>
        <w:t xml:space="preserve">ومن أمثلة نماذج الرعاية المبنية على القيمة: منظمات الرعاية المسؤولة، والدفع المجمّع لكامل فترة العلاج بدلًا من الدفع لكل خدمة على حدة، والمراكز الطبية المتمحورة حول المريض.</w:t>
      </w:r>
    </w:p>
    <w:p>
      <w:pPr>
        <w:bidi/>
        <w:spacing w:after="160" w:line="300"/>
        <w:jc w:val="right"/>
      </w:pPr>
      <w:r>
        <w:rPr>
          <w:rFonts w:ascii="Calibri" w:cs="Calibri" w:eastAsia="Calibri" w:hAnsi="Calibri"/>
          <w:b w:val="false"/>
          <w:bCs w:val="false"/>
          <w:i w:val="false"/>
          <w:iCs w:val="false"/>
          <w:sz w:val="22"/>
          <w:szCs w:val="22"/>
        </w:rPr>
        <w:t xml:space="preserve">يضمن تقييم التقنيات الصحية تخصيص موارد الرعاية الصحية بشكل مستدام وعادل وقائم على الأدلة، فهو يُسهم مباشرة في قرارات السداد وإدارة قوائم الأدوية وقرارات الشراء، ويحدد الخدمات المشمولة في حزم المنافع الصحية الوطنية. غير أن هذا الربط يواجه تحديات حقيقية: بناء القدرات الوطنية، والشفافية أمام الجمهور، وإشراك أصحاب المصلحة من مرضى وأطباء، وتوافر البيانات الواقعية.</w:t>
      </w:r>
    </w:p>
    <w:p>
      <w:pPr>
        <w:bidi/>
        <w:spacing w:after="160" w:line="300"/>
        <w:jc w:val="right"/>
      </w:pPr>
      <w:r>
        <w:rPr>
          <w:rFonts w:ascii="Calibri" w:cs="Calibri" w:eastAsia="Calibri" w:hAnsi="Calibri"/>
          <w:b w:val="false"/>
          <w:bCs w:val="false"/>
          <w:i w:val="false"/>
          <w:iCs w:val="false"/>
          <w:sz w:val="22"/>
          <w:szCs w:val="22"/>
        </w:rPr>
        <w:t xml:space="preserve">الحوكمة هي نظام القواعد والعمليات والهياكل التي توجه وتراقب وتحاسب منظمة ما، وتحدد السلطة وتمكّن من اتخاذ القرارات وإدارة المخاطر، بما يضمن التوجيه الاستراتيجي والامتثال للقوانين.</w:t>
      </w:r>
    </w:p>
    <w:p>
      <w:pPr>
        <w:bidi/>
        <w:spacing w:after="160" w:line="300"/>
        <w:jc w:val="right"/>
      </w:pPr>
      <w:r>
        <w:rPr>
          <w:rFonts w:ascii="Calibri" w:cs="Calibri" w:eastAsia="Calibri" w:hAnsi="Calibri"/>
          <w:b w:val="false"/>
          <w:bCs w:val="false"/>
          <w:i w:val="false"/>
          <w:iCs w:val="false"/>
          <w:sz w:val="22"/>
          <w:szCs w:val="22"/>
        </w:rPr>
        <w:t xml:space="preserve">أما الحوكمة الرقمية فهي إطار عمل للسياسات والأدوار والعمليات التي توجه كيفية إدارة المؤسسات لوجودها الرقمي وبياناتها وبنيتها التحتية التقنية، بما يضمن أن تكون المبادرات الرقمية آمنة وأخلاقية ومتوافقة مع الأهداف الاستراتيجية.</w:t>
      </w:r>
    </w:p>
    <w:p>
      <w:pPr>
        <w:bidi/>
        <w:spacing w:after="160" w:line="300"/>
        <w:jc w:val="right"/>
      </w:pPr>
      <w:r>
        <w:rPr>
          <w:rFonts w:ascii="Calibri" w:cs="Calibri" w:eastAsia="Calibri" w:hAnsi="Calibri"/>
          <w:b w:val="false"/>
          <w:bCs w:val="false"/>
          <w:i w:val="false"/>
          <w:iCs w:val="false"/>
          <w:sz w:val="22"/>
          <w:szCs w:val="22"/>
        </w:rPr>
        <w:t xml:space="preserve">تهدف الحوكمة الرقمية للتقنيات الصحية إلى خمسة أهداف رئيسية: ضمان سلامة المرضى، وحماية البيانات الصحية والخصوصية، ومواءمة التكنولوجيا مع استراتيجية الرعاية الصحية، وإدارة دورة حياة تكنولوجيا الصحة الرقمية، وضمان قابلية التشغيل البيني.</w:t>
      </w:r>
    </w:p>
    <w:p>
      <w:pPr>
        <w:bidi/>
        <w:spacing w:after="160" w:line="300"/>
        <w:jc w:val="right"/>
      </w:pPr>
      <w:r>
        <w:rPr>
          <w:rFonts w:ascii="Calibri" w:cs="Calibri" w:eastAsia="Calibri" w:hAnsi="Calibri"/>
          <w:b w:val="false"/>
          <w:bCs w:val="false"/>
          <w:i w:val="false"/>
          <w:iCs w:val="false"/>
          <w:sz w:val="22"/>
          <w:szCs w:val="22"/>
        </w:rPr>
        <w:t xml:space="preserve">وتمر دورة حياة تكنولوجيا الصحة الرقمية بست مراحل: مقترح التقنية، فالتقييم السريري، فتقييم الأمن والخصوصية، فتقييم التقنية الصحية نفسه، فالشراء والتنفيذ، وأخيرًا المراقبة والتحسين المستمر.</w:t>
      </w:r>
    </w:p>
    <w:p>
      <w:pPr>
        <w:bidi/>
        <w:spacing w:after="160" w:line="300"/>
        <w:jc w:val="right"/>
      </w:pPr>
      <w:r>
        <w:rPr>
          <w:rFonts w:ascii="Calibri" w:cs="Calibri" w:eastAsia="Calibri" w:hAnsi="Calibri"/>
          <w:b w:val="false"/>
          <w:bCs w:val="false"/>
          <w:i w:val="false"/>
          <w:iCs w:val="false"/>
          <w:sz w:val="22"/>
          <w:szCs w:val="22"/>
        </w:rPr>
        <w:t xml:space="preserve">تعتمد المؤسسات في حوكمة تقنياتها الصحية على أطر دولية معروفة مثل ISO 80001 وISO 27001 وCOBIT وITIL، وهي أطر تساعد في تحديد التهديدات السيبرانية والحماية منها والاستجابة لها والتعافي منها.</w:t>
      </w:r>
    </w:p>
    <w:p>
      <w:pPr>
        <w:bidi/>
        <w:spacing w:after="160" w:line="300"/>
        <w:jc w:val="right"/>
      </w:pPr>
      <w:r>
        <w:rPr>
          <w:rFonts w:ascii="Calibri" w:cs="Calibri" w:eastAsia="Calibri" w:hAnsi="Calibri"/>
          <w:b w:val="false"/>
          <w:bCs w:val="false"/>
          <w:i w:val="false"/>
          <w:iCs w:val="false"/>
          <w:sz w:val="22"/>
          <w:szCs w:val="22"/>
        </w:rPr>
        <w:t xml:space="preserve">ومن أهم أدوات هذه الحوكمة: الموازنة بين المخاطر والعوائد قبل اعتماد أي تقنية جديدة، ودعم متخذي القرار بالأدلة، وذلك عبر استراتيجيات محددة للتعامل مع التهديدات: القبول، أو التخفيف، أو التجنب، أو التحويل، أو التصعيد.</w:t>
      </w:r>
    </w:p>
    <w:p>
      <w:pPr>
        <w:pBdr>
          <w:bottom w:val="single" w:color="C9C9C9" w:sz="6"/>
        </w:pBdr>
        <w:spacing w:after="200" w:before="200"/>
      </w:pPr>
    </w:p>
    <w:p>
      <w:pPr>
        <w:pStyle w:val="Heading1"/>
        <w:bidi/>
        <w:spacing w:after="200" w:before="400"/>
        <w:jc w:val="right"/>
      </w:pPr>
      <w:r>
        <w:rPr>
          <w:rFonts w:ascii="Calibri" w:cs="Calibri" w:eastAsia="Calibri" w:hAnsi="Calibri"/>
          <w:b/>
          <w:bCs/>
          <w:color w:val="1E4620"/>
          <w:sz w:val="32"/>
          <w:szCs w:val="32"/>
        </w:rPr>
        <w:t xml:space="preserve">الوحدة الثانية — المعلوماتية الصحية وإدارة البيانات</w:t>
      </w:r>
    </w:p>
    <w:p>
      <w:pPr>
        <w:bidi/>
        <w:spacing w:after="160" w:line="300"/>
        <w:jc w:val="right"/>
      </w:pPr>
      <w:r>
        <w:rPr>
          <w:rFonts w:ascii="Calibri" w:cs="Calibri" w:eastAsia="Calibri" w:hAnsi="Calibri"/>
          <w:b w:val="false"/>
          <w:bCs w:val="false"/>
          <w:i w:val="false"/>
          <w:iCs w:val="false"/>
          <w:sz w:val="22"/>
          <w:szCs w:val="22"/>
        </w:rPr>
        <w:t xml:space="preserve">البيانات هي مجموعة من الحقائق الخام، الأرقام، الكلمات، الملاحظات، أو الرموز غير المنظمة التي يتم جمعها من مصادر مختلفة. لا تحمل البيانات معنى بحد ذاتها، لكن عند معالجتها وتحليلها وتنظيمها، تتحول إلى معلومات ذات قيمة تُستخدم في اتخاذ القرارات والتخطيط. لذلك، وُصفت البيانات بأنها "العملة الجديدة" و"شريان الحياة"، بل و"النفط الجديد" لاقتصاد المعلومات.</w:t>
      </w:r>
    </w:p>
    <w:p>
      <w:pPr>
        <w:bidi/>
        <w:spacing w:after="160" w:line="300"/>
        <w:jc w:val="right"/>
      </w:pPr>
      <w:r>
        <w:rPr>
          <w:rFonts w:ascii="Calibri" w:cs="Calibri" w:eastAsia="Calibri" w:hAnsi="Calibri"/>
          <w:b w:val="false"/>
          <w:bCs w:val="false"/>
          <w:i w:val="false"/>
          <w:iCs w:val="false"/>
          <w:sz w:val="22"/>
          <w:szCs w:val="22"/>
        </w:rPr>
        <w:t xml:space="preserve">وتأخذ البيانات أشكالًا متعددة: كمية أو نوعية، منظمة أو غير منظمة أو شبه منظمة، وصفية، وأحيانًا بيانات كبيرة الحجم.</w:t>
      </w:r>
    </w:p>
    <w:p>
      <w:pPr>
        <w:bidi/>
        <w:spacing w:after="160" w:line="300"/>
        <w:jc w:val="right"/>
      </w:pPr>
      <w:r>
        <w:rPr>
          <w:rFonts w:ascii="Calibri" w:cs="Calibri" w:eastAsia="Calibri" w:hAnsi="Calibri"/>
          <w:b w:val="false"/>
          <w:bCs w:val="false"/>
          <w:i w:val="false"/>
          <w:iCs w:val="false"/>
          <w:sz w:val="22"/>
          <w:szCs w:val="22"/>
        </w:rPr>
        <w:t xml:space="preserve">تُصنَّف مصادر البيانات إلى أولية مباشرة كالاستبيانات والملاحظات، وثانوية مُجمَّعة مسبقًا كالتقارير الحكومية. وفي القطاع الصحي تحديدًا، تبرز أربعة مصادر رئيسية: السجلات الصحية الإلكترونية التي توفر تفاصيل دقيقة حول تاريخ المريض الطبي، والأجهزة الطبية الذكية والقابلة للارتداء التي تجمع بيانات حيوية في الوقت الفعلي، والسجلات الحيوية والمسوح الصحية على المستوى الوطني، وبيانات مطالبات التأمين الصحي التي تكشف أنماط العلاج وتكاليفه.</w:t>
      </w:r>
    </w:p>
    <w:p>
      <w:pPr>
        <w:bidi/>
        <w:spacing w:after="160" w:line="300"/>
        <w:jc w:val="right"/>
      </w:pPr>
      <w:r>
        <w:rPr>
          <w:rFonts w:ascii="Calibri" w:cs="Calibri" w:eastAsia="Calibri" w:hAnsi="Calibri"/>
          <w:b w:val="false"/>
          <w:bCs w:val="false"/>
          <w:i w:val="false"/>
          <w:iCs w:val="false"/>
          <w:sz w:val="22"/>
          <w:szCs w:val="22"/>
        </w:rPr>
        <w:t xml:space="preserve">تُعد البيانات أصلًا من الأصول المؤسسية ذا خصائص فريدة، ويمكن بل ينبغي التعبير عن قيمتها بمصطلحات اقتصادية. إدارة البيانات تعني إدارة جودتها، وتتطلب تخطيطًا، ومنظورًا مؤسسيًا شاملًا، والتزامًا قياديًا فعليًا لتنجح.</w:t>
      </w:r>
    </w:p>
    <w:p>
      <w:pPr>
        <w:bidi/>
        <w:spacing w:after="160" w:line="300"/>
        <w:jc w:val="right"/>
      </w:pPr>
      <w:r>
        <w:rPr>
          <w:rFonts w:ascii="Calibri" w:cs="Calibri" w:eastAsia="Calibri" w:hAnsi="Calibri"/>
          <w:b w:val="false"/>
          <w:bCs w:val="false"/>
          <w:i w:val="false"/>
          <w:iCs w:val="false"/>
          <w:sz w:val="22"/>
          <w:szCs w:val="22"/>
        </w:rPr>
        <w:t xml:space="preserve">تمر البيانات بست مراحل في دورة حياتها: الإنشاء أو الجمع عبر تفاعلات العملاء أو مستشعرات إنترنت الأشياء، ثم التخزين في قواعد بيانات آمنة، فالمعالجة لتنظيمها وتجهيزها للتحليل، فالتحليل لاستخراج رؤى قيّمة، فالأرشفة للبيانات نادرة الاستخدام، وأخيرًا الحذف أو التدمير الآمن عند انتهاء الحاجة إليها.</w:t>
      </w:r>
    </w:p>
    <w:p>
      <w:pPr>
        <w:bidi/>
        <w:spacing w:after="160" w:line="300"/>
        <w:jc w:val="right"/>
      </w:pPr>
      <w:r>
        <w:rPr>
          <w:rFonts w:ascii="Calibri" w:cs="Calibri" w:eastAsia="Calibri" w:hAnsi="Calibri"/>
          <w:b w:val="false"/>
          <w:bCs w:val="false"/>
          <w:i w:val="false"/>
          <w:iCs w:val="false"/>
          <w:sz w:val="22"/>
          <w:szCs w:val="22"/>
        </w:rPr>
        <w:t xml:space="preserve">حوكمة البيانات هي ممارسة السلطة والتحكم — التخطيط والتنفيذ والمراقبة والإنفاذ — في إدارة أصول البيانات. أما إدارة البيانات نفسها فهي تطوير وتنفيذ الخطط والسياسات التي توفر وتحمي وتعزز قيمة هذه الأصول طوال دورات حياتها.</w:t>
      </w:r>
    </w:p>
    <w:p>
      <w:pPr>
        <w:bidi/>
        <w:spacing w:after="160" w:line="300"/>
        <w:jc w:val="right"/>
      </w:pPr>
      <w:r>
        <w:rPr>
          <w:rFonts w:ascii="Calibri" w:cs="Calibri" w:eastAsia="Calibri" w:hAnsi="Calibri"/>
          <w:b w:val="false"/>
          <w:bCs w:val="false"/>
          <w:i w:val="false"/>
          <w:iCs w:val="false"/>
          <w:sz w:val="22"/>
          <w:szCs w:val="22"/>
        </w:rPr>
        <w:t xml:space="preserve">في السياق الصحي، تهدف حوكمة البيانات إلى حماية خصوصية المريض وأمنه، وتحسين جودة البيانات وسلامتها، وضمان الامتثال للوائح، وتحسين نتائج المرضى، وتعزيز فائدة البيانات وقابلية التشغيل البيني، وتحديد المسؤوليات بوضوح، وإعطاء الأولوية للإنصاف في توزيع الفوائد المستمدة من تحليل البيانات.</w:t>
      </w:r>
    </w:p>
    <w:p>
      <w:pPr>
        <w:bidi/>
        <w:spacing w:after="160" w:line="300"/>
        <w:jc w:val="right"/>
      </w:pPr>
      <w:r>
        <w:rPr>
          <w:rFonts w:ascii="Calibri" w:cs="Calibri" w:eastAsia="Calibri" w:hAnsi="Calibri"/>
          <w:b w:val="false"/>
          <w:bCs w:val="false"/>
          <w:i w:val="false"/>
          <w:iCs w:val="false"/>
          <w:sz w:val="22"/>
          <w:szCs w:val="22"/>
        </w:rPr>
        <w:t xml:space="preserve">وتشمل وظائف حوكمة البيانات ستة محاور: الاستراتيجية، والسياسات، والمعايير، والإشراف، والامتثال، وإدارة المشكلات — وجميعها تُفرّق بوضوح بين "الحوكمة" التي تعني القرارات والتوجيهات، و"الإدارة" التي تعني تنظيم العمل وإنجازه.</w:t>
      </w:r>
    </w:p>
    <w:p>
      <w:pPr>
        <w:bidi/>
        <w:spacing w:after="160" w:line="300"/>
        <w:jc w:val="right"/>
      </w:pPr>
      <w:r>
        <w:rPr>
          <w:rFonts w:ascii="Calibri" w:cs="Calibri" w:eastAsia="Calibri" w:hAnsi="Calibri"/>
          <w:b w:val="false"/>
          <w:bCs w:val="false"/>
          <w:i w:val="false"/>
          <w:iCs w:val="false"/>
          <w:sz w:val="22"/>
          <w:szCs w:val="22"/>
        </w:rPr>
        <w:t xml:space="preserve">يمكن لأي مؤسسة أن تتبنى أحد ثلاثة نماذج لتشغيل حوكمة بياناتها: النموذج المركزي، حيث تشرف جهة واحدة على جميع الأنشطة في جميع المجالات؛ أو النموذج المتكرر، حيث تتبنى كل وحدة أعمال نفس نموذج التشغيل بشكل مستقل؛ أو النموذج الاتحادي، حيث تنسّق جهة واحدة مع وحدات الأعمال المتعددة للحفاظ على تعريفات ومعايير متسقة.</w:t>
      </w:r>
    </w:p>
    <w:p>
      <w:pPr>
        <w:bidi/>
        <w:spacing w:after="160" w:line="300"/>
        <w:jc w:val="right"/>
      </w:pPr>
      <w:r>
        <w:rPr>
          <w:rFonts w:ascii="Calibri" w:cs="Calibri" w:eastAsia="Calibri" w:hAnsi="Calibri"/>
          <w:b w:val="false"/>
          <w:bCs w:val="false"/>
          <w:i w:val="false"/>
          <w:iCs w:val="false"/>
          <w:sz w:val="22"/>
          <w:szCs w:val="22"/>
        </w:rPr>
        <w:t xml:space="preserve">تتوزع مسؤوليات إدارة البيانات على أدوار محددة: لجنة توجيه حوكمة البيانات كأعلى سلطة، وكبير مسؤولي البيانات المسؤول عن استراتيجية البيانات والامتثال والأمن، ومجلس حوكمة البيانات الذي يدير مبادرات الحوكمة والتصعيدات، ومكتب حوكمة البيانات الذي ينسّق الأدوار عبر المؤسسة، ومشرف البيانات المسؤول عن إنشاء البيانات الوصفية وتوثيق القواعد ومعالجة مشكلات الجودة.</w:t>
      </w:r>
    </w:p>
    <w:p>
      <w:pPr>
        <w:bidi/>
        <w:spacing w:after="160" w:line="300"/>
        <w:jc w:val="right"/>
      </w:pPr>
      <w:r>
        <w:rPr>
          <w:rFonts w:ascii="Calibri" w:cs="Calibri" w:eastAsia="Calibri" w:hAnsi="Calibri"/>
          <w:b w:val="false"/>
          <w:bCs w:val="false"/>
          <w:i w:val="false"/>
          <w:iCs w:val="false"/>
          <w:sz w:val="22"/>
          <w:szCs w:val="22"/>
        </w:rPr>
        <w:t xml:space="preserve">سياسات البيانات هي توجيهات تُقنّن مبادئ الإدارة، وتحدد "ما" يجب فعله، بينما تحدد الإجراءات "كيفية" التطبيق. وتُبنى هذه السياسات وفق هيكل ثابت يشمل: الغرض، والنطاق، والتعريفات، والأدوار والمسؤوليات، ونص السياسة، والإجراءات، ومتطلبات الامتثال، والمراقبة والإنفاذ.</w:t>
      </w:r>
    </w:p>
    <w:p>
      <w:pPr>
        <w:bidi/>
        <w:spacing w:after="160" w:line="300"/>
        <w:jc w:val="right"/>
      </w:pPr>
      <w:r>
        <w:rPr>
          <w:rFonts w:ascii="Calibri" w:cs="Calibri" w:eastAsia="Calibri" w:hAnsi="Calibri"/>
          <w:b w:val="false"/>
          <w:bCs w:val="false"/>
          <w:i w:val="false"/>
          <w:iCs w:val="false"/>
          <w:sz w:val="22"/>
          <w:szCs w:val="22"/>
        </w:rPr>
        <w:t xml:space="preserve">أما جودة البيانات، فتُقاس عبر ستة معايير: الصلاحية، والاكتمال، والاتساق، والتحديث، والتوقيت، والتفرد — على أن يركز الاهتمام أولًا على البيانات الأكثر أهمية للمؤسسة وعملائها، وهي ما تُعرف بالبيانات الهامة أو الحساسة.</w:t>
      </w:r>
    </w:p>
    <w:p>
      <w:pPr>
        <w:pBdr>
          <w:bottom w:val="single" w:color="C9C9C9" w:sz="6"/>
        </w:pBdr>
        <w:spacing w:after="200" w:before="200"/>
      </w:pPr>
    </w:p>
    <w:p>
      <w:pPr>
        <w:pStyle w:val="Heading1"/>
        <w:bidi/>
        <w:spacing w:after="200" w:before="400"/>
        <w:jc w:val="right"/>
      </w:pPr>
      <w:r>
        <w:rPr>
          <w:rFonts w:ascii="Calibri" w:cs="Calibri" w:eastAsia="Calibri" w:hAnsi="Calibri"/>
          <w:b/>
          <w:bCs/>
          <w:color w:val="1E4620"/>
          <w:sz w:val="32"/>
          <w:szCs w:val="32"/>
        </w:rPr>
        <w:t xml:space="preserve">الوحدة الثالثة — التشغيل البيني والمعايير الصحية</w:t>
      </w:r>
    </w:p>
    <w:p>
      <w:pPr>
        <w:bidi/>
        <w:spacing w:after="160" w:line="300"/>
        <w:jc w:val="right"/>
      </w:pPr>
      <w:r>
        <w:rPr>
          <w:rFonts w:ascii="Calibri" w:cs="Calibri" w:eastAsia="Calibri" w:hAnsi="Calibri"/>
          <w:b w:val="false"/>
          <w:bCs w:val="false"/>
          <w:i w:val="false"/>
          <w:iCs w:val="false"/>
          <w:sz w:val="22"/>
          <w:szCs w:val="22"/>
        </w:rPr>
        <w:t xml:space="preserve">تكامل البيانات هو القدرة على نقل البيانات وتوحيدها داخل وبين مخازن البيانات والتطبيقات والمؤسسات. أما التشغيل البيني، فهو قدرة الأنظمة المتعددة على التواصل وتبادل البيانات وتفسيرها واستخدامها بسلاسة وأمان، دون بذل جهد خاص — بحيث تُفهم المعلومة بمجرد مشاركتها، ويمكن تطبيقها عبر أنظمة مختلفة.</w:t>
      </w:r>
    </w:p>
    <w:p>
      <w:pPr>
        <w:bidi/>
        <w:spacing w:after="160" w:line="300"/>
        <w:jc w:val="right"/>
      </w:pPr>
      <w:r>
        <w:rPr>
          <w:rFonts w:ascii="Calibri" w:cs="Calibri" w:eastAsia="Calibri" w:hAnsi="Calibri"/>
          <w:b w:val="false"/>
          <w:bCs w:val="false"/>
          <w:i w:val="false"/>
          <w:iCs w:val="false"/>
          <w:sz w:val="22"/>
          <w:szCs w:val="22"/>
        </w:rPr>
        <w:t xml:space="preserve">ويُعد هذا التكامل بالغ الأهمية لعلم تخزين البيانات وذكاء الأعمال، خاصة مع لجوء المؤسسات إلى شراء التطبيقات الجاهزة بدلًا من التطوير المخصص، مما يزيد الحاجة إلى تكامل بيانات موحد يخفض تكلفة الدعم الفني ويدعم الامتثال للوائح معالجة البيانات.</w:t>
      </w:r>
    </w:p>
    <w:p>
      <w:pPr>
        <w:bidi/>
        <w:spacing w:after="160" w:line="300"/>
        <w:jc w:val="right"/>
      </w:pPr>
      <w:r>
        <w:rPr>
          <w:rFonts w:ascii="Calibri" w:cs="Calibri" w:eastAsia="Calibri" w:hAnsi="Calibri"/>
          <w:b w:val="false"/>
          <w:bCs w:val="false"/>
          <w:i w:val="false"/>
          <w:iCs w:val="false"/>
          <w:sz w:val="22"/>
          <w:szCs w:val="22"/>
        </w:rPr>
        <w:t xml:space="preserve">من المفاهيم الأساسية في هذا المجال: عملية الاستخراج والتحويل والتحميل المعروفة اختصارًا بـ ETL، وخرائط المطابقة التي تحدد قواعد استخراج البيانات وتحويلها، وزمن الاستجابة الذي يقيس الفارق بين إنشاء البيانات وتوفرها للاستخدام، والمعالجة بالحزم أو في الوقت شبه الفعلي حسب الحاجة.</w:t>
      </w:r>
    </w:p>
    <w:p>
      <w:pPr>
        <w:bidi/>
        <w:spacing w:after="160" w:line="300"/>
        <w:jc w:val="right"/>
      </w:pPr>
      <w:r>
        <w:rPr>
          <w:rFonts w:ascii="Calibri" w:cs="Calibri" w:eastAsia="Calibri" w:hAnsi="Calibri"/>
          <w:b w:val="false"/>
          <w:bCs w:val="false"/>
          <w:i w:val="false"/>
          <w:iCs w:val="false"/>
          <w:sz w:val="22"/>
          <w:szCs w:val="22"/>
        </w:rPr>
        <w:t xml:space="preserve">يُصنَّف التشغيل البيني إلى أربعة مستويات متدرجة: التشغيل البيني للنقل، حيث تُنقل المعلومات عبر بنية تحتية وبروتوكولات معتمدة؛ فالتشغيل البيني التركيبي أو الهيكلي، حيث تُتبادل البيانات بتنسيقات وهياكل مفهومة لمختلف الأنظمة؛ يليه المستوى الدلالي، والمستوى التنظيمي.</w:t>
      </w:r>
    </w:p>
    <w:p>
      <w:pPr>
        <w:bidi/>
        <w:spacing w:after="160" w:line="300"/>
        <w:jc w:val="right"/>
      </w:pPr>
      <w:r>
        <w:rPr>
          <w:rFonts w:ascii="Calibri" w:cs="Calibri" w:eastAsia="Calibri" w:hAnsi="Calibri"/>
          <w:b w:val="false"/>
          <w:bCs w:val="false"/>
          <w:i w:val="false"/>
          <w:iCs w:val="false"/>
          <w:sz w:val="22"/>
          <w:szCs w:val="22"/>
        </w:rPr>
        <w:t xml:space="preserve">ومن فوائد قابلية التشغيل البيني: وصول أوسع للبيانات، وكفاءة محسّنة، ومرونة أعلى، وامتثال أفضل، وقرارات أكثر دراسة، وتعاون معزز بين مختلف الأنظمة والمؤسسات.</w:t>
      </w:r>
    </w:p>
    <w:p>
      <w:pPr>
        <w:bidi/>
        <w:spacing w:after="160" w:line="300"/>
        <w:jc w:val="right"/>
      </w:pPr>
      <w:r>
        <w:rPr>
          <w:rFonts w:ascii="Calibri" w:cs="Calibri" w:eastAsia="Calibri" w:hAnsi="Calibri"/>
          <w:b w:val="false"/>
          <w:bCs w:val="false"/>
          <w:i w:val="false"/>
          <w:iCs w:val="false"/>
          <w:sz w:val="22"/>
          <w:szCs w:val="22"/>
        </w:rPr>
        <w:t xml:space="preserve">SNOMED CT هو أشمل معيار عالمي للمصطلحات الطبية السريرية، يُستخدم لتوحيد تسجيل البيانات الصحية داخل الأنظمة الإلكترونية، بحيث تصبح البيانات مفهومة للبشر والأنظمة الحاسوبية على حد سواء، وقابلة للتبادل بين المؤسسات الصحية بسهولة ودقة.</w:t>
      </w:r>
    </w:p>
    <w:p>
      <w:pPr>
        <w:bidi/>
        <w:spacing w:after="160" w:line="300"/>
        <w:jc w:val="right"/>
      </w:pPr>
      <w:r>
        <w:rPr>
          <w:rFonts w:ascii="Calibri" w:cs="Calibri" w:eastAsia="Calibri" w:hAnsi="Calibri"/>
          <w:b w:val="false"/>
          <w:bCs w:val="false"/>
          <w:i w:val="false"/>
          <w:iCs w:val="false"/>
          <w:sz w:val="22"/>
          <w:szCs w:val="22"/>
        </w:rPr>
        <w:t xml:space="preserve">يقوم هذا المعيار على ثلاثة مكونات: المفاهيم، ولكل مفهوم طبي معرّف رقمي فريد عالميًا يمنع الالتباس بين المصطلحات؛ والأوصاف، التي تضم الاسم الرسمي والمرادفات لكل مفهوم؛ والعلاقات، التي تربط المفاهيم الطبية ببعضها بطريقة منطقية داخل هيكل هرمي.</w:t>
      </w:r>
    </w:p>
    <w:p>
      <w:pPr>
        <w:bidi/>
        <w:spacing w:after="160" w:line="300"/>
        <w:jc w:val="right"/>
      </w:pPr>
      <w:r>
        <w:rPr>
          <w:rFonts w:ascii="Calibri" w:cs="Calibri" w:eastAsia="Calibri" w:hAnsi="Calibri"/>
          <w:b w:val="false"/>
          <w:bCs w:val="false"/>
          <w:i w:val="false"/>
          <w:iCs w:val="false"/>
          <w:sz w:val="22"/>
          <w:szCs w:val="22"/>
        </w:rPr>
        <w:t xml:space="preserve">ويسهم SNOMED CT في تحقيق التشغيل البيني الدلالي، ودعم أنظمة اتخاذ القرار الطبي، ودعم التحليل الصحي والإحصاءات الوطنية، ودعم تعدد اللغات — وهو عنصر أساسي في أي إطار حوكمة بيانات صحية أو منصة تبادل معلومات صحية وطنية.</w:t>
      </w:r>
    </w:p>
    <w:p>
      <w:pPr>
        <w:bidi/>
        <w:spacing w:after="160" w:line="300"/>
        <w:jc w:val="right"/>
      </w:pPr>
      <w:r>
        <w:rPr>
          <w:rFonts w:ascii="Calibri" w:cs="Calibri" w:eastAsia="Calibri" w:hAnsi="Calibri"/>
          <w:b w:val="false"/>
          <w:bCs w:val="false"/>
          <w:i w:val="false"/>
          <w:iCs w:val="false"/>
          <w:sz w:val="22"/>
          <w:szCs w:val="22"/>
        </w:rPr>
        <w:t xml:space="preserve">HL7 FHIR هو معيار حديث قائم على واجهة برمجة التطبيقات، مصمم لتبادل المعلومات الصحية الإلكترونية بسرعة وأمان عبر أنظمة متنوعة. يقسّم هذا المعيار البيانات الطبية المعقدة إلى مكونات صغيرة يسهل إدارتها تُسمى "الموارد" — مثل المريض والحساسية ونتائج المختبر — باستخدام تقنيات الويب الحديثة.</w:t>
      </w:r>
    </w:p>
    <w:p>
      <w:pPr>
        <w:bidi/>
        <w:spacing w:after="160" w:line="300"/>
        <w:jc w:val="right"/>
      </w:pPr>
      <w:r>
        <w:rPr>
          <w:rFonts w:ascii="Calibri" w:cs="Calibri" w:eastAsia="Calibri" w:hAnsi="Calibri"/>
          <w:b w:val="false"/>
          <w:bCs w:val="false"/>
          <w:i w:val="false"/>
          <w:iCs w:val="false"/>
          <w:sz w:val="22"/>
          <w:szCs w:val="22"/>
        </w:rPr>
        <w:t xml:space="preserve">ويُعد FHIR إلزاميًا لتحقيق قابلية التشغيل البيني لتكنولوجيا المعلومات الصحية في العديد من البلدان، مما يجعله ضروريًا لبناء تطبيقات صحية تتمحور حول المريض، وتمكّن تنسيق الرعاية بسلاسة عبر المختبرات والصيدليات والأجهزة القابلة للارتداء معًا.</w:t>
      </w:r>
    </w:p>
    <w:p>
      <w:pPr>
        <w:bidi/>
        <w:spacing w:after="160" w:line="300"/>
        <w:jc w:val="right"/>
      </w:pPr>
      <w:r>
        <w:rPr>
          <w:rFonts w:ascii="Calibri" w:cs="Calibri" w:eastAsia="Calibri" w:hAnsi="Calibri"/>
          <w:b w:val="false"/>
          <w:bCs w:val="false"/>
          <w:i w:val="false"/>
          <w:iCs w:val="false"/>
          <w:sz w:val="22"/>
          <w:szCs w:val="22"/>
        </w:rPr>
        <w:t xml:space="preserve">التصنيف الدولي للأمراض هو المعيار العالمي لمعلومات التشخيص الصحي، طورته وتتولى صيانته منظمة الصحة العالمية. ويمثل الإصدار الحادي عشر أحدث تطور لهذا النظام، بدقة محسّنة تضم أكثر من سبعة عشر ألف رمز فريد وأكثر من مئة وعشرين ألف مصطلح قابل للترميز، مع تكامل رقمي كامل مع السجلات الصحية الإلكترونية الحديثة، ومحتوى مُحدَّث يشمل توصيات تشخيصية جديدة للصحة النفسية.</w:t>
      </w:r>
    </w:p>
    <w:p>
      <w:pPr>
        <w:bidi/>
        <w:spacing w:after="160" w:line="300"/>
        <w:jc w:val="right"/>
      </w:pPr>
      <w:r>
        <w:rPr>
          <w:rFonts w:ascii="Calibri" w:cs="Calibri" w:eastAsia="Calibri" w:hAnsi="Calibri"/>
          <w:b w:val="false"/>
          <w:bCs w:val="false"/>
          <w:i w:val="false"/>
          <w:iCs w:val="false"/>
          <w:sz w:val="22"/>
          <w:szCs w:val="22"/>
        </w:rPr>
        <w:t xml:space="preserve">تتحقق القيمة الاقتصادية لتكنولوجيا الرعاية الصحية عبر ثلاثة مسارات: تحسين التكاليف التشغيلية برفع كفاءة تقديم الرعاية، والوقاية من تفاقم الأمراض عبر التشخيص المبكر والإدارة الفعالة، وتحسين النتائج الاجتماعية والاقتصادية للمجتمع ككل، حيث يتمتع المرضى الأصحاء بقدرة أكبر على البقاء نشطين اقتصاديًا.</w:t>
      </w:r>
    </w:p>
    <w:p>
      <w:pPr>
        <w:bidi/>
        <w:spacing w:after="160" w:line="300"/>
        <w:jc w:val="right"/>
      </w:pPr>
      <w:r>
        <w:rPr>
          <w:rFonts w:ascii="Calibri" w:cs="Calibri" w:eastAsia="Calibri" w:hAnsi="Calibri"/>
          <w:b w:val="false"/>
          <w:bCs w:val="false"/>
          <w:i w:val="false"/>
          <w:iCs w:val="false"/>
          <w:sz w:val="22"/>
          <w:szCs w:val="22"/>
        </w:rPr>
        <w:t xml:space="preserve">ورغم أن العائد على الاستثمار في هذه التقنيات قد يبدو مرتفع التكلفة في مراحله الأولى، فإن الوفورات طويلة الأجل من تجنب إدارة الأمراض في مراحلها المتأخرة، غالبًا ما تفوق هذه التكلفة الأولية.</w:t>
      </w:r>
    </w:p>
    <w:p>
      <w:pPr>
        <w:bidi/>
        <w:spacing w:after="160" w:line="300"/>
        <w:jc w:val="right"/>
      </w:pPr>
      <w:r>
        <w:rPr>
          <w:rFonts w:ascii="Calibri" w:cs="Calibri" w:eastAsia="Calibri" w:hAnsi="Calibri"/>
          <w:b w:val="false"/>
          <w:bCs w:val="false"/>
          <w:i w:val="false"/>
          <w:iCs w:val="false"/>
          <w:sz w:val="22"/>
          <w:szCs w:val="22"/>
        </w:rPr>
        <w:t xml:space="preserve">تلعب المعايير دورًا محوريًا في تقييم التقنيات الصحية، إذ توفر مرجعية علمية راسخة وموثقة للسلامة والجودة والفعالية والجدوى الاقتصادية. فهي تُمكّن الهيئات التنظيمية ومنظمات الشراء ومقدمي الرعاية من التحقق من موثوقية المنتجات قبل اعتمادها، وتُيسّر الشراء القائم على الأدلة عبر مقارنة موضوعية بين مختلف الموردين.</w:t>
      </w:r>
    </w:p>
    <w:p>
      <w:pPr>
        <w:bidi/>
        <w:spacing w:after="160" w:line="300"/>
        <w:jc w:val="right"/>
      </w:pPr>
      <w:r>
        <w:rPr>
          <w:rFonts w:ascii="Calibri" w:cs="Calibri" w:eastAsia="Calibri" w:hAnsi="Calibri"/>
          <w:b w:val="false"/>
          <w:bCs w:val="false"/>
          <w:i w:val="false"/>
          <w:iCs w:val="false"/>
          <w:sz w:val="22"/>
          <w:szCs w:val="22"/>
        </w:rPr>
        <w:t xml:space="preserve">يعتمد تصميم الحلول الرقمية للخدمات الصحية على منهج التصميم المتمحور حول الإنسان، الذي يضع المستخدمين — المرضى والأطباء — في صميم عملية التصميم والتطوير، من خلال فهم احتياجاتهم وسلوكياتهم وتجاربهم، بدلًا من الاعتماد على افتراضات تقنية أو جمالية بحتة.</w:t>
      </w:r>
    </w:p>
    <w:p>
      <w:pPr>
        <w:bidi/>
        <w:spacing w:after="160" w:line="300"/>
        <w:jc w:val="right"/>
      </w:pPr>
      <w:r>
        <w:rPr>
          <w:rFonts w:ascii="Calibri" w:cs="Calibri" w:eastAsia="Calibri" w:hAnsi="Calibri"/>
          <w:b w:val="false"/>
          <w:bCs w:val="false"/>
          <w:i w:val="false"/>
          <w:iCs w:val="false"/>
          <w:sz w:val="22"/>
          <w:szCs w:val="22"/>
        </w:rPr>
        <w:t xml:space="preserve">وتمر هذه العملية بثلاث مراحل: الإلهام والتحديد، عبر البحث في الجمهور المستهدف لتحديد المشكلة الأساسية؛ فالتفكير الإبداعي، عبر العصف الذهني وتوليد حلول متعددة؛ فالتنفيذ، عبر بناء نماذج أولية واختبارها مع المستخدمين وتطبيق أفضل الحلول.</w:t>
      </w:r>
    </w:p>
    <w:p>
      <w:pPr>
        <w:bidi/>
        <w:spacing w:after="160" w:line="300"/>
        <w:jc w:val="right"/>
      </w:pPr>
      <w:r>
        <w:rPr>
          <w:rFonts w:ascii="Calibri" w:cs="Calibri" w:eastAsia="Calibri" w:hAnsi="Calibri"/>
          <w:b w:val="false"/>
          <w:bCs w:val="false"/>
          <w:i w:val="false"/>
          <w:iCs w:val="false"/>
          <w:sz w:val="22"/>
          <w:szCs w:val="22"/>
        </w:rPr>
        <w:t xml:space="preserve">ومن أفضل الممارسات في هذا المجال: التصميم والتفاعل المتمحوران حول المستخدم، والسلامة السريرية والتصميم القائم على الأدلة، والتوافقية والمعايير التقنية، وأمن البيانات والخصوصية منذ البداية لا كإضافة لاحقة، والتنفيذ المستدام، والتحسين المستمر بعد الإطلاق.</w:t>
      </w:r>
    </w:p>
    <w:p>
      <w:pPr>
        <w:pBdr>
          <w:bottom w:val="single" w:color="C9C9C9" w:sz="6"/>
        </w:pBdr>
        <w:spacing w:after="200" w:before="200"/>
      </w:pPr>
    </w:p>
    <w:p>
      <w:pPr>
        <w:pStyle w:val="Heading1"/>
        <w:bidi/>
        <w:spacing w:after="200" w:before="400"/>
        <w:jc w:val="right"/>
      </w:pPr>
      <w:r>
        <w:rPr>
          <w:rFonts w:ascii="Calibri" w:cs="Calibri" w:eastAsia="Calibri" w:hAnsi="Calibri"/>
          <w:b/>
          <w:bCs/>
          <w:color w:val="1E4620"/>
          <w:sz w:val="32"/>
          <w:szCs w:val="32"/>
        </w:rPr>
        <w:t xml:space="preserve">الوحدة الرابعة — الأمن السيبراني والخصوصية والثقة</w:t>
      </w:r>
    </w:p>
    <w:p>
      <w:pPr>
        <w:bidi/>
        <w:spacing w:after="160" w:line="300"/>
        <w:jc w:val="right"/>
      </w:pPr>
      <w:r>
        <w:rPr>
          <w:rFonts w:ascii="Calibri" w:cs="Calibri" w:eastAsia="Calibri" w:hAnsi="Calibri"/>
          <w:b w:val="false"/>
          <w:bCs w:val="false"/>
          <w:i w:val="false"/>
          <w:iCs w:val="false"/>
          <w:sz w:val="22"/>
          <w:szCs w:val="22"/>
        </w:rPr>
        <w:t xml:space="preserve">الأمن السيبراني هو ممارسة حماية أجهزة الكمبيوتر والخوادم والأجهزة المحمولة والأنظمة الإلكترونية والشبكات والبيانات من الهجمات الرقمية الخبيثة والوصول غير المصرح به والتلف. وفي مجال الرعاية الصحية تحديدًا، يشمل ذلك حماية بيانات المرضى الحساسة والأجهزة الطبية والبنية التحتية لتكنولوجيا المعلومات، لضمان سلامة المرضى واستمرارية العمليات.</w:t>
      </w:r>
    </w:p>
    <w:p>
      <w:pPr>
        <w:bidi/>
        <w:spacing w:after="160" w:line="300"/>
        <w:jc w:val="right"/>
      </w:pPr>
      <w:r>
        <w:rPr>
          <w:rFonts w:ascii="Calibri" w:cs="Calibri" w:eastAsia="Calibri" w:hAnsi="Calibri"/>
          <w:b w:val="false"/>
          <w:bCs w:val="false"/>
          <w:i w:val="false"/>
          <w:iCs w:val="false"/>
          <w:sz w:val="22"/>
          <w:szCs w:val="22"/>
        </w:rPr>
        <w:t xml:space="preserve">تُصنَّف التهديدات السيبرانية في الرعاية الصحية حسب أسلوب الهجوم والهدف إلى عدة فئات رئيسية: برامج الفدية والبرامج الضارة التي تُشفّر البيانات وتُعطّل الأنظمة السريرية للمطالبة بفدية؛ والتصيّد الاحتيالي والهندسة الاجتماعية التي تستهدف الموظفين لسرقة بيانات اعتمادهم، وهي الأكثر شيوعًا؛ واختراقات البيانات للوصول غير المصرح به لبيانات المرضى؛ واختراق إنترنت الأشياء الطبية الذي قد يعرّض سلامة المريض للخطر مباشرة؛ والتهديدات الداخلية من الموظفين أو الشركاء؛ وهجمات الحرمان من الخدمة الموزعة؛ ومخاطر الأطراف الثالثة وسلسلة التوريد؛ واستغلال الأنظمة القديمة التي يصعب تحديثها.</w:t>
      </w:r>
    </w:p>
    <w:p>
      <w:pPr>
        <w:bidi/>
        <w:spacing w:after="160" w:line="300"/>
        <w:jc w:val="right"/>
      </w:pPr>
      <w:r>
        <w:rPr>
          <w:rFonts w:ascii="Calibri" w:cs="Calibri" w:eastAsia="Calibri" w:hAnsi="Calibri"/>
          <w:b w:val="false"/>
          <w:bCs w:val="false"/>
          <w:i w:val="false"/>
          <w:iCs w:val="false"/>
          <w:sz w:val="22"/>
          <w:szCs w:val="22"/>
        </w:rPr>
        <w:t xml:space="preserve">وتُعد التقارير واضحة في هذا الشأن: أبرز هذه التهديدات هي التصيد الاحتيالي بنسبة أربعين بالمئة، تليه اختراقات البيانات بنسبة عشرين بالمئة، ثم برامج الفدية بنسبة اثني عشر بالمئة.</w:t>
      </w:r>
    </w:p>
    <w:p>
      <w:pPr>
        <w:bidi/>
        <w:spacing w:after="160" w:line="300"/>
        <w:jc w:val="right"/>
      </w:pPr>
      <w:r>
        <w:rPr>
          <w:rFonts w:ascii="Calibri" w:cs="Calibri" w:eastAsia="Calibri" w:hAnsi="Calibri"/>
          <w:b w:val="false"/>
          <w:bCs w:val="false"/>
          <w:i w:val="false"/>
          <w:iCs w:val="false"/>
          <w:sz w:val="22"/>
          <w:szCs w:val="22"/>
        </w:rPr>
        <w:t xml:space="preserve">إدارة حوادث الأمن السيبراني هي عملية منظمة ودورية تُستخدم للكشف عن الهجمات الإلكترونية واحتوائها وحلها، مع تقليل الأضرار إلى أدنى حد. وتمر هذه العملية بخمس مراحل رئيسية: الاستعداد ببناء القدرات وتشكيل فريق الاستجابة، فالكشف والتحليل لرصد مؤشرات الاختراق، فالاحتواء للحد من انتشار الهجوم، فالاستئصال والتعافي لإزالة السبب الجذري وإعادة الأنظمة لوضعها الطبيعي، وأخيرًا الأنشطة اللاحقة للحادث لتوثيق الدروس المستفادة.</w:t>
      </w:r>
    </w:p>
    <w:p>
      <w:pPr>
        <w:bidi/>
        <w:spacing w:after="160" w:line="300"/>
        <w:jc w:val="right"/>
      </w:pPr>
      <w:r>
        <w:rPr>
          <w:rFonts w:ascii="Calibri" w:cs="Calibri" w:eastAsia="Calibri" w:hAnsi="Calibri"/>
          <w:b w:val="false"/>
          <w:bCs w:val="false"/>
          <w:i w:val="false"/>
          <w:iCs w:val="false"/>
          <w:sz w:val="22"/>
          <w:szCs w:val="22"/>
        </w:rPr>
        <w:t xml:space="preserve">يمثّل الأمن عاملًا حاسمًا في تبني تكنولوجيا الرعاية الصحية؛ فهو عائق كبير ودافع للابتكار في آنٍ واحد. فرغم أن التدابير الأمنية القوية تُعزز الثقة وتُسهّل قبول التكنولوجيا، إلا أن الخوف من اختراقات البيانات والتكاليف الباهظة للامتثال غالبًا ما يُعيق تبني أنظمة جديدة أكثر كفاءة — خصوصًا أن الخطأ البشري لا يزال يُشكّل سببًا رئيسيًا للاختراقات، مما يجعل التدريب والثقافة الأمنية ركيزة لا غنى عنها.</w:t>
      </w:r>
    </w:p>
    <w:p>
      <w:pPr>
        <w:bidi/>
        <w:spacing w:after="160" w:line="300"/>
        <w:jc w:val="right"/>
      </w:pPr>
      <w:r>
        <w:rPr>
          <w:rFonts w:ascii="Calibri" w:cs="Calibri" w:eastAsia="Calibri" w:hAnsi="Calibri"/>
          <w:b w:val="false"/>
          <w:bCs w:val="false"/>
          <w:i w:val="false"/>
          <w:iCs w:val="false"/>
          <w:sz w:val="22"/>
          <w:szCs w:val="22"/>
        </w:rPr>
        <w:t xml:space="preserve">تصميم وبناء المرونة السيبرانية الشاملة نهج استراتيجي يتجاوز مجرد الوقاية، لأنه يُسلّم بأن الاختراقات أمر لا مفر منه. فبينما يركز الأمن السيبراني على منع الاختراقات من خلال الدفاعات، تركز المرونة السيبرانية على استمرارية العمليات واستعادتها عند وقوع الاختراق فعليًا. وتقل احتمالية تعرض المؤسسات ذات المرونة العالية للهجمات المتقدمة بنسبة تسعة وستين بالمئة.</w:t>
      </w:r>
    </w:p>
    <w:p>
      <w:pPr>
        <w:bidi/>
        <w:spacing w:after="160" w:line="300"/>
        <w:jc w:val="right"/>
      </w:pPr>
      <w:r>
        <w:rPr>
          <w:rFonts w:ascii="Calibri" w:cs="Calibri" w:eastAsia="Calibri" w:hAnsi="Calibri"/>
          <w:b w:val="false"/>
          <w:bCs w:val="false"/>
          <w:i w:val="false"/>
          <w:iCs w:val="false"/>
          <w:sz w:val="22"/>
          <w:szCs w:val="22"/>
        </w:rPr>
        <w:t xml:space="preserve">وتستند الاستراتيجية المرنة إلى أربعة أركان: توقع التهديدات، ومقاومة الهجمات من خلال الاحتواء، والتعافي من خلال بروتوكولات مُختبَرة، والتكيف بناءً على الدروس المستفادة.</w:t>
      </w:r>
    </w:p>
    <w:p>
      <w:pPr>
        <w:bidi/>
        <w:spacing w:after="160" w:line="300"/>
        <w:jc w:val="right"/>
      </w:pPr>
      <w:r>
        <w:rPr>
          <w:rFonts w:ascii="Calibri" w:cs="Calibri" w:eastAsia="Calibri" w:hAnsi="Calibri"/>
          <w:b w:val="false"/>
          <w:bCs w:val="false"/>
          <w:i w:val="false"/>
          <w:iCs w:val="false"/>
          <w:sz w:val="22"/>
          <w:szCs w:val="22"/>
        </w:rPr>
        <w:t xml:space="preserve">إطار الأمن السيبراني عبارة عن مجموعة منظمة من الإرشادات وأفضل الممارسات والمعايير المصممة لمساعدة المؤسسات على إدارة مخاطر الأمن السيبراني والحد منها. ومن أبرز هذه الأطر: إطار عمل المعهد الوطني للمعايير والتكنولوجيا NIST، الذي يقوم على ست وظائف أساسية: التحديد، والحماية، والكشف، والاستجابة، والاستعادة، والحوكمة.</w:t>
      </w:r>
    </w:p>
    <w:p>
      <w:pPr>
        <w:bidi/>
        <w:spacing w:after="160" w:line="300"/>
        <w:jc w:val="right"/>
      </w:pPr>
      <w:r>
        <w:rPr>
          <w:rFonts w:ascii="Calibri" w:cs="Calibri" w:eastAsia="Calibri" w:hAnsi="Calibri"/>
          <w:b w:val="false"/>
          <w:bCs w:val="false"/>
          <w:i w:val="false"/>
          <w:iCs w:val="false"/>
          <w:sz w:val="22"/>
          <w:szCs w:val="22"/>
        </w:rPr>
        <w:t xml:space="preserve">أما المعيار الدولي ISO 27001، فهو الرائد لأنظمة إدارة أمن المعلومات، ويوفر إطارًا من السياسات والإجراءات والضوابط لحماية بيانات المؤسسة، عبر نهج قائم على المخاطر يبدأ بتحديد الأصول، ثم التهديدات، ثم نقاط الضعف، ثم تقييم المخاطر، وأخيرًا معالجتها — ضمن نموذج دورة حياة معروف بـ"خطط، نفّذ، راجع، حسّن".</w:t>
      </w:r>
    </w:p>
    <w:p>
      <w:pPr>
        <w:bidi/>
        <w:spacing w:after="160" w:line="300"/>
        <w:jc w:val="right"/>
      </w:pPr>
      <w:r>
        <w:rPr>
          <w:rFonts w:ascii="Calibri" w:cs="Calibri" w:eastAsia="Calibri" w:hAnsi="Calibri"/>
          <w:b w:val="false"/>
          <w:bCs w:val="false"/>
          <w:i w:val="false"/>
          <w:iCs w:val="false"/>
          <w:sz w:val="22"/>
          <w:szCs w:val="22"/>
        </w:rPr>
        <w:t xml:space="preserve">الامتثال يعني الالتزام بالقوانين واللوائح والسياسات والمعايير التي تحكم نشاط المؤسسة أو الفرد، من الناحية القانونية والتنظيمية والأخلاقية على حد سواء. وتبرز أهميته في الحماية القانونية وتقليل المخاطر، وتعزيز السمعة والثقة، وتحسين الحوكمة الداخلية، ودعم الاستدامة والنمو، ورفع كفاءة الأداء والموارد.</w:t>
      </w:r>
    </w:p>
    <w:p>
      <w:pPr>
        <w:bidi/>
        <w:spacing w:after="160" w:line="300"/>
        <w:jc w:val="right"/>
      </w:pPr>
      <w:r>
        <w:rPr>
          <w:rFonts w:ascii="Calibri" w:cs="Calibri" w:eastAsia="Calibri" w:hAnsi="Calibri"/>
          <w:b w:val="false"/>
          <w:bCs w:val="false"/>
          <w:i w:val="false"/>
          <w:iCs w:val="false"/>
          <w:sz w:val="22"/>
          <w:szCs w:val="22"/>
        </w:rPr>
        <w:t xml:space="preserve">وغالبًا ما تُذكر الحوكمة والمخاطر والامتثال معًا تحت مصطلح GRC؛ فالحوكمة إطار قيادي طويل المدى لتوجيه المؤسسة، وإدارة المخاطر تحليل وتخطيط وقائي لاستباق الأحداث غير المتوقعة، والامتثال تنفيذ وضبط مستمر لضمان الالتزام بالقوانين والمعايير.</w:t>
      </w:r>
    </w:p>
    <w:p>
      <w:pPr>
        <w:bidi/>
        <w:spacing w:after="160" w:line="300"/>
        <w:jc w:val="right"/>
      </w:pPr>
      <w:r>
        <w:rPr>
          <w:rFonts w:ascii="Calibri" w:cs="Calibri" w:eastAsia="Calibri" w:hAnsi="Calibri"/>
          <w:b w:val="false"/>
          <w:bCs w:val="false"/>
          <w:i w:val="false"/>
          <w:iCs w:val="false"/>
          <w:sz w:val="22"/>
          <w:szCs w:val="22"/>
        </w:rPr>
        <w:t xml:space="preserve">تشمل فئات الامتثال في القطاع الصحي: الامتثال الصحي، وأمن المعلومات، والأخلاقي، والتشغيلي الداخلي، والقانوني، والتنظيمي، والمالي، والبيئي. ولكي يكون برنامج الامتثال المؤسسي متكاملًا وفعّالًا، يجب أن يضم: التزام القيادة، وسياسات وإجراءات واضحة، وتحديد الأدوار والمسؤوليات، وتقييم مخاطر الامتثال، وبرامج تدريب وتوعية، وآليات إبلاغ وتحقيق آمنة، ورصدًا ومراجعة مستمرة، وتحسينًا مستمرًا مبنيًا على الدروس المستفادة.</w:t>
      </w:r>
    </w:p>
    <w:p>
      <w:pPr>
        <w:pBdr>
          <w:bottom w:val="single" w:color="C9C9C9" w:sz="6"/>
        </w:pBdr>
        <w:spacing w:after="200" w:before="200"/>
      </w:pPr>
    </w:p>
    <w:p>
      <w:pPr>
        <w:pStyle w:val="Heading1"/>
        <w:bidi/>
        <w:spacing w:after="200" w:before="400"/>
        <w:jc w:val="right"/>
      </w:pPr>
      <w:r>
        <w:rPr>
          <w:rFonts w:ascii="Calibri" w:cs="Calibri" w:eastAsia="Calibri" w:hAnsi="Calibri"/>
          <w:b/>
          <w:bCs/>
          <w:color w:val="1E4620"/>
          <w:sz w:val="32"/>
          <w:szCs w:val="32"/>
        </w:rPr>
        <w:t xml:space="preserve">الوحدة الخامسة — الأطر القانونية، الأخلاقيات، والتعاون</w:t>
      </w:r>
    </w:p>
    <w:p>
      <w:pPr>
        <w:bidi/>
        <w:spacing w:after="160" w:line="300"/>
        <w:jc w:val="right"/>
      </w:pPr>
      <w:r>
        <w:rPr>
          <w:rFonts w:ascii="Calibri" w:cs="Calibri" w:eastAsia="Calibri" w:hAnsi="Calibri"/>
          <w:b w:val="false"/>
          <w:bCs w:val="false"/>
          <w:i w:val="false"/>
          <w:iCs w:val="false"/>
          <w:sz w:val="22"/>
          <w:szCs w:val="22"/>
        </w:rPr>
        <w:t xml:space="preserve">تُعد التشريعات المنظمة للتقنيات الصحية ضرورة حتمية لضمان سلامة المرضى، وحماية البيانات الشخصية، وضمان جودة الرعاية. فهي تضمن سلامة المرضى والجودة عبر معايير دقيقة للاستخدام الآمن للأجهزة، وتواكب التطور التكنولوجي من ذكاء اصطناعي وطب اتصالي، وتحمي البيانات الشخصية والخصوصية، وتحدد المسؤولية القانونية عند استخدام تقنيات جديدة، وتنظم البحث العلمي والابتكار، وتعزز الثقة في الرعاية الصحية.</w:t>
      </w:r>
    </w:p>
    <w:p>
      <w:pPr>
        <w:bidi/>
        <w:spacing w:after="160" w:line="300"/>
        <w:jc w:val="right"/>
      </w:pPr>
      <w:r>
        <w:rPr>
          <w:rFonts w:ascii="Calibri" w:cs="Calibri" w:eastAsia="Calibri" w:hAnsi="Calibri"/>
          <w:b w:val="false"/>
          <w:bCs w:val="false"/>
          <w:i w:val="false"/>
          <w:iCs w:val="false"/>
          <w:sz w:val="22"/>
          <w:szCs w:val="22"/>
        </w:rPr>
        <w:t xml:space="preserve">تتمثل أدوار الجهات التنظيمية في التشريعات الصحية في وضع المعايير والرقابة على المرافق الصحية، وإصدار التراخيص والاعتماد للمؤسسات والمنتجات الطبية، ومراقبة ما بعد التسويق لضمان سلامة الأجهزة المتداولة، والمشاركة في التخطيط والهيكلة الصحية، وتنظيم العمل الفني عبر لجان متخصصة، وتشريع المنتجات الطبية، وإصلاح المنظومة الصحية بشكل مستمر.</w:t>
      </w:r>
    </w:p>
    <w:p>
      <w:pPr>
        <w:bidi/>
        <w:spacing w:after="160" w:line="300"/>
        <w:jc w:val="right"/>
      </w:pPr>
      <w:r>
        <w:rPr>
          <w:rFonts w:ascii="Calibri" w:cs="Calibri" w:eastAsia="Calibri" w:hAnsi="Calibri"/>
          <w:b w:val="false"/>
          <w:bCs w:val="false"/>
          <w:i w:val="false"/>
          <w:iCs w:val="false"/>
          <w:sz w:val="22"/>
          <w:szCs w:val="22"/>
        </w:rPr>
        <w:t xml:space="preserve">الخصوصية بالتصميم إطار عمل يهدف إلى دمج الخصوصية في تصميم وهيكلة أنظمة تكنولوجيا المعلومات منذ البداية، وهو نهج استباقي وليس ردّ فعل، يركز على منع انتهاكات الخصوصية قبل وقوعها. وتقوم هذه الفلسفة على سبعة مبادئ أساسية: الاستباقية لا رد الفعل، والخصوصية كإعداد افتراضي، ودمج الخصوصية في التصميم كوظيفة أساسية، وتحقيق التوازن بين جميع المصالح دون تنازلات غير ضرورية، وحماية دورة الحياة الكاملة للبيانات، والشفافية والوضوح، واحترام خصوصية المستخدم بجعله محور القرار.</w:t>
      </w:r>
    </w:p>
    <w:p>
      <w:pPr>
        <w:bidi/>
        <w:spacing w:after="160" w:line="300"/>
        <w:jc w:val="right"/>
      </w:pPr>
      <w:r>
        <w:rPr>
          <w:rFonts w:ascii="Calibri" w:cs="Calibri" w:eastAsia="Calibri" w:hAnsi="Calibri"/>
          <w:b w:val="false"/>
          <w:bCs w:val="false"/>
          <w:i w:val="false"/>
          <w:iCs w:val="false"/>
          <w:sz w:val="22"/>
          <w:szCs w:val="22"/>
        </w:rPr>
        <w:t xml:space="preserve">اللائحة العامة لحماية البيانات، المعروفة اختصارًا بـ GDPR، هي قانون شامل للاتحاد الأوروبي يهدف إلى توحيد قوانين خصوصية البيانات، ويمنح الأفراد سيطرة أكبر على بياناتهم، بما في ذلك حق الوصول إليها وحذفها والموافقة على استخدامها. وتقوم هذه اللائحة على مبادئ راسخة: العدالة والشفافية، وتحديد الغرض من جمع البيانات، وتقليل البيانات المُجمَّعة للحد الضروري، والدقة، وتحديد مدة التخزين، والنزاهة والسرية، والمساءلة. وقد يؤدي عدم الامتثال إلى غرامات باهظة تصل إلى عشرين مليون يورو، أو أربعة بالمئة من إجمالي الإيرادات السنوية العالمية، أيهما أكبر.</w:t>
      </w:r>
    </w:p>
    <w:p>
      <w:pPr>
        <w:bidi/>
        <w:spacing w:after="160" w:line="300"/>
        <w:jc w:val="right"/>
      </w:pPr>
      <w:r>
        <w:rPr>
          <w:rFonts w:ascii="Calibri" w:cs="Calibri" w:eastAsia="Calibri" w:hAnsi="Calibri"/>
          <w:b w:val="false"/>
          <w:bCs w:val="false"/>
          <w:i w:val="false"/>
          <w:iCs w:val="false"/>
          <w:sz w:val="22"/>
          <w:szCs w:val="22"/>
        </w:rPr>
        <w:t xml:space="preserve">قانون قابلية نقل التأمين الصحي والمساءلة، المعروف بـ HIPAA، هو قانون فيدرالي أمريكي يضع معايير وطنية لحماية المعلومات الصحية الحساسة للمرضى من الإفصاح غير المصرح به، عبر قاعدة الخصوصية التي تحدد قواعد استخدام المعلومات، وقاعدة الأمن التي تُلزم بضمانات تقنية ومادية وإدارية، وقاعدة الإبلاغ عن الاختراقات، مع منح المرضى الحق في الوصول إلى سجلاتهم الطبية وتعديلها.</w:t>
      </w:r>
    </w:p>
    <w:p>
      <w:pPr>
        <w:bidi/>
        <w:spacing w:after="160" w:line="300"/>
        <w:jc w:val="right"/>
      </w:pPr>
      <w:r>
        <w:rPr>
          <w:rFonts w:ascii="Calibri" w:cs="Calibri" w:eastAsia="Calibri" w:hAnsi="Calibri"/>
          <w:b w:val="false"/>
          <w:bCs w:val="false"/>
          <w:i w:val="false"/>
          <w:iCs w:val="false"/>
          <w:sz w:val="22"/>
          <w:szCs w:val="22"/>
        </w:rPr>
        <w:t xml:space="preserve">نظام حماية البيانات الشخصية السعودي، والذي تشرف عليه الهيئة السعودية للبيانات والذكاء الاصطناعي "سدايا"، ينظم كيفية قيام المؤسسات بجمع البيانات الشخصية واستخدامها وتخزينها ونقلها، ويحمي خصوصية الأفراد من خلال اشتراط الموافقة الصريحة على معالجة البيانات، ومنح أصحاب البيانات حقوقهم كاملة.</w:t>
      </w:r>
    </w:p>
    <w:p>
      <w:pPr>
        <w:bidi/>
        <w:spacing w:after="160" w:line="300"/>
        <w:jc w:val="right"/>
      </w:pPr>
      <w:r>
        <w:rPr>
          <w:rFonts w:ascii="Calibri" w:cs="Calibri" w:eastAsia="Calibri" w:hAnsi="Calibri"/>
          <w:b w:val="false"/>
          <w:bCs w:val="false"/>
          <w:i w:val="false"/>
          <w:iCs w:val="false"/>
          <w:sz w:val="22"/>
          <w:szCs w:val="22"/>
        </w:rPr>
        <w:t xml:space="preserve">يهدف هذا النظام إلى حماية خصوصية الأفراد، وتنظيم معالجة البيانات الشخصية، وتعزيز الثقة في الخدمات الرقمية، ودعم التحول الرقمي ورؤية المملكة 2030، ومواءمة المملكة مع المعايير العالمية. وينطبق على الجهات الحكومية والشركات الخاصة ومقدمي الخدمات الرقمية، وحتى الجهات خارج المملكة التي تعالج بيانات أفراد داخلها.</w:t>
      </w:r>
    </w:p>
    <w:p>
      <w:pPr>
        <w:bidi/>
        <w:spacing w:after="160" w:line="300"/>
        <w:jc w:val="right"/>
      </w:pPr>
      <w:r>
        <w:rPr>
          <w:rFonts w:ascii="Calibri" w:cs="Calibri" w:eastAsia="Calibri" w:hAnsi="Calibri"/>
          <w:b w:val="false"/>
          <w:bCs w:val="false"/>
          <w:i w:val="false"/>
          <w:iCs w:val="false"/>
          <w:sz w:val="22"/>
          <w:szCs w:val="22"/>
        </w:rPr>
        <w:t xml:space="preserve">يقوم النظام على ست مبادئ: المشروعية في معالجة البيانات بطريقة نظامية وعادلة، وتحديد الغرض بوضوح، وتقليل البيانات المُجمَّعة للحد الأدنى الضروري، والدقة، وتحديد مدة الاحتفاظ، وحماية البيانات عبر ضوابط أمنية كالتشفير والتحكم في الوصول.</w:t>
      </w:r>
    </w:p>
    <w:p>
      <w:pPr>
        <w:bidi/>
        <w:spacing w:after="160" w:line="300"/>
        <w:jc w:val="right"/>
      </w:pPr>
      <w:r>
        <w:rPr>
          <w:rFonts w:ascii="Calibri" w:cs="Calibri" w:eastAsia="Calibri" w:hAnsi="Calibri"/>
          <w:b w:val="false"/>
          <w:bCs w:val="false"/>
          <w:i w:val="false"/>
          <w:iCs w:val="false"/>
          <w:sz w:val="22"/>
          <w:szCs w:val="22"/>
        </w:rPr>
        <w:t xml:space="preserve">ويمنح النظام أصحاب البيانات خمسة حقوق أساسية: الحق في العلم بسبب جمع بياناتهم، والحق في الوصول للاطلاع عليها، والحق في التصحيح، والحق في الإتلاف بطلب حذفها، والحق في سحب الموافقة في أي وقت. كما يشترط النظام موافقة صريحة وواضحة وموثقة وقابلة للسحب لمعالجة البيانات، ولا يجوز نقل البيانات خارج المملكة إلا وفق ضوابط محددة، ويجب الإبلاغ عن أي اختراق أمني للجهة المختصة وللأفراد المتضررين عند الحاجة.</w:t>
      </w:r>
    </w:p>
    <w:p>
      <w:pPr>
        <w:bidi/>
        <w:spacing w:after="160" w:line="300"/>
        <w:jc w:val="right"/>
      </w:pPr>
      <w:r>
        <w:rPr>
          <w:rFonts w:ascii="Calibri" w:cs="Calibri" w:eastAsia="Calibri" w:hAnsi="Calibri"/>
          <w:b w:val="false"/>
          <w:bCs w:val="false"/>
          <w:i w:val="false"/>
          <w:iCs w:val="false"/>
          <w:sz w:val="22"/>
          <w:szCs w:val="22"/>
        </w:rPr>
        <w:t xml:space="preserve">تشير أخلاقيات استخدام التقنيات الصحية إلى المبادئ والقواعد التي تنظّم استخدام التكنولوجيا في الرعاية الصحية بطريقة تحافظ على سلامة المرضى وخصوصيتهم وحقوقهم وعدالة الوصول للخدمات. وتقوم هذه الأخلاقيات على أربعة مبادئ راسخة: الاستقلالية، أي احترام حق المريض في معرفة كيفية استخدام بياناته والموافقة عليها أو رفضها؛ وعدم الإضرار، أي عدم استخدام التقنية بطريقة قد تسبب ضررًا للمريض؛ والإحسان، أي أن تحقق التقنية فائدة حقيقية له؛ والعدالة، أي ضمان الإنصاف في الوصول إلى الخدمات الصحية الرقمية.</w:t>
      </w:r>
    </w:p>
    <w:p>
      <w:pPr>
        <w:bidi/>
        <w:spacing w:after="160" w:line="300"/>
        <w:jc w:val="right"/>
      </w:pPr>
      <w:r>
        <w:rPr>
          <w:rFonts w:ascii="Calibri" w:cs="Calibri" w:eastAsia="Calibri" w:hAnsi="Calibri"/>
          <w:b w:val="false"/>
          <w:bCs w:val="false"/>
          <w:i w:val="false"/>
          <w:iCs w:val="false"/>
          <w:sz w:val="22"/>
          <w:szCs w:val="22"/>
        </w:rPr>
        <w:t xml:space="preserve">عند استخدام الذكاء الاصطناعي في الرعاية الصحية، تبرز ثلاثة اعتبارات أخلاقية جوهرية: الشفافية بمعرفة كيف يعمل النظام وما حدود دقته، والمساءلة بتحديد المسؤول عند حدوث خطأ — سواء الطبيب أو المستشفى أو مطوّر النظام، وعدم التحيّز بضمان أن تكون بيانات التدريب متوازنة وتمثل جميع المرضى، مع بقاء الإشراف البشري داعمًا للقرار الطبي لا بديلًا عنه.</w:t>
      </w:r>
    </w:p>
    <w:p>
      <w:pPr>
        <w:bidi/>
        <w:spacing w:after="160" w:line="300"/>
        <w:jc w:val="right"/>
      </w:pPr>
      <w:r>
        <w:rPr>
          <w:rFonts w:ascii="Calibri" w:cs="Calibri" w:eastAsia="Calibri" w:hAnsi="Calibri"/>
          <w:b w:val="false"/>
          <w:bCs w:val="false"/>
          <w:i w:val="false"/>
          <w:iCs w:val="false"/>
          <w:sz w:val="22"/>
          <w:szCs w:val="22"/>
        </w:rPr>
        <w:t xml:space="preserve">أما في الطب عن بُعد، فتشمل الأخلاقيات الأساسية: سرية الاتصال، والتحقق من هوية الطبيب والمريض، وحماية السجلات الطبية، ووضوح المسؤولية القانونية. وفي الأجهزة الطبية الذكية والقابلة للارتداء، يجب اختبار الأجهزة واعتمادها تنظيميًا ومراقبة أدائها المستمر، تفاديًا لمخاطر تسريب البيانات أو القراءات غير الدقيقة التي قد تُفضي إلى قرارات علاجية خاطئة.</w:t>
      </w:r>
    </w:p>
    <w:p>
      <w:pPr>
        <w:bidi/>
        <w:spacing w:after="160" w:line="300"/>
        <w:jc w:val="right"/>
      </w:pPr>
      <w:r>
        <w:rPr>
          <w:rFonts w:ascii="Calibri" w:cs="Calibri" w:eastAsia="Calibri" w:hAnsi="Calibri"/>
          <w:b w:val="false"/>
          <w:bCs w:val="false"/>
          <w:i w:val="false"/>
          <w:iCs w:val="false"/>
          <w:sz w:val="22"/>
          <w:szCs w:val="22"/>
        </w:rPr>
        <w:t xml:space="preserve">عند مشاركة البيانات الصحية لأغراض البحث العلمي، يجب الالتزام بموافقة المريض الصريحة، وإخفاء الهوية، وتحديد الغرض البحثي بوضوح، ومنع أي محاولة لإعادة التعريف بالمريض، والحصول على الموافقة المؤسسية اللازمة.</w:t>
      </w:r>
    </w:p>
    <w:p>
      <w:pPr>
        <w:bidi/>
        <w:spacing w:after="160" w:line="300"/>
        <w:jc w:val="right"/>
      </w:pPr>
      <w:r>
        <w:rPr>
          <w:rFonts w:ascii="Calibri" w:cs="Calibri" w:eastAsia="Calibri" w:hAnsi="Calibri"/>
          <w:b w:val="false"/>
          <w:bCs w:val="false"/>
          <w:i w:val="false"/>
          <w:iCs w:val="false"/>
          <w:sz w:val="22"/>
          <w:szCs w:val="22"/>
        </w:rPr>
        <w:t xml:space="preserve">وتلعب حوكمة الصحة الرقمية دورًا محوريًا في ضمان هذا الاستخدام الأخلاقي، من خلال سياسات استخدام البيانات، وإطار حوكمة واضح، وسياسات أمن سيبراني صحي، ولجان متخصصة لأخلاقيات التقنية الصحية، وتقييم دوري لأثر كل تقنية جديدة قبل تطبيقها.</w:t>
      </w:r>
    </w:p>
    <w:p>
      <w:pPr>
        <w:bidi/>
        <w:spacing w:after="160" w:line="300"/>
        <w:jc w:val="right"/>
      </w:pPr>
      <w:r>
        <w:rPr>
          <w:rFonts w:ascii="Calibri" w:cs="Calibri" w:eastAsia="Calibri" w:hAnsi="Calibri"/>
          <w:b w:val="false"/>
          <w:bCs w:val="false"/>
          <w:i w:val="false"/>
          <w:iCs w:val="false"/>
          <w:sz w:val="22"/>
          <w:szCs w:val="22"/>
        </w:rPr>
        <w:t xml:space="preserve">تختتم رحلتنا في هذه الحقيبة بمحور التعاون: الشراكات مع القطاع الخاص، والتعاون البحثي والتقني، وإدارة المصالح المشتركة بشفافية، وتسريع الابتكار المنظم عبر أطر واضحة تجمع بين الابتكار والمسؤولية.</w:t>
      </w:r>
    </w:p>
    <w:p>
      <w:pPr>
        <w:bidi/>
        <w:spacing w:after="160" w:line="300"/>
        <w:jc w:val="right"/>
      </w:pPr>
      <w:r>
        <w:rPr>
          <w:rFonts w:ascii="Calibri" w:cs="Calibri" w:eastAsia="Calibri" w:hAnsi="Calibri"/>
          <w:b w:val="false"/>
          <w:bCs w:val="false"/>
          <w:i w:val="false"/>
          <w:iCs w:val="false"/>
          <w:sz w:val="22"/>
          <w:szCs w:val="22"/>
        </w:rPr>
        <w:t xml:space="preserve">من التقييم الاقتصادي للتقنية، إلى إدارة بياناتها، إلى تشغيلها البيني، إلى تأمينها، إلى حوكمتها القانونية والأخلاقية — هذه هي المنظومة الكاملة التي تضمن أن يخدم التطور التكنولوجي هدفه الأسمى: صحة الإنسان وكرامته. شكرًا لمتابعتكم معي في هذه الحقيبة.</w:t>
      </w:r>
    </w:p>
    <w:p>
      <w:pPr>
        <w:pBdr>
          <w:bottom w:val="single" w:color="C9C9C9" w:sz="6"/>
        </w:pBdr>
        <w:spacing w:after="200" w:before="200"/>
      </w:pPr>
    </w:p>
    <w:p>
      <w:pPr>
        <w:bidi/>
        <w:spacing w:after="200"/>
        <w:jc w:val="right"/>
      </w:pPr>
      <w:r>
        <w:rPr>
          <w:rFonts w:ascii="Calibri" w:cs="Calibri" w:eastAsia="Calibri" w:hAnsi="Calibri"/>
          <w:i/>
          <w:iCs/>
          <w:color w:val="7A7A7A"/>
          <w:sz w:val="20"/>
          <w:szCs w:val="20"/>
        </w:rPr>
        <w:t xml:space="preserve">نهاية سكريبت المراجعة — بانتظار ملاحظات العميل قبل البدء في تسجيل الصوت وبناء الشرائح.</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2026-08-18T11:32:57.557Z</dcterms:created>
  <dcterms:modified xsi:type="dcterms:W3CDTF">2026-08-18T11:32:57.558Z</dcterms:modified>
</cp:coreProperties>
</file>

<file path=docProps/custom.xml><?xml version="1.0" encoding="utf-8"?>
<Properties xmlns="http://schemas.openxmlformats.org/officeDocument/2006/custom-properties" xmlns:vt="http://schemas.openxmlformats.org/officeDocument/2006/docPropsVTypes"/>
</file>