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b/>
          <w:i w:val="0"/>
          <w:color w:val="2C3E50"/>
          <w:sz w:val="28"/>
        </w:rPr>
        <w:t>MÉMOIRE DE STAGE DE MASTER 2</w:t>
      </w:r>
    </w:p>
    <w:p>
      <w:pPr>
        <w:spacing w:before="80" w:after="80"/>
        <w:jc w:val="center"/>
      </w:pPr>
      <w:r>
        <w:rPr>
          <w:rFonts w:ascii="Times New Roman" w:hAnsi="Times New Roman"/>
          <w:b w:val="0"/>
          <w:i/>
          <w:sz w:val="26"/>
        </w:rPr>
        <w:t>Sciences de la Donnée de Santé</w:t>
      </w:r>
    </w:p>
    <w:p/>
    <w:p/>
    <w:p>
      <w:pPr>
        <w:jc w:val="center"/>
      </w:pPr>
      <w:r>
        <w:rPr>
          <w:rFonts w:ascii="Times New Roman" w:hAnsi="Times New Roman"/>
          <w:b/>
          <w:i w:val="0"/>
          <w:color w:val="2C3E50"/>
          <w:sz w:val="36"/>
        </w:rPr>
        <w:t>Modélisation semi-mécaniste de l'hématotoxicité</w:t>
        <w:br/>
        <w:t>induite par les anticorps-drogue conjugués :</w:t>
        <w:br/>
        <w:t>développement d'un pipeline PK/PD</w:t>
        <w:br/>
        <w:t>de l'animal au patient</w:t>
      </w:r>
    </w:p>
    <w:p/>
    <w:p/>
    <w:p>
      <w:pPr>
        <w:spacing w:before="0" w:after="400"/>
        <w:jc w:val="center"/>
      </w:pPr>
      <w:r>
        <w:rPr>
          <w:rFonts w:ascii="Times New Roman" w:hAnsi="Times New Roman"/>
          <w:b w:val="0"/>
          <w:i/>
          <w:sz w:val="22"/>
        </w:rPr>
        <w:t>Développement et validation d'un modèle mathématique semi-mécaniste simulant la dynamique des cellules sanguines sous traitement, appliqué à plusieurs composés et espèces dans le cadre du développement préclinique et clinique de médicaments anticancéreux.</w:t>
      </w:r>
    </w:p>
    <w:p/>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i w:val="0"/>
                <w:sz w:val="22"/>
              </w:rPr>
              <w:t>Étudiant(e)</w:t>
            </w:r>
          </w:p>
        </w:tc>
        <w:tc>
          <w:tcPr>
            <w:tcW w:type="dxa" w:w="4561"/>
          </w:tcPr>
          <w:p>
            <w:r>
              <w:rPr>
                <w:rFonts w:ascii="Times New Roman" w:hAnsi="Times New Roman"/>
                <w:b w:val="0"/>
                <w:i w:val="0"/>
                <w:sz w:val="22"/>
              </w:rPr>
              <w:t>[Prénom NOM]</w:t>
            </w:r>
          </w:p>
        </w:tc>
      </w:tr>
      <w:tr>
        <w:tc>
          <w:tcPr>
            <w:tcW w:type="dxa" w:w="4561"/>
          </w:tcPr>
          <w:p>
            <w:r>
              <w:rPr>
                <w:rFonts w:ascii="Times New Roman" w:hAnsi="Times New Roman"/>
                <w:b/>
                <w:i w:val="0"/>
                <w:sz w:val="22"/>
              </w:rPr>
              <w:t>Encadrant(e) académique</w:t>
            </w:r>
          </w:p>
        </w:tc>
        <w:tc>
          <w:tcPr>
            <w:tcW w:type="dxa" w:w="4561"/>
          </w:tcPr>
          <w:p>
            <w:r>
              <w:rPr>
                <w:rFonts w:ascii="Times New Roman" w:hAnsi="Times New Roman"/>
                <w:b w:val="0"/>
                <w:i w:val="0"/>
                <w:sz w:val="22"/>
              </w:rPr>
              <w:t>[Nom — Université]</w:t>
            </w:r>
          </w:p>
        </w:tc>
      </w:tr>
      <w:tr>
        <w:tc>
          <w:tcPr>
            <w:tcW w:type="dxa" w:w="4561"/>
          </w:tcPr>
          <w:p>
            <w:r>
              <w:rPr>
                <w:rFonts w:ascii="Times New Roman" w:hAnsi="Times New Roman"/>
                <w:b/>
                <w:i w:val="0"/>
                <w:sz w:val="22"/>
              </w:rPr>
              <w:t>Maître de stage</w:t>
            </w:r>
          </w:p>
        </w:tc>
        <w:tc>
          <w:tcPr>
            <w:tcW w:type="dxa" w:w="4561"/>
          </w:tcPr>
          <w:p>
            <w:r>
              <w:rPr>
                <w:rFonts w:ascii="Times New Roman" w:hAnsi="Times New Roman"/>
                <w:b w:val="0"/>
                <w:i w:val="0"/>
                <w:sz w:val="22"/>
              </w:rPr>
              <w:t>[Nom — Entreprise]</w:t>
            </w:r>
          </w:p>
        </w:tc>
      </w:tr>
      <w:tr>
        <w:tc>
          <w:tcPr>
            <w:tcW w:type="dxa" w:w="4561"/>
          </w:tcPr>
          <w:p>
            <w:r>
              <w:rPr>
                <w:rFonts w:ascii="Times New Roman" w:hAnsi="Times New Roman"/>
                <w:b/>
                <w:i w:val="0"/>
                <w:sz w:val="22"/>
              </w:rPr>
              <w:t>Établissement d'accueil</w:t>
            </w:r>
          </w:p>
        </w:tc>
        <w:tc>
          <w:tcPr>
            <w:tcW w:type="dxa" w:w="4561"/>
          </w:tcPr>
          <w:p>
            <w:r>
              <w:rPr>
                <w:rFonts w:ascii="Times New Roman" w:hAnsi="Times New Roman"/>
                <w:b w:val="0"/>
                <w:i w:val="0"/>
                <w:sz w:val="22"/>
              </w:rPr>
              <w:t>[Nom de l'entreprise]</w:t>
            </w:r>
          </w:p>
        </w:tc>
      </w:tr>
      <w:tr>
        <w:tc>
          <w:tcPr>
            <w:tcW w:type="dxa" w:w="4561"/>
          </w:tcPr>
          <w:p>
            <w:r>
              <w:rPr>
                <w:rFonts w:ascii="Times New Roman" w:hAnsi="Times New Roman"/>
                <w:b/>
                <w:i w:val="0"/>
                <w:sz w:val="22"/>
              </w:rPr>
              <w:t>Année universitaire</w:t>
            </w:r>
          </w:p>
        </w:tc>
        <w:tc>
          <w:tcPr>
            <w:tcW w:type="dxa" w:w="4561"/>
          </w:tcPr>
          <w:p>
            <w:r>
              <w:rPr>
                <w:rFonts w:ascii="Times New Roman" w:hAnsi="Times New Roman"/>
                <w:b w:val="0"/>
                <w:i w:val="0"/>
                <w:sz w:val="22"/>
              </w:rPr>
              <w:t>2025–2026</w:t>
            </w:r>
          </w:p>
        </w:tc>
      </w:tr>
    </w:tbl>
    <w:p>
      <w:r>
        <w:br w:type="page"/>
      </w:r>
    </w:p>
    <w:p>
      <w:pPr>
        <w:keepNext/>
        <w:spacing w:before="360" w:after="80"/>
      </w:pPr>
      <w:r>
        <w:rPr>
          <w:rFonts w:ascii="Times New Roman" w:hAnsi="Times New Roman"/>
          <w:b/>
          <w:i w:val="0"/>
          <w:color w:val="2C3E50"/>
          <w:sz w:val="32"/>
          <w:u w:val="single"/>
        </w:rPr>
        <w:t>Remerciements</w:t>
      </w:r>
    </w:p>
    <w:p>
      <w:pPr>
        <w:spacing w:before="0" w:after="120"/>
        <w:ind w:firstLine="567"/>
        <w:jc w:val="both"/>
      </w:pPr>
      <w:r>
        <w:rPr>
          <w:rFonts w:ascii="Times New Roman" w:hAnsi="Times New Roman"/>
          <w:b w:val="0"/>
          <w:i w:val="0"/>
          <w:sz w:val="24"/>
        </w:rPr>
        <w:t>Je tiens à remercier chaleureusement mon maître de stage pour m'avoir confié ce projet ambitieux alliant modélisation mathématique, pharmacologie quantitative et analyse de données de santé. Sa disponibilité, ses conseils scientifiques et sa rigueur ont été déterminants dans l'avancement de ce travail.</w:t>
      </w:r>
    </w:p>
    <w:p>
      <w:pPr>
        <w:spacing w:before="0" w:after="120"/>
        <w:ind w:firstLine="567"/>
        <w:jc w:val="both"/>
      </w:pPr>
      <w:r>
        <w:rPr>
          <w:rFonts w:ascii="Times New Roman" w:hAnsi="Times New Roman"/>
          <w:b w:val="0"/>
          <w:i w:val="0"/>
          <w:sz w:val="24"/>
        </w:rPr>
        <w:t>Je remercie également l'ensemble de l'équipe pour son accueil, les discussions scientifiques enrichissantes et le partage des données expérimentales précliniques qui ont constitué le socle empirique de cette étude.</w:t>
      </w:r>
    </w:p>
    <w:p>
      <w:pPr>
        <w:spacing w:before="0" w:after="120"/>
        <w:ind w:firstLine="567"/>
        <w:jc w:val="both"/>
      </w:pPr>
      <w:r>
        <w:rPr>
          <w:rFonts w:ascii="Times New Roman" w:hAnsi="Times New Roman"/>
          <w:b w:val="0"/>
          <w:i w:val="0"/>
          <w:sz w:val="24"/>
        </w:rPr>
        <w:t>Enfin, je remercie mon encadrant(e) académique ainsi que l'ensemble du corps enseignant du Master 2 Sciences de la Donnée de Santé pour la formation solide en biostatistiques, modélisation et programmation qui m'a permis de mener à bien ce projet.</w:t>
      </w:r>
    </w:p>
    <w:p>
      <w:r>
        <w:br w:type="page"/>
      </w:r>
    </w:p>
    <w:p>
      <w:pPr>
        <w:keepNext/>
        <w:spacing w:before="360" w:after="80"/>
      </w:pPr>
      <w:r>
        <w:rPr>
          <w:rFonts w:ascii="Times New Roman" w:hAnsi="Times New Roman"/>
          <w:b/>
          <w:i w:val="0"/>
          <w:color w:val="2C3E50"/>
          <w:sz w:val="32"/>
          <w:u w:val="single"/>
        </w:rPr>
        <w:t>Résumé</w:t>
      </w:r>
    </w:p>
    <w:p>
      <w:pPr>
        <w:spacing w:before="0" w:after="120"/>
        <w:ind w:firstLine="567"/>
        <w:jc w:val="both"/>
      </w:pPr>
      <w:r>
        <w:rPr>
          <w:rFonts w:ascii="Times New Roman" w:hAnsi="Times New Roman"/>
          <w:b w:val="0"/>
          <w:i w:val="0"/>
          <w:sz w:val="24"/>
        </w:rPr>
        <w:t>L'hématotoxicité représente la principale toxicité dose-limitante des anticorps-drogue conjugués (ADCs), une classe thérapeutique en plein essor en oncologie. Sa prédiction précoce et quantitative est un enjeu majeur pour la sécurité des patients et l'optimisation des schémas posologiques.</w:t>
      </w:r>
    </w:p>
    <w:p>
      <w:pPr>
        <w:spacing w:before="0" w:after="120"/>
        <w:ind w:firstLine="567"/>
        <w:jc w:val="both"/>
      </w:pPr>
      <w:r>
        <w:rPr>
          <w:rFonts w:ascii="Times New Roman" w:hAnsi="Times New Roman"/>
          <w:b w:val="0"/>
          <w:i w:val="0"/>
          <w:sz w:val="24"/>
        </w:rPr>
        <w:t>Ce mémoire présente le développement d'un pipeline computationnel PK/PD semi-mécaniste, implémenté sous R avec la librairie rxode2, permettant de simuler la dynamique hématologique de patients traités par des ADCs. Le cadre théorique repose sur le modèle de Fornari (2019), qui décrit l'hématopoïèse en compartiments successifs (progéniteurs multipotents — MPP, progéniteurs myéloïdes communs — CMP, progéniteurs érythroïdes-mégacaryocytaires — MEP, neutrophiles, monocytes, réticulocytes, érythrocytes, plaquettes) régulés par des feedbacks homéostatiques.</w:t>
      </w:r>
    </w:p>
    <w:p>
      <w:pPr>
        <w:spacing w:before="0" w:after="120"/>
        <w:ind w:firstLine="567"/>
        <w:jc w:val="both"/>
      </w:pPr>
      <w:r>
        <w:rPr>
          <w:rFonts w:ascii="Times New Roman" w:hAnsi="Times New Roman"/>
          <w:b w:val="0"/>
          <w:i w:val="0"/>
          <w:sz w:val="24"/>
        </w:rPr>
        <w:t>Le pipeline a été développé en quatre étapes progressives : (1) reproduction et validation du modèle Fornari sur données de rat traitées au carboplatine ; (2) application au T-DXd (trastuzumab deruxtecan) avec simulation de population virtuelle de 300 patients, aboutissant à une prédiction des grades CTCAE v5 en accord avec les données cliniques issues du dossier soumis à la FDA (BLA 761139, DESTINY-Breast01, n=184) ; (3) application à un composé en développement interne sur données NHP précliniques (n=8, 4 niveaux de dose), incluant un ajustement PK individuel à 2 compartiments et une calibration PD ; (4) perspectives de traduction clinique basées sur les paramètres NHP.</w:t>
      </w:r>
    </w:p>
    <w:p>
      <w:pPr>
        <w:spacing w:before="0" w:after="120"/>
        <w:ind w:firstLine="567"/>
        <w:jc w:val="both"/>
      </w:pPr>
      <w:r>
        <w:rPr>
          <w:rFonts w:ascii="Times New Roman" w:hAnsi="Times New Roman"/>
          <w:b w:val="0"/>
          <w:i w:val="0"/>
          <w:sz w:val="24"/>
        </w:rPr>
        <w:t>Les résultats démontrent la robustesse et la généricité du pipeline, capable d'intégrer des données de plusieurs espèces et composés dans un cadre méthodologique unifié et reproductible.</w:t>
      </w:r>
    </w:p>
    <w:p/>
    <w:p>
      <w:r>
        <w:rPr>
          <w:rFonts w:ascii="Times New Roman" w:hAnsi="Times New Roman"/>
          <w:b/>
          <w:i w:val="0"/>
          <w:sz w:val="22"/>
        </w:rPr>
        <w:t xml:space="preserve">Mots-clés : </w:t>
      </w:r>
      <w:r>
        <w:rPr>
          <w:rFonts w:ascii="Times New Roman" w:hAnsi="Times New Roman"/>
          <w:b w:val="0"/>
          <w:i/>
          <w:sz w:val="22"/>
        </w:rPr>
        <w:t>PK/PD, hématotoxicité, modélisation semi-mécaniste, ADC, simulation de population, rxode2, CTCAE, anticorps-drogue conjugué, pharmacologie quantitative, sciences de la donnée</w:t>
      </w:r>
    </w:p>
    <w:p>
      <w:r>
        <w:br w:type="page"/>
      </w:r>
    </w:p>
    <w:p>
      <w:pPr>
        <w:keepNext/>
        <w:spacing w:before="360" w:after="80"/>
      </w:pPr>
      <w:r>
        <w:rPr>
          <w:rFonts w:ascii="Times New Roman" w:hAnsi="Times New Roman"/>
          <w:b/>
          <w:i w:val="0"/>
          <w:color w:val="2C3E50"/>
          <w:sz w:val="32"/>
          <w:u w:val="single"/>
        </w:rPr>
        <w:t>Abstract</w:t>
      </w:r>
    </w:p>
    <w:p>
      <w:pPr>
        <w:spacing w:before="0" w:after="120"/>
        <w:ind w:firstLine="567"/>
        <w:jc w:val="both"/>
      </w:pPr>
      <w:r>
        <w:rPr>
          <w:rFonts w:ascii="Times New Roman" w:hAnsi="Times New Roman"/>
          <w:b w:val="0"/>
          <w:i w:val="0"/>
          <w:sz w:val="24"/>
        </w:rPr>
        <w:t>Hematotoxicity is the primary dose-limiting toxicity of antibody-drug conjugates (ADCs), a rapidly expanding therapeutic class in oncology. Early quantitative prediction of hematotoxicity is a major challenge for patient safety and dosing regimen optimization.</w:t>
      </w:r>
    </w:p>
    <w:p>
      <w:pPr>
        <w:spacing w:before="0" w:after="120"/>
        <w:ind w:firstLine="567"/>
        <w:jc w:val="both"/>
      </w:pPr>
      <w:r>
        <w:rPr>
          <w:rFonts w:ascii="Times New Roman" w:hAnsi="Times New Roman"/>
          <w:b w:val="0"/>
          <w:i w:val="0"/>
          <w:sz w:val="24"/>
        </w:rPr>
        <w:t>This thesis presents the development of a semi-mechanistic PK/PD computational pipeline, implemented in R using the rxode2 library, to simulate the hematological dynamics of patients treated with ADCs. The theoretical framework is based on the Fornari (2019) model, which describes hematopoiesis through successive compartments (multipotent progenitors — MPP, common myeloid progenitors — CMP, megakaryocyte-erythroid progenitors — MEP, neutrophils, monocytes, reticulocytes, red blood cells, platelets) regulated by homeostatic feedbacks.</w:t>
      </w:r>
    </w:p>
    <w:p>
      <w:pPr>
        <w:spacing w:before="0" w:after="120"/>
        <w:ind w:firstLine="567"/>
        <w:jc w:val="both"/>
      </w:pPr>
      <w:r>
        <w:rPr>
          <w:rFonts w:ascii="Times New Roman" w:hAnsi="Times New Roman"/>
          <w:b w:val="0"/>
          <w:i w:val="0"/>
          <w:sz w:val="24"/>
        </w:rPr>
        <w:t>The pipeline was developed in four progressive steps: (1) reproduction and validation of the Fornari model on rat carboplatin data; (2) application to T-DXd (trastuzumab deruxtecan) with virtual population simulation of 300 patients, yielding CTCAE v5 grade predictions consistent with clinical data from the regulatory submission to the FDA (BLA 761139, DESTINY-Breast01, n=184); (3) application to an internally developed compound using preclinical NHP data (n=8, 4 dose levels), including non-compartmental analysis, individual 2-compartment PK fitting, and PD calibration; (4) perspectives for clinical translation based on NHP parameters.</w:t>
      </w:r>
    </w:p>
    <w:p/>
    <w:p>
      <w:r>
        <w:rPr>
          <w:rFonts w:ascii="Times New Roman" w:hAnsi="Times New Roman"/>
          <w:b/>
          <w:i w:val="0"/>
          <w:sz w:val="22"/>
        </w:rPr>
        <w:t xml:space="preserve">Keywords: </w:t>
      </w:r>
      <w:r>
        <w:rPr>
          <w:rFonts w:ascii="Times New Roman" w:hAnsi="Times New Roman"/>
          <w:b w:val="0"/>
          <w:i/>
          <w:sz w:val="22"/>
        </w:rPr>
        <w:t>PK/PD, hematotoxicity, semi-mechanistic modeling, ADC, population simulation, rxode2, CTCAE, antibody-drug conjugate, quantitative pharmacology, health data science</w:t>
      </w:r>
    </w:p>
    <w:p>
      <w:r>
        <w:br w:type="page"/>
      </w:r>
    </w:p>
    <w:p>
      <w:pPr>
        <w:keepNext/>
        <w:spacing w:before="360" w:after="80"/>
      </w:pPr>
      <w:r>
        <w:rPr>
          <w:rFonts w:ascii="Times New Roman" w:hAnsi="Times New Roman"/>
          <w:b/>
          <w:i w:val="0"/>
          <w:color w:val="2C3E50"/>
          <w:sz w:val="32"/>
          <w:u w:val="single"/>
        </w:rPr>
        <w:t>Liste des abréviations</w:t>
      </w:r>
    </w:p>
    <w:tbl>
      <w:tblPr>
        <w:tblStyle w:val="TableGrid"/>
        <w:tblW w:type="auto" w:w="0"/>
        <w:tblLook w:firstColumn="1" w:firstRow="1" w:lastColumn="0" w:lastRow="0" w:noHBand="0" w:noVBand="1" w:val="04A0"/>
      </w:tblPr>
      <w:tblGrid>
        <w:gridCol w:w="4561"/>
        <w:gridCol w:w="4561"/>
      </w:tblGrid>
      <w:tr>
        <w:tc>
          <w:tcPr>
            <w:tcW w:type="dxa" w:w="1984"/>
            <w:shd w:val="clear" w:color="auto" w:fill="2C3E50"/>
          </w:tcPr>
          <w:p>
            <w:pPr>
              <w:jc w:val="center"/>
            </w:pPr>
            <w:r>
              <w:rPr>
                <w:rFonts w:ascii="Times New Roman" w:hAnsi="Times New Roman"/>
                <w:b/>
                <w:i w:val="0"/>
                <w:color w:val="FFFFFF"/>
                <w:sz w:val="20"/>
              </w:rPr>
              <w:t>Abréviation</w:t>
            </w:r>
          </w:p>
        </w:tc>
        <w:tc>
          <w:tcPr>
            <w:tcW w:type="dxa" w:w="6803"/>
            <w:shd w:val="clear" w:color="auto" w:fill="2C3E50"/>
          </w:tcPr>
          <w:p>
            <w:pPr>
              <w:jc w:val="center"/>
            </w:pPr>
            <w:r>
              <w:rPr>
                <w:rFonts w:ascii="Times New Roman" w:hAnsi="Times New Roman"/>
                <w:b/>
                <w:i w:val="0"/>
                <w:color w:val="FFFFFF"/>
                <w:sz w:val="20"/>
              </w:rPr>
              <w:t>Signification</w:t>
            </w:r>
          </w:p>
        </w:tc>
      </w:tr>
      <w:tr>
        <w:tc>
          <w:tcPr>
            <w:tcW w:type="dxa" w:w="1984"/>
            <w:shd w:val="clear" w:color="auto" w:fill="F2F2F2"/>
          </w:tcPr>
          <w:p>
            <w:pPr>
              <w:jc w:val="center"/>
            </w:pPr>
            <w:r>
              <w:rPr>
                <w:rFonts w:ascii="Times New Roman" w:hAnsi="Times New Roman"/>
                <w:b w:val="0"/>
                <w:i w:val="0"/>
                <w:sz w:val="20"/>
              </w:rPr>
              <w:t>ADC</w:t>
            </w:r>
          </w:p>
        </w:tc>
        <w:tc>
          <w:tcPr>
            <w:tcW w:type="dxa" w:w="6803"/>
            <w:shd w:val="clear" w:color="auto" w:fill="F2F2F2"/>
          </w:tcPr>
          <w:p>
            <w:pPr>
              <w:jc w:val="center"/>
            </w:pPr>
            <w:r>
              <w:rPr>
                <w:rFonts w:ascii="Times New Roman" w:hAnsi="Times New Roman"/>
                <w:b w:val="0"/>
                <w:i w:val="0"/>
                <w:sz w:val="20"/>
              </w:rPr>
              <w:t>Antibody-Drug Conjugate (anticorps-drogue conjugué)</w:t>
            </w:r>
          </w:p>
        </w:tc>
      </w:tr>
      <w:tr>
        <w:tc>
          <w:tcPr>
            <w:tcW w:type="dxa" w:w="1984"/>
            <w:shd w:val="clear" w:color="auto" w:fill="FFFFFF"/>
          </w:tcPr>
          <w:p>
            <w:pPr>
              <w:jc w:val="center"/>
            </w:pPr>
            <w:r>
              <w:rPr>
                <w:rFonts w:ascii="Times New Roman" w:hAnsi="Times New Roman"/>
                <w:b w:val="0"/>
                <w:i w:val="0"/>
                <w:sz w:val="20"/>
              </w:rPr>
              <w:t>AUC</w:t>
            </w:r>
          </w:p>
        </w:tc>
        <w:tc>
          <w:tcPr>
            <w:tcW w:type="dxa" w:w="6803"/>
            <w:shd w:val="clear" w:color="auto" w:fill="FFFFFF"/>
          </w:tcPr>
          <w:p>
            <w:pPr>
              <w:jc w:val="center"/>
            </w:pPr>
            <w:r>
              <w:rPr>
                <w:rFonts w:ascii="Times New Roman" w:hAnsi="Times New Roman"/>
                <w:b w:val="0"/>
                <w:i w:val="0"/>
                <w:sz w:val="20"/>
              </w:rPr>
              <w:t>Area Under the Curve (aire sous la courbe)</w:t>
            </w:r>
          </w:p>
        </w:tc>
      </w:tr>
      <w:tr>
        <w:tc>
          <w:tcPr>
            <w:tcW w:type="dxa" w:w="1984"/>
            <w:shd w:val="clear" w:color="auto" w:fill="F2F2F2"/>
          </w:tcPr>
          <w:p>
            <w:pPr>
              <w:jc w:val="center"/>
            </w:pPr>
            <w:r>
              <w:rPr>
                <w:rFonts w:ascii="Times New Roman" w:hAnsi="Times New Roman"/>
                <w:b w:val="0"/>
                <w:i w:val="0"/>
                <w:sz w:val="20"/>
              </w:rPr>
              <w:t>BLA</w:t>
            </w:r>
          </w:p>
        </w:tc>
        <w:tc>
          <w:tcPr>
            <w:tcW w:type="dxa" w:w="6803"/>
            <w:shd w:val="clear" w:color="auto" w:fill="F2F2F2"/>
          </w:tcPr>
          <w:p>
            <w:pPr>
              <w:jc w:val="center"/>
            </w:pPr>
            <w:r>
              <w:rPr>
                <w:rFonts w:ascii="Times New Roman" w:hAnsi="Times New Roman"/>
                <w:b w:val="0"/>
                <w:i w:val="0"/>
                <w:sz w:val="20"/>
              </w:rPr>
              <w:t>Biologics License Application (dossier d'autorisation FDA)</w:t>
            </w:r>
          </w:p>
        </w:tc>
      </w:tr>
      <w:tr>
        <w:tc>
          <w:tcPr>
            <w:tcW w:type="dxa" w:w="1984"/>
            <w:shd w:val="clear" w:color="auto" w:fill="FFFFFF"/>
          </w:tcPr>
          <w:p>
            <w:pPr>
              <w:jc w:val="center"/>
            </w:pPr>
            <w:r>
              <w:rPr>
                <w:rFonts w:ascii="Times New Roman" w:hAnsi="Times New Roman"/>
                <w:b w:val="0"/>
                <w:i w:val="0"/>
                <w:sz w:val="20"/>
              </w:rPr>
              <w:t>CFU</w:t>
            </w:r>
          </w:p>
        </w:tc>
        <w:tc>
          <w:tcPr>
            <w:tcW w:type="dxa" w:w="6803"/>
            <w:shd w:val="clear" w:color="auto" w:fill="FFFFFF"/>
          </w:tcPr>
          <w:p>
            <w:pPr>
              <w:jc w:val="center"/>
            </w:pPr>
            <w:r>
              <w:rPr>
                <w:rFonts w:ascii="Times New Roman" w:hAnsi="Times New Roman"/>
                <w:b w:val="0"/>
                <w:i w:val="0"/>
                <w:sz w:val="20"/>
              </w:rPr>
              <w:t>Colony-Forming Unit (unité formant colonie)</w:t>
            </w:r>
          </w:p>
        </w:tc>
      </w:tr>
      <w:tr>
        <w:tc>
          <w:tcPr>
            <w:tcW w:type="dxa" w:w="1984"/>
            <w:shd w:val="clear" w:color="auto" w:fill="F2F2F2"/>
          </w:tcPr>
          <w:p>
            <w:pPr>
              <w:jc w:val="center"/>
            </w:pPr>
            <w:r>
              <w:rPr>
                <w:rFonts w:ascii="Times New Roman" w:hAnsi="Times New Roman"/>
                <w:b w:val="0"/>
                <w:i w:val="0"/>
                <w:sz w:val="20"/>
              </w:rPr>
              <w:t>CL</w:t>
            </w:r>
          </w:p>
        </w:tc>
        <w:tc>
          <w:tcPr>
            <w:tcW w:type="dxa" w:w="6803"/>
            <w:shd w:val="clear" w:color="auto" w:fill="F2F2F2"/>
          </w:tcPr>
          <w:p>
            <w:pPr>
              <w:jc w:val="center"/>
            </w:pPr>
            <w:r>
              <w:rPr>
                <w:rFonts w:ascii="Times New Roman" w:hAnsi="Times New Roman"/>
                <w:b w:val="0"/>
                <w:i w:val="0"/>
                <w:sz w:val="20"/>
              </w:rPr>
              <w:t>Clairance (clearance)</w:t>
            </w:r>
          </w:p>
        </w:tc>
      </w:tr>
      <w:tr>
        <w:tc>
          <w:tcPr>
            <w:tcW w:type="dxa" w:w="1984"/>
            <w:shd w:val="clear" w:color="auto" w:fill="FFFFFF"/>
          </w:tcPr>
          <w:p>
            <w:pPr>
              <w:jc w:val="center"/>
            </w:pPr>
            <w:r>
              <w:rPr>
                <w:rFonts w:ascii="Times New Roman" w:hAnsi="Times New Roman"/>
                <w:b w:val="0"/>
                <w:i w:val="0"/>
                <w:sz w:val="20"/>
              </w:rPr>
              <w:t>CMP</w:t>
            </w:r>
          </w:p>
        </w:tc>
        <w:tc>
          <w:tcPr>
            <w:tcW w:type="dxa" w:w="6803"/>
            <w:shd w:val="clear" w:color="auto" w:fill="FFFFFF"/>
          </w:tcPr>
          <w:p>
            <w:pPr>
              <w:jc w:val="center"/>
            </w:pPr>
            <w:r>
              <w:rPr>
                <w:rFonts w:ascii="Times New Roman" w:hAnsi="Times New Roman"/>
                <w:b w:val="0"/>
                <w:i w:val="0"/>
                <w:sz w:val="20"/>
              </w:rPr>
              <w:t>Common Myeloid Progenitor (progéniteur myéloïde commun)</w:t>
            </w:r>
          </w:p>
        </w:tc>
      </w:tr>
      <w:tr>
        <w:tc>
          <w:tcPr>
            <w:tcW w:type="dxa" w:w="1984"/>
            <w:shd w:val="clear" w:color="auto" w:fill="F2F2F2"/>
          </w:tcPr>
          <w:p>
            <w:pPr>
              <w:jc w:val="center"/>
            </w:pPr>
            <w:r>
              <w:rPr>
                <w:rFonts w:ascii="Times New Roman" w:hAnsi="Times New Roman"/>
                <w:b w:val="0"/>
                <w:i w:val="0"/>
                <w:sz w:val="20"/>
              </w:rPr>
              <w:t>CTCAE</w:t>
            </w:r>
          </w:p>
        </w:tc>
        <w:tc>
          <w:tcPr>
            <w:tcW w:type="dxa" w:w="6803"/>
            <w:shd w:val="clear" w:color="auto" w:fill="F2F2F2"/>
          </w:tcPr>
          <w:p>
            <w:pPr>
              <w:jc w:val="center"/>
            </w:pPr>
            <w:r>
              <w:rPr>
                <w:rFonts w:ascii="Times New Roman" w:hAnsi="Times New Roman"/>
                <w:b w:val="0"/>
                <w:i w:val="0"/>
                <w:sz w:val="20"/>
              </w:rPr>
              <w:t>Common Terminology Criteria for Adverse Events</w:t>
            </w:r>
          </w:p>
        </w:tc>
      </w:tr>
      <w:tr>
        <w:tc>
          <w:tcPr>
            <w:tcW w:type="dxa" w:w="1984"/>
            <w:shd w:val="clear" w:color="auto" w:fill="FFFFFF"/>
          </w:tcPr>
          <w:p>
            <w:pPr>
              <w:jc w:val="center"/>
            </w:pPr>
            <w:r>
              <w:rPr>
                <w:rFonts w:ascii="Times New Roman" w:hAnsi="Times New Roman"/>
                <w:b w:val="0"/>
                <w:i w:val="0"/>
                <w:sz w:val="20"/>
              </w:rPr>
              <w:t>EMA</w:t>
            </w:r>
          </w:p>
        </w:tc>
        <w:tc>
          <w:tcPr>
            <w:tcW w:type="dxa" w:w="6803"/>
            <w:shd w:val="clear" w:color="auto" w:fill="FFFFFF"/>
          </w:tcPr>
          <w:p>
            <w:pPr>
              <w:jc w:val="center"/>
            </w:pPr>
            <w:r>
              <w:rPr>
                <w:rFonts w:ascii="Times New Roman" w:hAnsi="Times New Roman"/>
                <w:b w:val="0"/>
                <w:i w:val="0"/>
                <w:sz w:val="20"/>
              </w:rPr>
              <w:t>European Medicines Agency</w:t>
            </w:r>
          </w:p>
        </w:tc>
      </w:tr>
      <w:tr>
        <w:tc>
          <w:tcPr>
            <w:tcW w:type="dxa" w:w="1984"/>
            <w:shd w:val="clear" w:color="auto" w:fill="F2F2F2"/>
          </w:tcPr>
          <w:p>
            <w:pPr>
              <w:jc w:val="center"/>
            </w:pPr>
            <w:r>
              <w:rPr>
                <w:rFonts w:ascii="Times New Roman" w:hAnsi="Times New Roman"/>
                <w:b w:val="0"/>
                <w:i w:val="0"/>
                <w:sz w:val="20"/>
              </w:rPr>
              <w:t>FDA</w:t>
            </w:r>
          </w:p>
        </w:tc>
        <w:tc>
          <w:tcPr>
            <w:tcW w:type="dxa" w:w="6803"/>
            <w:shd w:val="clear" w:color="auto" w:fill="F2F2F2"/>
          </w:tcPr>
          <w:p>
            <w:pPr>
              <w:jc w:val="center"/>
            </w:pPr>
            <w:r>
              <w:rPr>
                <w:rFonts w:ascii="Times New Roman" w:hAnsi="Times New Roman"/>
                <w:b w:val="0"/>
                <w:i w:val="0"/>
                <w:sz w:val="20"/>
              </w:rPr>
              <w:t>Food and Drug Administration</w:t>
            </w:r>
          </w:p>
        </w:tc>
      </w:tr>
      <w:tr>
        <w:tc>
          <w:tcPr>
            <w:tcW w:type="dxa" w:w="1984"/>
            <w:shd w:val="clear" w:color="auto" w:fill="FFFFFF"/>
          </w:tcPr>
          <w:p>
            <w:pPr>
              <w:jc w:val="center"/>
            </w:pPr>
            <w:r>
              <w:rPr>
                <w:rFonts w:ascii="Times New Roman" w:hAnsi="Times New Roman"/>
                <w:b w:val="0"/>
                <w:i w:val="0"/>
                <w:sz w:val="20"/>
              </w:rPr>
              <w:t>HER2</w:t>
            </w:r>
          </w:p>
        </w:tc>
        <w:tc>
          <w:tcPr>
            <w:tcW w:type="dxa" w:w="6803"/>
            <w:shd w:val="clear" w:color="auto" w:fill="FFFFFF"/>
          </w:tcPr>
          <w:p>
            <w:pPr>
              <w:jc w:val="center"/>
            </w:pPr>
            <w:r>
              <w:rPr>
                <w:rFonts w:ascii="Times New Roman" w:hAnsi="Times New Roman"/>
                <w:b w:val="0"/>
                <w:i w:val="0"/>
                <w:sz w:val="20"/>
              </w:rPr>
              <w:t>Human Epidermal growth factor Receptor 2</w:t>
            </w:r>
          </w:p>
        </w:tc>
      </w:tr>
      <w:tr>
        <w:tc>
          <w:tcPr>
            <w:tcW w:type="dxa" w:w="1984"/>
            <w:shd w:val="clear" w:color="auto" w:fill="F2F2F2"/>
          </w:tcPr>
          <w:p>
            <w:pPr>
              <w:jc w:val="center"/>
            </w:pPr>
            <w:r>
              <w:rPr>
                <w:rFonts w:ascii="Times New Roman" w:hAnsi="Times New Roman"/>
                <w:b w:val="0"/>
                <w:i w:val="0"/>
                <w:sz w:val="20"/>
              </w:rPr>
              <w:t>IC50</w:t>
            </w:r>
          </w:p>
        </w:tc>
        <w:tc>
          <w:tcPr>
            <w:tcW w:type="dxa" w:w="6803"/>
            <w:shd w:val="clear" w:color="auto" w:fill="F2F2F2"/>
          </w:tcPr>
          <w:p>
            <w:pPr>
              <w:jc w:val="center"/>
            </w:pPr>
            <w:r>
              <w:rPr>
                <w:rFonts w:ascii="Times New Roman" w:hAnsi="Times New Roman"/>
                <w:b w:val="0"/>
                <w:i w:val="0"/>
                <w:sz w:val="20"/>
              </w:rPr>
              <w:t>Concentration inhibitrice à 50%</w:t>
            </w:r>
          </w:p>
        </w:tc>
      </w:tr>
      <w:tr>
        <w:tc>
          <w:tcPr>
            <w:tcW w:type="dxa" w:w="1984"/>
            <w:shd w:val="clear" w:color="auto" w:fill="FFFFFF"/>
          </w:tcPr>
          <w:p>
            <w:pPr>
              <w:jc w:val="center"/>
            </w:pPr>
            <w:r>
              <w:rPr>
                <w:rFonts w:ascii="Times New Roman" w:hAnsi="Times New Roman"/>
                <w:b w:val="0"/>
                <w:i w:val="0"/>
                <w:sz w:val="20"/>
              </w:rPr>
              <w:t>IV</w:t>
            </w:r>
          </w:p>
        </w:tc>
        <w:tc>
          <w:tcPr>
            <w:tcW w:type="dxa" w:w="6803"/>
            <w:shd w:val="clear" w:color="auto" w:fill="FFFFFF"/>
          </w:tcPr>
          <w:p>
            <w:pPr>
              <w:jc w:val="center"/>
            </w:pPr>
            <w:r>
              <w:rPr>
                <w:rFonts w:ascii="Times New Roman" w:hAnsi="Times New Roman"/>
                <w:b w:val="0"/>
                <w:i w:val="0"/>
                <w:sz w:val="20"/>
              </w:rPr>
              <w:t>Intraveineux</w:t>
            </w:r>
          </w:p>
        </w:tc>
      </w:tr>
      <w:tr>
        <w:tc>
          <w:tcPr>
            <w:tcW w:type="dxa" w:w="1984"/>
            <w:shd w:val="clear" w:color="auto" w:fill="F2F2F2"/>
          </w:tcPr>
          <w:p>
            <w:pPr>
              <w:jc w:val="center"/>
            </w:pPr>
            <w:r>
              <w:rPr>
                <w:rFonts w:ascii="Times New Roman" w:hAnsi="Times New Roman"/>
                <w:b w:val="0"/>
                <w:i w:val="0"/>
                <w:sz w:val="20"/>
              </w:rPr>
              <w:t>MEP</w:t>
            </w:r>
          </w:p>
        </w:tc>
        <w:tc>
          <w:tcPr>
            <w:tcW w:type="dxa" w:w="6803"/>
            <w:shd w:val="clear" w:color="auto" w:fill="F2F2F2"/>
          </w:tcPr>
          <w:p>
            <w:pPr>
              <w:jc w:val="center"/>
            </w:pPr>
            <w:r>
              <w:rPr>
                <w:rFonts w:ascii="Times New Roman" w:hAnsi="Times New Roman"/>
                <w:b w:val="0"/>
                <w:i w:val="0"/>
                <w:sz w:val="20"/>
              </w:rPr>
              <w:t>Megakaryocyte-Erythroid Progenitor</w:t>
            </w:r>
          </w:p>
        </w:tc>
      </w:tr>
      <w:tr>
        <w:tc>
          <w:tcPr>
            <w:tcW w:type="dxa" w:w="1984"/>
            <w:shd w:val="clear" w:color="auto" w:fill="FFFFFF"/>
          </w:tcPr>
          <w:p>
            <w:pPr>
              <w:jc w:val="center"/>
            </w:pPr>
            <w:r>
              <w:rPr>
                <w:rFonts w:ascii="Times New Roman" w:hAnsi="Times New Roman"/>
                <w:b w:val="0"/>
                <w:i w:val="0"/>
                <w:sz w:val="20"/>
              </w:rPr>
              <w:t>MPP</w:t>
            </w:r>
          </w:p>
        </w:tc>
        <w:tc>
          <w:tcPr>
            <w:tcW w:type="dxa" w:w="6803"/>
            <w:shd w:val="clear" w:color="auto" w:fill="FFFFFF"/>
          </w:tcPr>
          <w:p>
            <w:pPr>
              <w:jc w:val="center"/>
            </w:pPr>
            <w:r>
              <w:rPr>
                <w:rFonts w:ascii="Times New Roman" w:hAnsi="Times New Roman"/>
                <w:b w:val="0"/>
                <w:i w:val="0"/>
                <w:sz w:val="20"/>
              </w:rPr>
              <w:t>Multipotent Progenitor</w:t>
            </w:r>
          </w:p>
        </w:tc>
      </w:tr>
      <w:tr>
        <w:tc>
          <w:tcPr>
            <w:tcW w:type="dxa" w:w="1984"/>
            <w:shd w:val="clear" w:color="auto" w:fill="F2F2F2"/>
          </w:tcPr>
          <w:p>
            <w:pPr>
              <w:jc w:val="center"/>
            </w:pPr>
            <w:r>
              <w:rPr>
                <w:rFonts w:ascii="Times New Roman" w:hAnsi="Times New Roman"/>
                <w:b w:val="0"/>
                <w:i w:val="0"/>
                <w:sz w:val="20"/>
              </w:rPr>
              <w:t>NHP</w:t>
            </w:r>
          </w:p>
        </w:tc>
        <w:tc>
          <w:tcPr>
            <w:tcW w:type="dxa" w:w="6803"/>
            <w:shd w:val="clear" w:color="auto" w:fill="F2F2F2"/>
          </w:tcPr>
          <w:p>
            <w:pPr>
              <w:jc w:val="center"/>
            </w:pPr>
            <w:r>
              <w:rPr>
                <w:rFonts w:ascii="Times New Roman" w:hAnsi="Times New Roman"/>
                <w:b w:val="0"/>
                <w:i w:val="0"/>
                <w:sz w:val="20"/>
              </w:rPr>
              <w:t>Non-Human Primate (primate non-humain)</w:t>
            </w:r>
          </w:p>
        </w:tc>
      </w:tr>
      <w:tr>
        <w:tc>
          <w:tcPr>
            <w:tcW w:type="dxa" w:w="1984"/>
            <w:shd w:val="clear" w:color="auto" w:fill="FFFFFF"/>
          </w:tcPr>
          <w:p>
            <w:pPr>
              <w:jc w:val="center"/>
            </w:pPr>
            <w:r>
              <w:rPr>
                <w:rFonts w:ascii="Times New Roman" w:hAnsi="Times New Roman"/>
                <w:b w:val="0"/>
                <w:i w:val="0"/>
                <w:sz w:val="20"/>
              </w:rPr>
              <w:t>NLME</w:t>
            </w:r>
          </w:p>
        </w:tc>
        <w:tc>
          <w:tcPr>
            <w:tcW w:type="dxa" w:w="6803"/>
            <w:shd w:val="clear" w:color="auto" w:fill="FFFFFF"/>
          </w:tcPr>
          <w:p>
            <w:pPr>
              <w:jc w:val="center"/>
            </w:pPr>
            <w:r>
              <w:rPr>
                <w:rFonts w:ascii="Times New Roman" w:hAnsi="Times New Roman"/>
                <w:b w:val="0"/>
                <w:i w:val="0"/>
                <w:sz w:val="20"/>
              </w:rPr>
              <w:t>Non-Linear Mixed Effects (effets mixtes non-linéaires)</w:t>
            </w:r>
          </w:p>
        </w:tc>
      </w:tr>
      <w:tr>
        <w:tc>
          <w:tcPr>
            <w:tcW w:type="dxa" w:w="1984"/>
            <w:shd w:val="clear" w:color="auto" w:fill="F2F2F2"/>
          </w:tcPr>
          <w:p>
            <w:pPr>
              <w:jc w:val="center"/>
            </w:pPr>
            <w:r>
              <w:rPr>
                <w:rFonts w:ascii="Times New Roman" w:hAnsi="Times New Roman"/>
                <w:b w:val="0"/>
                <w:i w:val="0"/>
                <w:sz w:val="20"/>
              </w:rPr>
              <w:t>NOAEL</w:t>
            </w:r>
          </w:p>
        </w:tc>
        <w:tc>
          <w:tcPr>
            <w:tcW w:type="dxa" w:w="6803"/>
            <w:shd w:val="clear" w:color="auto" w:fill="F2F2F2"/>
          </w:tcPr>
          <w:p>
            <w:pPr>
              <w:jc w:val="center"/>
            </w:pPr>
            <w:r>
              <w:rPr>
                <w:rFonts w:ascii="Times New Roman" w:hAnsi="Times New Roman"/>
                <w:b w:val="0"/>
                <w:i w:val="0"/>
                <w:sz w:val="20"/>
              </w:rPr>
              <w:t>No Observed Adverse Effect Level</w:t>
            </w:r>
          </w:p>
        </w:tc>
      </w:tr>
      <w:tr>
        <w:tc>
          <w:tcPr>
            <w:tcW w:type="dxa" w:w="1984"/>
            <w:shd w:val="clear" w:color="auto" w:fill="FFFFFF"/>
          </w:tcPr>
          <w:p>
            <w:pPr>
              <w:jc w:val="center"/>
            </w:pPr>
            <w:r>
              <w:rPr>
                <w:rFonts w:ascii="Times New Roman" w:hAnsi="Times New Roman"/>
                <w:b w:val="0"/>
                <w:i w:val="0"/>
                <w:sz w:val="20"/>
              </w:rPr>
              <w:t>ODE</w:t>
            </w:r>
          </w:p>
        </w:tc>
        <w:tc>
          <w:tcPr>
            <w:tcW w:type="dxa" w:w="6803"/>
            <w:shd w:val="clear" w:color="auto" w:fill="FFFFFF"/>
          </w:tcPr>
          <w:p>
            <w:pPr>
              <w:jc w:val="center"/>
            </w:pPr>
            <w:r>
              <w:rPr>
                <w:rFonts w:ascii="Times New Roman" w:hAnsi="Times New Roman"/>
                <w:b w:val="0"/>
                <w:i w:val="0"/>
                <w:sz w:val="20"/>
              </w:rPr>
              <w:t>Ordinary Differential Equation (équation différentielle ordinaire)</w:t>
            </w:r>
          </w:p>
        </w:tc>
      </w:tr>
      <w:tr>
        <w:tc>
          <w:tcPr>
            <w:tcW w:type="dxa" w:w="1984"/>
            <w:shd w:val="clear" w:color="auto" w:fill="F2F2F2"/>
          </w:tcPr>
          <w:p>
            <w:pPr>
              <w:jc w:val="center"/>
            </w:pPr>
            <w:r>
              <w:rPr>
                <w:rFonts w:ascii="Times New Roman" w:hAnsi="Times New Roman"/>
                <w:b w:val="0"/>
                <w:i w:val="0"/>
                <w:sz w:val="20"/>
              </w:rPr>
              <w:t>PD</w:t>
            </w:r>
          </w:p>
        </w:tc>
        <w:tc>
          <w:tcPr>
            <w:tcW w:type="dxa" w:w="6803"/>
            <w:shd w:val="clear" w:color="auto" w:fill="F2F2F2"/>
          </w:tcPr>
          <w:p>
            <w:pPr>
              <w:jc w:val="center"/>
            </w:pPr>
            <w:r>
              <w:rPr>
                <w:rFonts w:ascii="Times New Roman" w:hAnsi="Times New Roman"/>
                <w:b w:val="0"/>
                <w:i w:val="0"/>
                <w:sz w:val="20"/>
              </w:rPr>
              <w:t>Pharmacodynamique</w:t>
            </w:r>
          </w:p>
        </w:tc>
      </w:tr>
      <w:tr>
        <w:tc>
          <w:tcPr>
            <w:tcW w:type="dxa" w:w="1984"/>
            <w:shd w:val="clear" w:color="auto" w:fill="FFFFFF"/>
          </w:tcPr>
          <w:p>
            <w:pPr>
              <w:jc w:val="center"/>
            </w:pPr>
            <w:r>
              <w:rPr>
                <w:rFonts w:ascii="Times New Roman" w:hAnsi="Times New Roman"/>
                <w:b w:val="0"/>
                <w:i w:val="0"/>
                <w:sz w:val="20"/>
              </w:rPr>
              <w:t>PK</w:t>
            </w:r>
          </w:p>
        </w:tc>
        <w:tc>
          <w:tcPr>
            <w:tcW w:type="dxa" w:w="6803"/>
            <w:shd w:val="clear" w:color="auto" w:fill="FFFFFF"/>
          </w:tcPr>
          <w:p>
            <w:pPr>
              <w:jc w:val="center"/>
            </w:pPr>
            <w:r>
              <w:rPr>
                <w:rFonts w:ascii="Times New Roman" w:hAnsi="Times New Roman"/>
                <w:b w:val="0"/>
                <w:i w:val="0"/>
                <w:sz w:val="20"/>
              </w:rPr>
              <w:t>Pharmacocinétique</w:t>
            </w:r>
          </w:p>
        </w:tc>
      </w:tr>
      <w:tr>
        <w:tc>
          <w:tcPr>
            <w:tcW w:type="dxa" w:w="1984"/>
            <w:shd w:val="clear" w:color="auto" w:fill="F2F2F2"/>
          </w:tcPr>
          <w:p>
            <w:pPr>
              <w:jc w:val="center"/>
            </w:pPr>
            <w:r>
              <w:rPr>
                <w:rFonts w:ascii="Times New Roman" w:hAnsi="Times New Roman"/>
                <w:b w:val="0"/>
                <w:i w:val="0"/>
                <w:sz w:val="20"/>
              </w:rPr>
              <w:t>PKPD</w:t>
            </w:r>
          </w:p>
        </w:tc>
        <w:tc>
          <w:tcPr>
            <w:tcW w:type="dxa" w:w="6803"/>
            <w:shd w:val="clear" w:color="auto" w:fill="F2F2F2"/>
          </w:tcPr>
          <w:p>
            <w:pPr>
              <w:jc w:val="center"/>
            </w:pPr>
            <w:r>
              <w:rPr>
                <w:rFonts w:ascii="Times New Roman" w:hAnsi="Times New Roman"/>
                <w:b w:val="0"/>
                <w:i w:val="0"/>
                <w:sz w:val="20"/>
              </w:rPr>
              <w:t>Pharmacocinétique-Pharmacodynamique</w:t>
            </w:r>
          </w:p>
        </w:tc>
      </w:tr>
      <w:tr>
        <w:tc>
          <w:tcPr>
            <w:tcW w:type="dxa" w:w="1984"/>
            <w:shd w:val="clear" w:color="auto" w:fill="FFFFFF"/>
          </w:tcPr>
          <w:p>
            <w:pPr>
              <w:jc w:val="center"/>
            </w:pPr>
            <w:r>
              <w:rPr>
                <w:rFonts w:ascii="Times New Roman" w:hAnsi="Times New Roman"/>
                <w:b w:val="0"/>
                <w:i w:val="0"/>
                <w:sz w:val="20"/>
              </w:rPr>
              <w:t>Q3W</w:t>
            </w:r>
          </w:p>
        </w:tc>
        <w:tc>
          <w:tcPr>
            <w:tcW w:type="dxa" w:w="6803"/>
            <w:shd w:val="clear" w:color="auto" w:fill="FFFFFF"/>
          </w:tcPr>
          <w:p>
            <w:pPr>
              <w:jc w:val="center"/>
            </w:pPr>
            <w:r>
              <w:rPr>
                <w:rFonts w:ascii="Times New Roman" w:hAnsi="Times New Roman"/>
                <w:b w:val="0"/>
                <w:i w:val="0"/>
                <w:sz w:val="20"/>
              </w:rPr>
              <w:t>Every 3 weeks (toutes les 3 semaines)</w:t>
            </w:r>
          </w:p>
        </w:tc>
      </w:tr>
      <w:tr>
        <w:tc>
          <w:tcPr>
            <w:tcW w:type="dxa" w:w="1984"/>
            <w:shd w:val="clear" w:color="auto" w:fill="F2F2F2"/>
          </w:tcPr>
          <w:p>
            <w:pPr>
              <w:jc w:val="center"/>
            </w:pPr>
            <w:r>
              <w:rPr>
                <w:rFonts w:ascii="Times New Roman" w:hAnsi="Times New Roman"/>
                <w:b w:val="0"/>
                <w:i w:val="0"/>
                <w:sz w:val="20"/>
              </w:rPr>
              <w:t>RBC</w:t>
            </w:r>
          </w:p>
        </w:tc>
        <w:tc>
          <w:tcPr>
            <w:tcW w:type="dxa" w:w="6803"/>
            <w:shd w:val="clear" w:color="auto" w:fill="F2F2F2"/>
          </w:tcPr>
          <w:p>
            <w:pPr>
              <w:jc w:val="center"/>
            </w:pPr>
            <w:r>
              <w:rPr>
                <w:rFonts w:ascii="Times New Roman" w:hAnsi="Times New Roman"/>
                <w:b w:val="0"/>
                <w:i w:val="0"/>
                <w:sz w:val="20"/>
              </w:rPr>
              <w:t>Red Blood Cells (érythrocytes)</w:t>
            </w:r>
          </w:p>
        </w:tc>
      </w:tr>
      <w:tr>
        <w:tc>
          <w:tcPr>
            <w:tcW w:type="dxa" w:w="1984"/>
            <w:shd w:val="clear" w:color="auto" w:fill="FFFFFF"/>
          </w:tcPr>
          <w:p>
            <w:pPr>
              <w:jc w:val="center"/>
            </w:pPr>
            <w:r>
              <w:rPr>
                <w:rFonts w:ascii="Times New Roman" w:hAnsi="Times New Roman"/>
                <w:b w:val="0"/>
                <w:i w:val="0"/>
                <w:sz w:val="20"/>
              </w:rPr>
              <w:t>RMSE</w:t>
            </w:r>
          </w:p>
        </w:tc>
        <w:tc>
          <w:tcPr>
            <w:tcW w:type="dxa" w:w="6803"/>
            <w:shd w:val="clear" w:color="auto" w:fill="FFFFFF"/>
          </w:tcPr>
          <w:p>
            <w:pPr>
              <w:jc w:val="center"/>
            </w:pPr>
            <w:r>
              <w:rPr>
                <w:rFonts w:ascii="Times New Roman" w:hAnsi="Times New Roman"/>
                <w:b w:val="0"/>
                <w:i w:val="0"/>
                <w:sz w:val="20"/>
              </w:rPr>
              <w:t>Root Mean Square Error</w:t>
            </w:r>
          </w:p>
        </w:tc>
      </w:tr>
      <w:tr>
        <w:tc>
          <w:tcPr>
            <w:tcW w:type="dxa" w:w="1984"/>
            <w:shd w:val="clear" w:color="auto" w:fill="F2F2F2"/>
          </w:tcPr>
          <w:p>
            <w:pPr>
              <w:jc w:val="center"/>
            </w:pPr>
            <w:r>
              <w:rPr>
                <w:rFonts w:ascii="Times New Roman" w:hAnsi="Times New Roman"/>
                <w:b w:val="0"/>
                <w:i w:val="0"/>
                <w:sz w:val="20"/>
              </w:rPr>
              <w:t>T-DXd</w:t>
            </w:r>
          </w:p>
        </w:tc>
        <w:tc>
          <w:tcPr>
            <w:tcW w:type="dxa" w:w="6803"/>
            <w:shd w:val="clear" w:color="auto" w:fill="F2F2F2"/>
          </w:tcPr>
          <w:p>
            <w:pPr>
              <w:jc w:val="center"/>
            </w:pPr>
            <w:r>
              <w:rPr>
                <w:rFonts w:ascii="Times New Roman" w:hAnsi="Times New Roman"/>
                <w:b w:val="0"/>
                <w:i w:val="0"/>
                <w:sz w:val="20"/>
              </w:rPr>
              <w:t>Trastuzumab deruxtecan (Enhertu®)</w:t>
            </w:r>
          </w:p>
        </w:tc>
      </w:tr>
      <w:tr>
        <w:tc>
          <w:tcPr>
            <w:tcW w:type="dxa" w:w="1984"/>
            <w:shd w:val="clear" w:color="auto" w:fill="FFFFFF"/>
          </w:tcPr>
          <w:p>
            <w:pPr>
              <w:jc w:val="center"/>
            </w:pPr>
            <w:r>
              <w:rPr>
                <w:rFonts w:ascii="Times New Roman" w:hAnsi="Times New Roman"/>
                <w:b w:val="0"/>
                <w:i w:val="0"/>
                <w:sz w:val="20"/>
              </w:rPr>
              <w:t>V1/V2</w:t>
            </w:r>
          </w:p>
        </w:tc>
        <w:tc>
          <w:tcPr>
            <w:tcW w:type="dxa" w:w="6803"/>
            <w:shd w:val="clear" w:color="auto" w:fill="FFFFFF"/>
          </w:tcPr>
          <w:p>
            <w:pPr>
              <w:jc w:val="center"/>
            </w:pPr>
            <w:r>
              <w:rPr>
                <w:rFonts w:ascii="Times New Roman" w:hAnsi="Times New Roman"/>
                <w:b w:val="0"/>
                <w:i w:val="0"/>
                <w:sz w:val="20"/>
              </w:rPr>
              <w:t>Volume de distribution central/périphérique</w:t>
            </w:r>
          </w:p>
        </w:tc>
      </w:tr>
      <w:tr>
        <w:tc>
          <w:tcPr>
            <w:tcW w:type="dxa" w:w="1984"/>
            <w:shd w:val="clear" w:color="auto" w:fill="F2F2F2"/>
          </w:tcPr>
          <w:p>
            <w:pPr>
              <w:jc w:val="center"/>
            </w:pPr>
            <w:r>
              <w:rPr>
                <w:rFonts w:ascii="Times New Roman" w:hAnsi="Times New Roman"/>
                <w:b w:val="0"/>
                <w:i w:val="0"/>
                <w:sz w:val="20"/>
              </w:rPr>
              <w:t>VPC</w:t>
            </w:r>
          </w:p>
        </w:tc>
        <w:tc>
          <w:tcPr>
            <w:tcW w:type="dxa" w:w="6803"/>
            <w:shd w:val="clear" w:color="auto" w:fill="F2F2F2"/>
          </w:tcPr>
          <w:p>
            <w:pPr>
              <w:jc w:val="center"/>
            </w:pPr>
            <w:r>
              <w:rPr>
                <w:rFonts w:ascii="Times New Roman" w:hAnsi="Times New Roman"/>
                <w:b w:val="0"/>
                <w:i w:val="0"/>
                <w:sz w:val="20"/>
              </w:rPr>
              <w:t>Visual Predictive Check</w:t>
            </w:r>
          </w:p>
        </w:tc>
      </w:tr>
    </w:tbl>
    <w:p>
      <w:r>
        <w:br w:type="page"/>
      </w:r>
    </w:p>
    <w:p>
      <w:pPr>
        <w:keepNext/>
        <w:spacing w:before="360" w:after="80"/>
      </w:pPr>
      <w:r>
        <w:rPr>
          <w:rFonts w:ascii="Times New Roman" w:hAnsi="Times New Roman"/>
          <w:b/>
          <w:i w:val="0"/>
          <w:color w:val="2C3E50"/>
          <w:sz w:val="32"/>
          <w:u w:val="single"/>
        </w:rPr>
        <w:t>I. Introduction</w:t>
      </w:r>
    </w:p>
    <w:p>
      <w:pPr>
        <w:spacing w:before="240" w:after="80"/>
      </w:pPr>
      <w:r>
        <w:rPr>
          <w:rFonts w:ascii="Times New Roman" w:hAnsi="Times New Roman"/>
          <w:b/>
          <w:i w:val="0"/>
          <w:color w:val="34495E"/>
          <w:sz w:val="28"/>
        </w:rPr>
        <w:t>1.1 Les anticorps-drogue conjugués : mécanisme d'action et essor clinique</w:t>
      </w:r>
    </w:p>
    <w:p>
      <w:pPr>
        <w:spacing w:before="0" w:after="120"/>
        <w:ind w:firstLine="567"/>
        <w:jc w:val="both"/>
      </w:pPr>
      <w:r>
        <w:rPr>
          <w:rFonts w:ascii="Times New Roman" w:hAnsi="Times New Roman"/>
          <w:b w:val="0"/>
          <w:i w:val="0"/>
          <w:sz w:val="24"/>
        </w:rPr>
        <w:t>Les anticorps-drogue conjugués (ADCs) constituent une classe thérapeutique innovante conçue pour délivrer de manière ciblée un agent cytotoxique puissant directement aux cellules tumorales. Leur structure combine trois éléments : un anticorps monoclonal reconnaissant un antigène spécifique exprimé à la surface des cellules cancéreuses, un liant chimique (linker) et une molécule cytotoxique (payload). Après liaison à l'antigène cible et internalisation cellulaire, le payload est libéré et exerce son effet antiprolifératif, principalement par inhibition de la polymérisation des microtubules ou par dommages à l'ADN.</w:t>
      </w:r>
    </w:p>
    <w:p>
      <w:pPr>
        <w:spacing w:before="0" w:after="120"/>
        <w:ind w:firstLine="567"/>
        <w:jc w:val="both"/>
      </w:pPr>
      <w:r>
        <w:rPr>
          <w:rFonts w:ascii="Times New Roman" w:hAnsi="Times New Roman"/>
          <w:b w:val="0"/>
          <w:i w:val="0"/>
          <w:sz w:val="24"/>
        </w:rPr>
        <w:t>Le trastuzumab deruxtecan (T-DXd, Enhertu®), développé conjointement par AstraZeneca et Daiichi Sankyo, représente l'ADC de référence dans le traitement du cancer du sein HER2-positif. Son approbation par la FDA en 2019 (BLA 761139) sur la base des résultats de l'essai DESTINY-Breast01 (ORR 60,9%, n=184) a marqué une avancée majeure en oncologie. D'autres ADCs sont aujourd'hui en développement clinique avancé, ciblant notamment des récepteurs comme FGFR2, HER3 ou TROP2, attestant de l'intérêt croissant de l'industrie pharmaceutique pour cette modalité thérapeutique.</w:t>
      </w:r>
    </w:p>
    <w:p>
      <w:pPr>
        <w:spacing w:before="240" w:after="80"/>
      </w:pPr>
      <w:r>
        <w:rPr>
          <w:rFonts w:ascii="Times New Roman" w:hAnsi="Times New Roman"/>
          <w:b/>
          <w:i w:val="0"/>
          <w:color w:val="34495E"/>
          <w:sz w:val="28"/>
        </w:rPr>
        <w:t>1.2 L'hématotoxicité comme toxicité dose-limitante</w:t>
      </w:r>
    </w:p>
    <w:p>
      <w:pPr>
        <w:spacing w:before="0" w:after="120"/>
        <w:ind w:firstLine="567"/>
        <w:jc w:val="both"/>
      </w:pPr>
      <w:r>
        <w:rPr>
          <w:rFonts w:ascii="Times New Roman" w:hAnsi="Times New Roman"/>
          <w:b w:val="0"/>
          <w:i w:val="0"/>
          <w:sz w:val="24"/>
        </w:rPr>
        <w:t>Malgré leur sélectivité théorique, les ADCs induisent des toxicités systémiques significatives, parmi lesquelles l'hématotoxicité occupe une place centrale. La décroissance du nombre de cellules sanguines circulantes — neutrophiles, érythrocytes et plaquettes — résulte d'une atteinte des cellules progénitrices hématopoïétiques dans la moelle osseuse, sensibles au payload cytotoxique libéré de façon non entièrement spécifique.</w:t>
      </w:r>
    </w:p>
    <w:p>
      <w:pPr>
        <w:spacing w:before="0" w:after="120"/>
        <w:ind w:firstLine="567"/>
        <w:jc w:val="both"/>
      </w:pPr>
      <w:r>
        <w:rPr>
          <w:rFonts w:ascii="Times New Roman" w:hAnsi="Times New Roman"/>
          <w:b w:val="0"/>
          <w:i w:val="0"/>
          <w:sz w:val="24"/>
        </w:rPr>
        <w:t>Dans l'essai DESTINY-Breast01, la neutropénie de grade ≥3 a été rapportée chez 16% des patients traités par T-DXd 5,4 mg/kg Q3W, constituant la principale toxicité hématologique sévère. La gestion de ces cytopénies nécessite des réductions de doses ou des interruptions de traitement, impactant directement l'efficacité thérapeutique et la qualité de vie des patients.</w:t>
      </w:r>
    </w:p>
    <w:p>
      <w:pPr>
        <w:spacing w:before="0" w:after="120"/>
        <w:ind w:firstLine="567"/>
        <w:jc w:val="both"/>
      </w:pPr>
      <w:r>
        <w:rPr>
          <w:rFonts w:ascii="Times New Roman" w:hAnsi="Times New Roman"/>
          <w:b w:val="0"/>
          <w:i w:val="0"/>
          <w:sz w:val="24"/>
        </w:rPr>
        <w:t>La prédiction précoce et quantitative de l'hématotoxicité est donc un enjeu à la fois clinique et opérationnel. Sur le plan clinique, elle conditionne directement le choix de la première dose administrée chez l'homme (first-in-human, FIH) : une dose de départ trop élevée expose les patients à des toxicités sévères potentiellement irréversibles, tandis qu'une dose trop faible retarde l'accès à l'efficacité thérapeutique. Sur le plan opérationnel, elle permet d'optimiser les schémas posologiques pour maximiser le bénéfice clinique tout en maintenant un profil de tolérance acceptable.</w:t>
      </w:r>
    </w:p>
    <w:p>
      <w:pPr>
        <w:spacing w:before="240" w:after="80"/>
      </w:pPr>
      <w:r>
        <w:rPr>
          <w:rFonts w:ascii="Times New Roman" w:hAnsi="Times New Roman"/>
          <w:b/>
          <w:i w:val="0"/>
          <w:color w:val="34495E"/>
          <w:sz w:val="28"/>
        </w:rPr>
        <w:t>1.3 La modélisation PK/PD dans le développement du médicament</w:t>
      </w:r>
    </w:p>
    <w:p>
      <w:pPr>
        <w:spacing w:before="0" w:after="120"/>
        <w:ind w:firstLine="567"/>
        <w:jc w:val="both"/>
      </w:pPr>
      <w:r>
        <w:rPr>
          <w:rFonts w:ascii="Times New Roman" w:hAnsi="Times New Roman"/>
          <w:b w:val="0"/>
          <w:i w:val="0"/>
          <w:sz w:val="24"/>
        </w:rPr>
        <w:t>La modélisation et la simulation (M&amp;S) sont aujourd'hui des outils incontournables du développement pharmaceutique, reconnus par les agences réglementaires FDA et EMA. La pharmacocinétique (PK) décrit l'évolution temporelle des concentrations du médicament dans l'organisme (absorption, distribution, métabolisme, élimination), tandis que la pharmacodynamique (PD) décrit les effets du médicament sur l'organisme — efficacité, toxicité ou biomarqueurs. La modélisation PK/PD intègre ces deux composantes pour quantifier la relation entre exposition et effet.</w:t>
      </w:r>
    </w:p>
    <w:p>
      <w:pPr>
        <w:spacing w:before="0" w:after="120"/>
        <w:ind w:firstLine="567"/>
        <w:jc w:val="both"/>
      </w:pPr>
      <w:r>
        <w:rPr>
          <w:rFonts w:ascii="Times New Roman" w:hAnsi="Times New Roman"/>
          <w:b w:val="0"/>
          <w:i w:val="0"/>
          <w:sz w:val="24"/>
        </w:rPr>
        <w:t>Les modèles PK/PD semi-mécanistes occupent une position intermédiaire entre les modèles empiriques (régressions, modèles Emax) et les modèles mécanistes complets (physiologically-based PK/PD). Ils intègrent des hypothèses biologiques sur les mécanismes d'action tout en restant paramétrables avec des données expérimentales limitées, ce qui les rend particulièrement adaptés au développement préclinique où les données sont souvent rares et coûteuses.</w:t>
      </w:r>
    </w:p>
    <w:p>
      <w:pPr>
        <w:spacing w:before="0" w:after="120"/>
        <w:ind w:firstLine="567"/>
        <w:jc w:val="both"/>
      </w:pPr>
      <w:r>
        <w:rPr>
          <w:rFonts w:ascii="Times New Roman" w:hAnsi="Times New Roman"/>
          <w:b w:val="0"/>
          <w:i w:val="0"/>
          <w:sz w:val="24"/>
        </w:rPr>
        <w:t>Dans le domaine de l'hématotoxicité, le modèle de Friberg (2002) et ses extensions constituent la référence méthodologique. Le modèle de Fornari (2019), validé sur données de rat traitées au carboplatine, en représente une version étendue intégrant explicitement les différentes lignées hématopoïétiques et leurs précurseurs. Dans ce travail, ce modèle est appliqué à des agents cytotoxiques de nouvelle génération, dont les ADCs.</w:t>
      </w:r>
    </w:p>
    <w:p>
      <w:pPr>
        <w:spacing w:before="240" w:after="80"/>
      </w:pPr>
      <w:r>
        <w:rPr>
          <w:rFonts w:ascii="Times New Roman" w:hAnsi="Times New Roman"/>
          <w:b/>
          <w:i w:val="0"/>
          <w:color w:val="34495E"/>
          <w:sz w:val="28"/>
        </w:rPr>
        <w:t>1.4 Objectifs du stage</w:t>
      </w:r>
    </w:p>
    <w:p>
      <w:pPr>
        <w:spacing w:before="0" w:after="120"/>
        <w:ind w:firstLine="567"/>
        <w:jc w:val="both"/>
      </w:pPr>
      <w:r>
        <w:rPr>
          <w:rFonts w:ascii="Times New Roman" w:hAnsi="Times New Roman"/>
          <w:b w:val="0"/>
          <w:i w:val="0"/>
          <w:sz w:val="24"/>
        </w:rPr>
        <w:t>Ce stage s'inscrit dans une démarche de pharmacologie quantitative appliquée au développement d'un pipeline computationnel de prédiction de l'hématotoxicité. Les objectifs sont structurés en quatre étapes progressives :</w:t>
      </w:r>
    </w:p>
    <w:p>
      <w:pPr>
        <w:spacing w:after="60"/>
        <w:ind w:left="283" w:hanging="227"/>
      </w:pPr>
      <w:r>
        <w:rPr>
          <w:rFonts w:ascii="Times New Roman" w:hAnsi="Times New Roman"/>
          <w:b w:val="0"/>
          <w:i w:val="0"/>
          <w:sz w:val="22"/>
        </w:rPr>
        <w:t>• Reproduire et valider le modèle semi-mécaniste de Fornari (2019) sur les données de rat traitées au carboplatine, afin d'établir un cadre méthodologique de référence.</w:t>
      </w:r>
    </w:p>
    <w:p>
      <w:pPr>
        <w:spacing w:after="60"/>
        <w:ind w:left="283" w:hanging="227"/>
      </w:pPr>
      <w:r>
        <w:rPr>
          <w:rFonts w:ascii="Times New Roman" w:hAnsi="Times New Roman"/>
          <w:b w:val="0"/>
          <w:i w:val="0"/>
          <w:sz w:val="22"/>
        </w:rPr>
        <w:t>• Appliquer et adapter ce cadre au T-DXd, en développant une simulation de population virtuelle humaine (N=300) et en validant les prédictions de grades CTCAE v5 contre les données cliniques FDA.</w:t>
      </w:r>
    </w:p>
    <w:p>
      <w:pPr>
        <w:spacing w:after="60"/>
        <w:ind w:left="283" w:hanging="227"/>
      </w:pPr>
      <w:r>
        <w:rPr>
          <w:rFonts w:ascii="Times New Roman" w:hAnsi="Times New Roman"/>
          <w:b w:val="0"/>
          <w:i w:val="0"/>
          <w:sz w:val="22"/>
        </w:rPr>
        <w:t>• Étendre le pipeline à un composé en développement interne, en s'appuyant sur des données précliniques NHP (8 primates non-humains, 4 niveaux de dose) pour la caractérisation PK/PD.</w:t>
      </w:r>
    </w:p>
    <w:p>
      <w:pPr>
        <w:spacing w:after="60"/>
        <w:ind w:left="283" w:hanging="227"/>
      </w:pPr>
      <w:r>
        <w:rPr>
          <w:rFonts w:ascii="Times New Roman" w:hAnsi="Times New Roman"/>
          <w:b w:val="0"/>
          <w:i w:val="0"/>
          <w:sz w:val="22"/>
        </w:rPr>
        <w:t>• Établir les bases méthodologiques d'une traduction clinique, en exploitant les connaissances accumulées sur le T-DXd pour guider l'interprétation des données NHP internes.</w:t>
      </w:r>
    </w:p>
    <w:p>
      <w:r>
        <w:br w:type="page"/>
      </w:r>
    </w:p>
    <w:p>
      <w:pPr>
        <w:keepNext/>
        <w:spacing w:before="360" w:after="80"/>
      </w:pPr>
      <w:r>
        <w:rPr>
          <w:rFonts w:ascii="Times New Roman" w:hAnsi="Times New Roman"/>
          <w:b/>
          <w:i w:val="0"/>
          <w:color w:val="2C3E50"/>
          <w:sz w:val="32"/>
          <w:u w:val="single"/>
        </w:rPr>
        <w:t>II. Matériels &amp; Méthodes</w:t>
      </w:r>
    </w:p>
    <w:p>
      <w:pPr>
        <w:spacing w:before="240" w:after="80"/>
      </w:pPr>
      <w:r>
        <w:rPr>
          <w:rFonts w:ascii="Times New Roman" w:hAnsi="Times New Roman"/>
          <w:b/>
          <w:i w:val="0"/>
          <w:color w:val="34495E"/>
          <w:sz w:val="28"/>
        </w:rPr>
        <w:t>2.1 Sources de données</w:t>
      </w:r>
    </w:p>
    <w:p>
      <w:pPr>
        <w:spacing w:before="0" w:after="120"/>
        <w:ind w:firstLine="567"/>
        <w:jc w:val="both"/>
      </w:pPr>
      <w:r>
        <w:rPr>
          <w:rFonts w:ascii="Times New Roman" w:hAnsi="Times New Roman"/>
          <w:b w:val="0"/>
          <w:i w:val="0"/>
          <w:sz w:val="24"/>
        </w:rPr>
        <w:t>Le pipeline repose sur quatre jeux de données distincts, résumés dans le tableau ci-dessous. Les données précliniques NHP sont confidentielles et ne sont pas reproduites dans ce document.</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680"/>
            <w:shd w:val="clear" w:color="auto" w:fill="2C3E50"/>
          </w:tcPr>
          <w:p>
            <w:pPr>
              <w:jc w:val="center"/>
            </w:pPr>
            <w:r>
              <w:rPr>
                <w:rFonts w:ascii="Times New Roman" w:hAnsi="Times New Roman"/>
                <w:b/>
                <w:i w:val="0"/>
                <w:color w:val="FFFFFF"/>
                <w:sz w:val="20"/>
              </w:rPr>
              <w:t>Étape</w:t>
            </w:r>
          </w:p>
        </w:tc>
        <w:tc>
          <w:tcPr>
            <w:tcW w:type="dxa" w:w="1701"/>
            <w:shd w:val="clear" w:color="auto" w:fill="2C3E50"/>
          </w:tcPr>
          <w:p>
            <w:pPr>
              <w:jc w:val="center"/>
            </w:pPr>
            <w:r>
              <w:rPr>
                <w:rFonts w:ascii="Times New Roman" w:hAnsi="Times New Roman"/>
                <w:b/>
                <w:i w:val="0"/>
                <w:color w:val="FFFFFF"/>
                <w:sz w:val="20"/>
              </w:rPr>
              <w:t>Espèce / contexte</w:t>
            </w:r>
          </w:p>
        </w:tc>
        <w:tc>
          <w:tcPr>
            <w:tcW w:type="dxa" w:w="1701"/>
            <w:shd w:val="clear" w:color="auto" w:fill="2C3E50"/>
          </w:tcPr>
          <w:p>
            <w:pPr>
              <w:jc w:val="center"/>
            </w:pPr>
            <w:r>
              <w:rPr>
                <w:rFonts w:ascii="Times New Roman" w:hAnsi="Times New Roman"/>
                <w:b/>
                <w:i w:val="0"/>
                <w:color w:val="FFFFFF"/>
                <w:sz w:val="20"/>
              </w:rPr>
              <w:t>Composé</w:t>
            </w:r>
          </w:p>
        </w:tc>
        <w:tc>
          <w:tcPr>
            <w:tcW w:type="dxa" w:w="2551"/>
            <w:shd w:val="clear" w:color="auto" w:fill="2C3E50"/>
          </w:tcPr>
          <w:p>
            <w:pPr>
              <w:jc w:val="center"/>
            </w:pPr>
            <w:r>
              <w:rPr>
                <w:rFonts w:ascii="Times New Roman" w:hAnsi="Times New Roman"/>
                <w:b/>
                <w:i w:val="0"/>
                <w:color w:val="FFFFFF"/>
                <w:sz w:val="20"/>
              </w:rPr>
              <w:t>Source</w:t>
            </w:r>
          </w:p>
        </w:tc>
        <w:tc>
          <w:tcPr>
            <w:tcW w:type="dxa" w:w="3118"/>
            <w:shd w:val="clear" w:color="auto" w:fill="2C3E50"/>
          </w:tcPr>
          <w:p>
            <w:pPr>
              <w:jc w:val="center"/>
            </w:pPr>
            <w:r>
              <w:rPr>
                <w:rFonts w:ascii="Times New Roman" w:hAnsi="Times New Roman"/>
                <w:b/>
                <w:i w:val="0"/>
                <w:color w:val="FFFFFF"/>
                <w:sz w:val="20"/>
              </w:rPr>
              <w:t>Type de données</w:t>
            </w:r>
          </w:p>
        </w:tc>
        <w:tc>
          <w:tcPr>
            <w:tcW w:type="dxa" w:w="1134"/>
            <w:shd w:val="clear" w:color="auto" w:fill="2C3E50"/>
          </w:tcPr>
          <w:p>
            <w:pPr>
              <w:jc w:val="center"/>
            </w:pPr>
            <w:r>
              <w:rPr>
                <w:rFonts w:ascii="Times New Roman" w:hAnsi="Times New Roman"/>
                <w:b/>
                <w:i w:val="0"/>
                <w:color w:val="FFFFFF"/>
                <w:sz w:val="20"/>
              </w:rPr>
              <w:t>n</w:t>
            </w:r>
          </w:p>
        </w:tc>
      </w:tr>
      <w:tr>
        <w:tc>
          <w:tcPr>
            <w:tcW w:type="dxa" w:w="680"/>
            <w:shd w:val="clear" w:color="auto" w:fill="F2F2F2"/>
          </w:tcPr>
          <w:p>
            <w:pPr>
              <w:jc w:val="center"/>
            </w:pPr>
            <w:r>
              <w:rPr>
                <w:rFonts w:ascii="Times New Roman" w:hAnsi="Times New Roman"/>
                <w:b w:val="0"/>
                <w:i w:val="0"/>
                <w:sz w:val="20"/>
              </w:rPr>
              <w:t>1</w:t>
            </w:r>
          </w:p>
        </w:tc>
        <w:tc>
          <w:tcPr>
            <w:tcW w:type="dxa" w:w="1701"/>
            <w:shd w:val="clear" w:color="auto" w:fill="F2F2F2"/>
          </w:tcPr>
          <w:p>
            <w:pPr>
              <w:jc w:val="center"/>
            </w:pPr>
            <w:r>
              <w:rPr>
                <w:rFonts w:ascii="Times New Roman" w:hAnsi="Times New Roman"/>
                <w:b w:val="0"/>
                <w:i w:val="0"/>
                <w:sz w:val="20"/>
              </w:rPr>
              <w:t>Rat (Sprague-Dawley)</w:t>
            </w:r>
          </w:p>
        </w:tc>
        <w:tc>
          <w:tcPr>
            <w:tcW w:type="dxa" w:w="1701"/>
            <w:shd w:val="clear" w:color="auto" w:fill="F2F2F2"/>
          </w:tcPr>
          <w:p>
            <w:pPr>
              <w:jc w:val="center"/>
            </w:pPr>
            <w:r>
              <w:rPr>
                <w:rFonts w:ascii="Times New Roman" w:hAnsi="Times New Roman"/>
                <w:b w:val="0"/>
                <w:i w:val="0"/>
                <w:sz w:val="20"/>
              </w:rPr>
              <w:t>Carboplatine</w:t>
            </w:r>
          </w:p>
        </w:tc>
        <w:tc>
          <w:tcPr>
            <w:tcW w:type="dxa" w:w="2551"/>
            <w:shd w:val="clear" w:color="auto" w:fill="F2F2F2"/>
          </w:tcPr>
          <w:p>
            <w:pPr>
              <w:jc w:val="center"/>
            </w:pPr>
            <w:r>
              <w:rPr>
                <w:rFonts w:ascii="Times New Roman" w:hAnsi="Times New Roman"/>
                <w:b w:val="0"/>
                <w:i w:val="0"/>
                <w:sz w:val="20"/>
              </w:rPr>
              <w:t>Fornari et al. 2019 (publication)</w:t>
            </w:r>
          </w:p>
        </w:tc>
        <w:tc>
          <w:tcPr>
            <w:tcW w:type="dxa" w:w="3118"/>
            <w:shd w:val="clear" w:color="auto" w:fill="F2F2F2"/>
          </w:tcPr>
          <w:p>
            <w:pPr>
              <w:jc w:val="center"/>
            </w:pPr>
            <w:r>
              <w:rPr>
                <w:rFonts w:ascii="Times New Roman" w:hAnsi="Times New Roman"/>
                <w:b w:val="0"/>
                <w:i w:val="0"/>
                <w:sz w:val="20"/>
              </w:rPr>
              <w:t>Hématologie sanguine (Neut, Plt, Ret, RBC) — données digitalisées</w:t>
            </w:r>
          </w:p>
        </w:tc>
        <w:tc>
          <w:tcPr>
            <w:tcW w:type="dxa" w:w="1134"/>
            <w:shd w:val="clear" w:color="auto" w:fill="F2F2F2"/>
          </w:tcPr>
          <w:p>
            <w:pPr>
              <w:jc w:val="center"/>
            </w:pPr>
            <w:r>
              <w:rPr>
                <w:rFonts w:ascii="Times New Roman" w:hAnsi="Times New Roman"/>
                <w:b w:val="0"/>
                <w:i w:val="0"/>
                <w:sz w:val="20"/>
              </w:rPr>
              <w:t>5 animaux</w:t>
            </w:r>
          </w:p>
        </w:tc>
      </w:tr>
      <w:tr>
        <w:tc>
          <w:tcPr>
            <w:tcW w:type="dxa" w:w="680"/>
            <w:shd w:val="clear" w:color="auto" w:fill="FFFFFF"/>
          </w:tcPr>
          <w:p>
            <w:pPr>
              <w:jc w:val="center"/>
            </w:pPr>
            <w:r>
              <w:rPr>
                <w:rFonts w:ascii="Times New Roman" w:hAnsi="Times New Roman"/>
                <w:b w:val="0"/>
                <w:i w:val="0"/>
                <w:sz w:val="20"/>
              </w:rPr>
              <w:t>2</w:t>
            </w:r>
          </w:p>
        </w:tc>
        <w:tc>
          <w:tcPr>
            <w:tcW w:type="dxa" w:w="1701"/>
            <w:shd w:val="clear" w:color="auto" w:fill="FFFFFF"/>
          </w:tcPr>
          <w:p>
            <w:pPr>
              <w:jc w:val="center"/>
            </w:pPr>
            <w:r>
              <w:rPr>
                <w:rFonts w:ascii="Times New Roman" w:hAnsi="Times New Roman"/>
                <w:b w:val="0"/>
                <w:i w:val="0"/>
                <w:sz w:val="20"/>
              </w:rPr>
              <w:t>Humain sain</w:t>
            </w:r>
          </w:p>
        </w:tc>
        <w:tc>
          <w:tcPr>
            <w:tcW w:type="dxa" w:w="1701"/>
            <w:shd w:val="clear" w:color="auto" w:fill="FFFFFF"/>
          </w:tcPr>
          <w:p>
            <w:pPr>
              <w:jc w:val="center"/>
            </w:pPr>
            <w:r>
              <w:rPr>
                <w:rFonts w:ascii="Times New Roman" w:hAnsi="Times New Roman"/>
                <w:b w:val="0"/>
                <w:i w:val="0"/>
                <w:sz w:val="20"/>
              </w:rPr>
              <w:t>—</w:t>
            </w:r>
          </w:p>
        </w:tc>
        <w:tc>
          <w:tcPr>
            <w:tcW w:type="dxa" w:w="2551"/>
            <w:shd w:val="clear" w:color="auto" w:fill="FFFFFF"/>
          </w:tcPr>
          <w:p>
            <w:pPr>
              <w:jc w:val="center"/>
            </w:pPr>
            <w:r>
              <w:rPr>
                <w:rFonts w:ascii="Times New Roman" w:hAnsi="Times New Roman"/>
                <w:b w:val="0"/>
                <w:i w:val="0"/>
                <w:sz w:val="20"/>
              </w:rPr>
              <w:t>Fornari et al. 2019 (publication)</w:t>
            </w:r>
          </w:p>
        </w:tc>
        <w:tc>
          <w:tcPr>
            <w:tcW w:type="dxa" w:w="3118"/>
            <w:shd w:val="clear" w:color="auto" w:fill="FFFFFF"/>
          </w:tcPr>
          <w:p>
            <w:pPr>
              <w:jc w:val="center"/>
            </w:pPr>
            <w:r>
              <w:rPr>
                <w:rFonts w:ascii="Times New Roman" w:hAnsi="Times New Roman"/>
                <w:b w:val="0"/>
                <w:i w:val="0"/>
                <w:sz w:val="20"/>
              </w:rPr>
              <w:t>Valeurs basales hématologiques humaines (paramètres d'équilibre)</w:t>
            </w:r>
          </w:p>
        </w:tc>
        <w:tc>
          <w:tcPr>
            <w:tcW w:type="dxa" w:w="1134"/>
            <w:shd w:val="clear" w:color="auto" w:fill="FFFFFF"/>
          </w:tcPr>
          <w:p>
            <w:pPr>
              <w:jc w:val="center"/>
            </w:pPr>
            <w:r>
              <w:rPr>
                <w:rFonts w:ascii="Times New Roman" w:hAnsi="Times New Roman"/>
                <w:b w:val="0"/>
                <w:i w:val="0"/>
                <w:sz w:val="20"/>
              </w:rPr>
              <w:t>Littérature</w:t>
            </w:r>
          </w:p>
        </w:tc>
      </w:tr>
      <w:tr>
        <w:tc>
          <w:tcPr>
            <w:tcW w:type="dxa" w:w="680"/>
            <w:shd w:val="clear" w:color="auto" w:fill="F2F2F2"/>
          </w:tcPr>
          <w:p>
            <w:pPr>
              <w:jc w:val="center"/>
            </w:pPr>
            <w:r>
              <w:rPr>
                <w:rFonts w:ascii="Times New Roman" w:hAnsi="Times New Roman"/>
                <w:b w:val="0"/>
                <w:i w:val="0"/>
                <w:sz w:val="20"/>
              </w:rPr>
              <w:t>3 &amp; 5</w:t>
            </w:r>
          </w:p>
        </w:tc>
        <w:tc>
          <w:tcPr>
            <w:tcW w:type="dxa" w:w="1701"/>
            <w:shd w:val="clear" w:color="auto" w:fill="F2F2F2"/>
          </w:tcPr>
          <w:p>
            <w:pPr>
              <w:jc w:val="center"/>
            </w:pPr>
            <w:r>
              <w:rPr>
                <w:rFonts w:ascii="Times New Roman" w:hAnsi="Times New Roman"/>
                <w:b w:val="0"/>
                <w:i w:val="0"/>
                <w:sz w:val="20"/>
              </w:rPr>
              <w:t>Rat / Humain</w:t>
            </w:r>
          </w:p>
        </w:tc>
        <w:tc>
          <w:tcPr>
            <w:tcW w:type="dxa" w:w="1701"/>
            <w:shd w:val="clear" w:color="auto" w:fill="F2F2F2"/>
          </w:tcPr>
          <w:p>
            <w:pPr>
              <w:jc w:val="center"/>
            </w:pPr>
            <w:r>
              <w:rPr>
                <w:rFonts w:ascii="Times New Roman" w:hAnsi="Times New Roman"/>
                <w:b w:val="0"/>
                <w:i w:val="0"/>
                <w:sz w:val="20"/>
              </w:rPr>
              <w:t>T-DXd (trastuzumab deruxtecan)</w:t>
            </w:r>
          </w:p>
        </w:tc>
        <w:tc>
          <w:tcPr>
            <w:tcW w:type="dxa" w:w="2551"/>
            <w:shd w:val="clear" w:color="auto" w:fill="F2F2F2"/>
          </w:tcPr>
          <w:p>
            <w:pPr>
              <w:jc w:val="center"/>
            </w:pPr>
            <w:r>
              <w:rPr>
                <w:rFonts w:ascii="Times New Roman" w:hAnsi="Times New Roman"/>
                <w:b w:val="0"/>
                <w:i w:val="0"/>
                <w:sz w:val="20"/>
              </w:rPr>
              <w:t>Yin et al. 2020 ; FDA BLA 761139 (DESTINY-Breast01)</w:t>
            </w:r>
          </w:p>
        </w:tc>
        <w:tc>
          <w:tcPr>
            <w:tcW w:type="dxa" w:w="3118"/>
            <w:shd w:val="clear" w:color="auto" w:fill="F2F2F2"/>
          </w:tcPr>
          <w:p>
            <w:pPr>
              <w:jc w:val="center"/>
            </w:pPr>
            <w:r>
              <w:rPr>
                <w:rFonts w:ascii="Times New Roman" w:hAnsi="Times New Roman"/>
                <w:b w:val="0"/>
                <w:i w:val="0"/>
                <w:sz w:val="20"/>
              </w:rPr>
              <w:t>Paramètres PK (allométrie rat) ; grades CTCAE cliniques humains</w:t>
            </w:r>
          </w:p>
        </w:tc>
        <w:tc>
          <w:tcPr>
            <w:tcW w:type="dxa" w:w="1134"/>
            <w:shd w:val="clear" w:color="auto" w:fill="F2F2F2"/>
          </w:tcPr>
          <w:p>
            <w:pPr>
              <w:jc w:val="center"/>
            </w:pPr>
            <w:r>
              <w:rPr>
                <w:rFonts w:ascii="Times New Roman" w:hAnsi="Times New Roman"/>
                <w:b w:val="0"/>
                <w:i w:val="0"/>
                <w:sz w:val="20"/>
              </w:rPr>
              <w:t>N=184 patients</w:t>
            </w:r>
          </w:p>
        </w:tc>
      </w:tr>
      <w:tr>
        <w:tc>
          <w:tcPr>
            <w:tcW w:type="dxa" w:w="680"/>
            <w:shd w:val="clear" w:color="auto" w:fill="FFFFFF"/>
          </w:tcPr>
          <w:p>
            <w:pPr>
              <w:jc w:val="center"/>
            </w:pPr>
            <w:r>
              <w:rPr>
                <w:rFonts w:ascii="Times New Roman" w:hAnsi="Times New Roman"/>
                <w:b w:val="0"/>
                <w:i w:val="0"/>
                <w:sz w:val="20"/>
              </w:rPr>
              <w:t>4</w:t>
            </w:r>
          </w:p>
        </w:tc>
        <w:tc>
          <w:tcPr>
            <w:tcW w:type="dxa" w:w="1701"/>
            <w:shd w:val="clear" w:color="auto" w:fill="FFFFFF"/>
          </w:tcPr>
          <w:p>
            <w:pPr>
              <w:jc w:val="center"/>
            </w:pPr>
            <w:r>
              <w:rPr>
                <w:rFonts w:ascii="Times New Roman" w:hAnsi="Times New Roman"/>
                <w:b w:val="0"/>
                <w:i w:val="0"/>
                <w:sz w:val="20"/>
              </w:rPr>
              <w:t>NHP (cynomolgus)</w:t>
            </w:r>
          </w:p>
        </w:tc>
        <w:tc>
          <w:tcPr>
            <w:tcW w:type="dxa" w:w="1701"/>
            <w:shd w:val="clear" w:color="auto" w:fill="FFFFFF"/>
          </w:tcPr>
          <w:p>
            <w:pPr>
              <w:jc w:val="center"/>
            </w:pPr>
            <w:r>
              <w:rPr>
                <w:rFonts w:ascii="Times New Roman" w:hAnsi="Times New Roman"/>
                <w:b w:val="0"/>
                <w:i w:val="0"/>
                <w:sz w:val="20"/>
              </w:rPr>
              <w:t>Composé en développement interne</w:t>
            </w:r>
          </w:p>
        </w:tc>
        <w:tc>
          <w:tcPr>
            <w:tcW w:type="dxa" w:w="2551"/>
            <w:shd w:val="clear" w:color="auto" w:fill="FFFFFF"/>
          </w:tcPr>
          <w:p>
            <w:pPr>
              <w:jc w:val="center"/>
            </w:pPr>
            <w:r>
              <w:rPr>
                <w:rFonts w:ascii="Times New Roman" w:hAnsi="Times New Roman"/>
                <w:b w:val="0"/>
                <w:i w:val="0"/>
                <w:sz w:val="20"/>
              </w:rPr>
              <w:t>Données internes — confidentiel</w:t>
            </w:r>
          </w:p>
        </w:tc>
        <w:tc>
          <w:tcPr>
            <w:tcW w:type="dxa" w:w="3118"/>
            <w:shd w:val="clear" w:color="auto" w:fill="FFFFFF"/>
          </w:tcPr>
          <w:p>
            <w:pPr>
              <w:jc w:val="center"/>
            </w:pPr>
            <w:r>
              <w:rPr>
                <w:rFonts w:ascii="Times New Roman" w:hAnsi="Times New Roman"/>
                <w:b w:val="0"/>
                <w:i w:val="0"/>
                <w:sz w:val="20"/>
              </w:rPr>
              <w:t>Hématologie sanguine (Neut, Plt, Ret, RBC) — 4 niveaux de dose</w:t>
            </w:r>
          </w:p>
        </w:tc>
        <w:tc>
          <w:tcPr>
            <w:tcW w:type="dxa" w:w="1134"/>
            <w:shd w:val="clear" w:color="auto" w:fill="FFFFFF"/>
          </w:tcPr>
          <w:p>
            <w:pPr>
              <w:jc w:val="center"/>
            </w:pPr>
            <w:r>
              <w:rPr>
                <w:rFonts w:ascii="Times New Roman" w:hAnsi="Times New Roman"/>
                <w:b w:val="0"/>
                <w:i w:val="0"/>
                <w:sz w:val="20"/>
              </w:rPr>
              <w:t>n=8 animaux</w:t>
            </w:r>
          </w:p>
        </w:tc>
      </w:tr>
    </w:tbl>
    <w:p>
      <w:pPr>
        <w:spacing w:before="240" w:after="80"/>
      </w:pPr>
      <w:r>
        <w:rPr>
          <w:rFonts w:ascii="Times New Roman" w:hAnsi="Times New Roman"/>
          <w:b/>
          <w:i w:val="0"/>
          <w:color w:val="34495E"/>
          <w:sz w:val="28"/>
        </w:rPr>
        <w:t>2.2 Modèle structurel de l'hématopoïèse</w:t>
      </w:r>
    </w:p>
    <w:p>
      <w:pPr>
        <w:spacing w:before="0" w:after="120"/>
        <w:ind w:firstLine="567"/>
        <w:jc w:val="both"/>
      </w:pPr>
      <w:r>
        <w:rPr>
          <w:rFonts w:ascii="Times New Roman" w:hAnsi="Times New Roman"/>
          <w:b w:val="0"/>
          <w:i w:val="0"/>
          <w:sz w:val="24"/>
        </w:rPr>
        <w:t>Le modèle repose sur une représentation compartimentale de la différenciation hématopoïétique, selon le schéma de Fornari (2019). L'hématopoïèse est représentée par une cascade de compartiments cellulaires, chacun gouverné par des équations différentielles ordinaires (ODE).</w:t>
      </w:r>
    </w:p>
    <w:p>
      <w:pPr>
        <w:spacing w:before="160" w:after="80"/>
      </w:pPr>
      <w:r>
        <w:rPr>
          <w:rFonts w:ascii="Times New Roman" w:hAnsi="Times New Roman"/>
          <w:b/>
          <w:i w:val="0"/>
          <w:color w:val="4A698A"/>
          <w:sz w:val="24"/>
        </w:rPr>
        <w:t>2.2.1 Architecture compartimentale</w:t>
      </w:r>
    </w:p>
    <w:p>
      <w:pPr>
        <w:spacing w:before="0" w:after="120"/>
        <w:ind w:firstLine="567"/>
        <w:jc w:val="both"/>
      </w:pPr>
      <w:r>
        <w:rPr>
          <w:rFonts w:ascii="Times New Roman" w:hAnsi="Times New Roman"/>
          <w:b w:val="0"/>
          <w:i w:val="0"/>
          <w:sz w:val="24"/>
        </w:rPr>
        <w:t>Le modèle distingue les compartiments suivants, organisés selon la hiérarchie hématopoïétique :</w:t>
      </w:r>
    </w:p>
    <w:p>
      <w:pPr>
        <w:spacing w:after="60"/>
        <w:ind w:left="283" w:hanging="227"/>
      </w:pPr>
      <w:r>
        <w:rPr>
          <w:rFonts w:ascii="Times New Roman" w:hAnsi="Times New Roman"/>
          <w:b w:val="0"/>
          <w:i w:val="0"/>
          <w:sz w:val="22"/>
        </w:rPr>
        <w:t>• MPP (Multipotent Progenitor) : progéniteur multipotent commun, cible primaire de l'effet cytotoxique</w:t>
      </w:r>
    </w:p>
    <w:p>
      <w:pPr>
        <w:spacing w:after="60"/>
        <w:ind w:left="283" w:hanging="227"/>
      </w:pPr>
      <w:r>
        <w:rPr>
          <w:rFonts w:ascii="Times New Roman" w:hAnsi="Times New Roman"/>
          <w:b w:val="0"/>
          <w:i w:val="0"/>
          <w:sz w:val="22"/>
        </w:rPr>
        <w:t>• CMP (Common Myeloid Progenitor) : progéniteur myéloïde commun, précurseur des neutrophiles et monocytes</w:t>
      </w:r>
    </w:p>
    <w:p>
      <w:pPr>
        <w:spacing w:after="60"/>
        <w:ind w:left="283" w:hanging="227"/>
      </w:pPr>
      <w:r>
        <w:rPr>
          <w:rFonts w:ascii="Times New Roman" w:hAnsi="Times New Roman"/>
          <w:b w:val="0"/>
          <w:i w:val="0"/>
          <w:sz w:val="22"/>
        </w:rPr>
        <w:t>• MEP (Megakaryocyte-Erythroid Progenitor) : précurseur des mégacaryocytes (→ plaquettes) et érythroïdes (→ réticulocytes → érythrocytes)</w:t>
      </w:r>
    </w:p>
    <w:p>
      <w:pPr>
        <w:spacing w:after="60"/>
        <w:ind w:left="283" w:hanging="227"/>
      </w:pPr>
      <w:r>
        <w:rPr>
          <w:rFonts w:ascii="Times New Roman" w:hAnsi="Times New Roman"/>
          <w:b w:val="0"/>
          <w:i w:val="0"/>
          <w:sz w:val="22"/>
        </w:rPr>
        <w:t>• Neut, Mono : neutrophiles et monocytes circulants</w:t>
      </w:r>
    </w:p>
    <w:p>
      <w:pPr>
        <w:spacing w:after="60"/>
        <w:ind w:left="283" w:hanging="227"/>
      </w:pPr>
      <w:r>
        <w:rPr>
          <w:rFonts w:ascii="Times New Roman" w:hAnsi="Times New Roman"/>
          <w:b w:val="0"/>
          <w:i w:val="0"/>
          <w:sz w:val="22"/>
        </w:rPr>
        <w:t>• Ret, RBC : réticulocytes et érythrocytes circulants</w:t>
      </w:r>
    </w:p>
    <w:p>
      <w:pPr>
        <w:spacing w:after="60"/>
        <w:ind w:left="283" w:hanging="227"/>
      </w:pPr>
      <w:r>
        <w:rPr>
          <w:rFonts w:ascii="Times New Roman" w:hAnsi="Times New Roman"/>
          <w:b w:val="0"/>
          <w:i w:val="0"/>
          <w:sz w:val="22"/>
        </w:rPr>
        <w:t>• Plt : plaquettes circulantes</w:t>
      </w:r>
    </w:p>
    <w:p>
      <w:pPr>
        <w:spacing w:before="160" w:after="80"/>
      </w:pPr>
      <w:r>
        <w:rPr>
          <w:rFonts w:ascii="Times New Roman" w:hAnsi="Times New Roman"/>
          <w:b/>
          <w:i w:val="0"/>
          <w:color w:val="4A698A"/>
          <w:sz w:val="24"/>
        </w:rPr>
        <w:t>2.2.2 Équations différentielles</w:t>
      </w:r>
    </w:p>
    <w:p>
      <w:pPr>
        <w:spacing w:before="0" w:after="120"/>
        <w:ind w:firstLine="567"/>
        <w:jc w:val="both"/>
      </w:pPr>
      <w:r>
        <w:rPr>
          <w:rFonts w:ascii="Times New Roman" w:hAnsi="Times New Roman"/>
          <w:b w:val="0"/>
          <w:i w:val="0"/>
          <w:sz w:val="24"/>
        </w:rPr>
        <w:t>Pour chaque compartiment cellulaire C, la dynamique est décrite par :</w:t>
      </w:r>
    </w:p>
    <w:p>
      <w:pPr>
        <w:spacing w:before="120" w:after="120"/>
        <w:jc w:val="center"/>
      </w:pPr>
      <w:r>
        <w:rPr>
          <w:rFonts w:ascii="Courier New" w:hAnsi="Courier New"/>
          <w:b w:val="0"/>
          <w:i/>
          <w:color w:val="3C3C78"/>
          <w:sz w:val="22"/>
        </w:rPr>
        <w:t>dC/dt = k_prol × f_feedback × (1 − Slope × Damage) × C_in − k_transit × C</w:t>
      </w:r>
    </w:p>
    <w:p>
      <w:pPr>
        <w:spacing w:before="0" w:after="120"/>
        <w:ind w:firstLine="567"/>
        <w:jc w:val="both"/>
      </w:pPr>
      <w:r>
        <w:rPr>
          <w:rFonts w:ascii="Times New Roman" w:hAnsi="Times New Roman"/>
          <w:b w:val="0"/>
          <w:i w:val="0"/>
          <w:sz w:val="24"/>
        </w:rPr>
        <w:t>où k_prol est le taux de prolifération, k_transit le taux de transit vers le compartiment suivant, f_feedback le feedback homéostatique, C_in le flux entrant depuis le compartiment précédent, Damage l'état d'endommagement cellulaire accumulé (défini en §2.3), et Slope le paramètre de sensibilité de la lignée au médicament (défini en §2.5).</w:t>
      </w:r>
    </w:p>
    <w:p>
      <w:pPr>
        <w:spacing w:before="0" w:after="120"/>
        <w:ind w:firstLine="567"/>
        <w:jc w:val="both"/>
      </w:pPr>
      <w:r>
        <w:rPr>
          <w:rFonts w:ascii="Times New Roman" w:hAnsi="Times New Roman"/>
          <w:b w:val="0"/>
          <w:i w:val="0"/>
          <w:sz w:val="24"/>
        </w:rPr>
        <w:t>Le feedback homéostatique est modélisé par une fonction puissance :</w:t>
      </w:r>
    </w:p>
    <w:p>
      <w:pPr>
        <w:spacing w:before="120" w:after="120"/>
        <w:jc w:val="center"/>
      </w:pPr>
      <w:r>
        <w:rPr>
          <w:rFonts w:ascii="Courier New" w:hAnsi="Courier New"/>
          <w:b w:val="0"/>
          <w:i/>
          <w:color w:val="3C3C78"/>
          <w:sz w:val="22"/>
        </w:rPr>
        <w:t>f_feedback = (C_baseline / C)^γ</w:t>
      </w:r>
    </w:p>
    <w:p>
      <w:pPr>
        <w:spacing w:before="0" w:after="120"/>
        <w:ind w:firstLine="567"/>
        <w:jc w:val="both"/>
      </w:pPr>
      <w:r>
        <w:rPr>
          <w:rFonts w:ascii="Times New Roman" w:hAnsi="Times New Roman"/>
          <w:b w:val="0"/>
          <w:i w:val="0"/>
          <w:sz w:val="24"/>
        </w:rPr>
        <w:t>avec γ un paramètre de sensibilité du feedback qui n'est pas unique : il prend des valeurs différentes selon le niveau de régulation considéré. Dans le modèle de Fornari (2019), quatre valeurs distinctes sont définies :</w:t>
      </w:r>
    </w:p>
    <w:tbl>
      <w:tblPr>
        <w:tblStyle w:val="TableGrid"/>
        <w:tblW w:type="auto" w:w="0"/>
        <w:tblLook w:firstColumn="1" w:firstRow="1" w:lastColumn="0" w:lastRow="0" w:noHBand="0" w:noVBand="1" w:val="04A0"/>
      </w:tblPr>
      <w:tblGrid>
        <w:gridCol w:w="3041"/>
        <w:gridCol w:w="3041"/>
        <w:gridCol w:w="3041"/>
      </w:tblGrid>
      <w:tr>
        <w:tc>
          <w:tcPr>
            <w:tcW w:type="dxa" w:w="1701"/>
            <w:shd w:val="clear" w:color="auto" w:fill="2C3E50"/>
          </w:tcPr>
          <w:p>
            <w:pPr>
              <w:jc w:val="center"/>
            </w:pPr>
            <w:r>
              <w:rPr>
                <w:rFonts w:ascii="Times New Roman" w:hAnsi="Times New Roman"/>
                <w:b/>
                <w:i w:val="0"/>
                <w:color w:val="FFFFFF"/>
                <w:sz w:val="20"/>
              </w:rPr>
              <w:t>Paramètre</w:t>
            </w:r>
          </w:p>
        </w:tc>
        <w:tc>
          <w:tcPr>
            <w:tcW w:type="dxa" w:w="1417"/>
            <w:shd w:val="clear" w:color="auto" w:fill="2C3E50"/>
          </w:tcPr>
          <w:p>
            <w:pPr>
              <w:jc w:val="center"/>
            </w:pPr>
            <w:r>
              <w:rPr>
                <w:rFonts w:ascii="Times New Roman" w:hAnsi="Times New Roman"/>
                <w:b/>
                <w:i w:val="0"/>
                <w:color w:val="FFFFFF"/>
                <w:sz w:val="20"/>
              </w:rPr>
              <w:t>Valeur (rat)</w:t>
            </w:r>
          </w:p>
        </w:tc>
        <w:tc>
          <w:tcPr>
            <w:tcW w:type="dxa" w:w="5669"/>
            <w:shd w:val="clear" w:color="auto" w:fill="2C3E50"/>
          </w:tcPr>
          <w:p>
            <w:pPr>
              <w:jc w:val="center"/>
            </w:pPr>
            <w:r>
              <w:rPr>
                <w:rFonts w:ascii="Times New Roman" w:hAnsi="Times New Roman"/>
                <w:b/>
                <w:i w:val="0"/>
                <w:color w:val="FFFFFF"/>
                <w:sz w:val="20"/>
              </w:rPr>
              <w:t>Niveau de régulation</w:t>
            </w:r>
          </w:p>
        </w:tc>
      </w:tr>
      <w:tr>
        <w:tc>
          <w:tcPr>
            <w:tcW w:type="dxa" w:w="1701"/>
            <w:shd w:val="clear" w:color="auto" w:fill="F2F2F2"/>
          </w:tcPr>
          <w:p>
            <w:pPr>
              <w:jc w:val="center"/>
            </w:pPr>
            <w:r>
              <w:rPr>
                <w:rFonts w:ascii="Times New Roman" w:hAnsi="Times New Roman"/>
                <w:b w:val="0"/>
                <w:i w:val="0"/>
                <w:sz w:val="20"/>
              </w:rPr>
              <w:t>γ_stem</w:t>
            </w:r>
          </w:p>
        </w:tc>
        <w:tc>
          <w:tcPr>
            <w:tcW w:type="dxa" w:w="1417"/>
            <w:shd w:val="clear" w:color="auto" w:fill="F2F2F2"/>
          </w:tcPr>
          <w:p>
            <w:pPr>
              <w:jc w:val="center"/>
            </w:pPr>
            <w:r>
              <w:rPr>
                <w:rFonts w:ascii="Times New Roman" w:hAnsi="Times New Roman"/>
                <w:b w:val="0"/>
                <w:i w:val="0"/>
                <w:sz w:val="20"/>
              </w:rPr>
              <w:t>0,07</w:t>
            </w:r>
          </w:p>
        </w:tc>
        <w:tc>
          <w:tcPr>
            <w:tcW w:type="dxa" w:w="5669"/>
            <w:shd w:val="clear" w:color="auto" w:fill="F2F2F2"/>
          </w:tcPr>
          <w:p>
            <w:pPr>
              <w:jc w:val="center"/>
            </w:pPr>
            <w:r>
              <w:rPr>
                <w:rFonts w:ascii="Times New Roman" w:hAnsi="Times New Roman"/>
                <w:b w:val="0"/>
                <w:i w:val="0"/>
                <w:sz w:val="20"/>
              </w:rPr>
              <w:t>Feedback sur la prolifération des MPP (progéniteurs souches)</w:t>
            </w:r>
          </w:p>
        </w:tc>
      </w:tr>
      <w:tr>
        <w:tc>
          <w:tcPr>
            <w:tcW w:type="dxa" w:w="1701"/>
            <w:shd w:val="clear" w:color="auto" w:fill="FFFFFF"/>
          </w:tcPr>
          <w:p>
            <w:pPr>
              <w:jc w:val="center"/>
            </w:pPr>
            <w:r>
              <w:rPr>
                <w:rFonts w:ascii="Times New Roman" w:hAnsi="Times New Roman"/>
                <w:b w:val="0"/>
                <w:i w:val="0"/>
                <w:sz w:val="20"/>
              </w:rPr>
              <w:t>γ_mat_CMP</w:t>
            </w:r>
          </w:p>
        </w:tc>
        <w:tc>
          <w:tcPr>
            <w:tcW w:type="dxa" w:w="1417"/>
            <w:shd w:val="clear" w:color="auto" w:fill="FFFFFF"/>
          </w:tcPr>
          <w:p>
            <w:pPr>
              <w:jc w:val="center"/>
            </w:pPr>
            <w:r>
              <w:rPr>
                <w:rFonts w:ascii="Times New Roman" w:hAnsi="Times New Roman"/>
                <w:b w:val="0"/>
                <w:i w:val="0"/>
                <w:sz w:val="20"/>
              </w:rPr>
              <w:t>0,60</w:t>
            </w:r>
          </w:p>
        </w:tc>
        <w:tc>
          <w:tcPr>
            <w:tcW w:type="dxa" w:w="5669"/>
            <w:shd w:val="clear" w:color="auto" w:fill="FFFFFF"/>
          </w:tcPr>
          <w:p>
            <w:pPr>
              <w:jc w:val="center"/>
            </w:pPr>
            <w:r>
              <w:rPr>
                <w:rFonts w:ascii="Times New Roman" w:hAnsi="Times New Roman"/>
                <w:b w:val="0"/>
                <w:i w:val="0"/>
                <w:sz w:val="20"/>
              </w:rPr>
              <w:t>Feedback sur la maturation CMP → neutrophiles / monocytes</w:t>
            </w:r>
          </w:p>
        </w:tc>
      </w:tr>
      <w:tr>
        <w:tc>
          <w:tcPr>
            <w:tcW w:type="dxa" w:w="1701"/>
            <w:shd w:val="clear" w:color="auto" w:fill="F2F2F2"/>
          </w:tcPr>
          <w:p>
            <w:pPr>
              <w:jc w:val="center"/>
            </w:pPr>
            <w:r>
              <w:rPr>
                <w:rFonts w:ascii="Times New Roman" w:hAnsi="Times New Roman"/>
                <w:b w:val="0"/>
                <w:i w:val="0"/>
                <w:sz w:val="20"/>
              </w:rPr>
              <w:t>γ_mat_MEP</w:t>
            </w:r>
          </w:p>
        </w:tc>
        <w:tc>
          <w:tcPr>
            <w:tcW w:type="dxa" w:w="1417"/>
            <w:shd w:val="clear" w:color="auto" w:fill="F2F2F2"/>
          </w:tcPr>
          <w:p>
            <w:pPr>
              <w:jc w:val="center"/>
            </w:pPr>
            <w:r>
              <w:rPr>
                <w:rFonts w:ascii="Times New Roman" w:hAnsi="Times New Roman"/>
                <w:b w:val="0"/>
                <w:i w:val="0"/>
                <w:sz w:val="20"/>
              </w:rPr>
              <w:t>0,30</w:t>
            </w:r>
          </w:p>
        </w:tc>
        <w:tc>
          <w:tcPr>
            <w:tcW w:type="dxa" w:w="5669"/>
            <w:shd w:val="clear" w:color="auto" w:fill="F2F2F2"/>
          </w:tcPr>
          <w:p>
            <w:pPr>
              <w:jc w:val="center"/>
            </w:pPr>
            <w:r>
              <w:rPr>
                <w:rFonts w:ascii="Times New Roman" w:hAnsi="Times New Roman"/>
                <w:b w:val="0"/>
                <w:i w:val="0"/>
                <w:sz w:val="20"/>
              </w:rPr>
              <w:t>Feedback sur la maturation MEP → réticulocytes / plaquettes</w:t>
            </w:r>
          </w:p>
        </w:tc>
      </w:tr>
      <w:tr>
        <w:tc>
          <w:tcPr>
            <w:tcW w:type="dxa" w:w="1701"/>
            <w:shd w:val="clear" w:color="auto" w:fill="FFFFFF"/>
          </w:tcPr>
          <w:p>
            <w:pPr>
              <w:jc w:val="center"/>
            </w:pPr>
            <w:r>
              <w:rPr>
                <w:rFonts w:ascii="Times New Roman" w:hAnsi="Times New Roman"/>
                <w:b w:val="0"/>
                <w:i w:val="0"/>
                <w:sz w:val="20"/>
              </w:rPr>
              <w:t>γ_prolTrans</w:t>
            </w:r>
          </w:p>
        </w:tc>
        <w:tc>
          <w:tcPr>
            <w:tcW w:type="dxa" w:w="1417"/>
            <w:shd w:val="clear" w:color="auto" w:fill="FFFFFF"/>
          </w:tcPr>
          <w:p>
            <w:pPr>
              <w:jc w:val="center"/>
            </w:pPr>
            <w:r>
              <w:rPr>
                <w:rFonts w:ascii="Times New Roman" w:hAnsi="Times New Roman"/>
                <w:b w:val="0"/>
                <w:i w:val="0"/>
                <w:sz w:val="20"/>
              </w:rPr>
              <w:t>0,70</w:t>
            </w:r>
          </w:p>
        </w:tc>
        <w:tc>
          <w:tcPr>
            <w:tcW w:type="dxa" w:w="5669"/>
            <w:shd w:val="clear" w:color="auto" w:fill="FFFFFF"/>
          </w:tcPr>
          <w:p>
            <w:pPr>
              <w:jc w:val="center"/>
            </w:pPr>
            <w:r>
              <w:rPr>
                <w:rFonts w:ascii="Times New Roman" w:hAnsi="Times New Roman"/>
                <w:b w:val="0"/>
                <w:i w:val="0"/>
                <w:sz w:val="20"/>
              </w:rPr>
              <w:t>Feedback sur les cellules en transit (réticulocytes, plaquettes)</w:t>
            </w:r>
          </w:p>
        </w:tc>
      </w:tr>
    </w:tbl>
    <w:p>
      <w:pPr>
        <w:spacing w:before="0" w:after="120"/>
        <w:ind w:firstLine="567"/>
        <w:jc w:val="both"/>
      </w:pPr>
      <w:r>
        <w:rPr>
          <w:rFonts w:ascii="Times New Roman" w:hAnsi="Times New Roman"/>
          <w:b w:val="0"/>
          <w:i w:val="0"/>
          <w:sz w:val="24"/>
        </w:rPr>
        <w:t>Des valeurs faibles de γ (ex. γ_stem = 0,07) traduisent une réponse compensatoire lente et atténuée au niveau des progéniteurs souches, tandis que des valeurs élevées (ex. γ_prolTrans = 0,70) reflètent une sensibilité plus forte des cellules en transit aux variations de leur lignée d'aval. Ce mécanisme représente la stimulation compensatoire de la moelle osseuse lors d'une cytopénie : lorsque le nombre de cellules circulantes chute, le feedback accélère la production médullaire pour restaurer l'homéostasie.</w:t>
      </w:r>
    </w:p>
    <w:p>
      <w:pPr>
        <w:spacing w:before="0" w:after="120"/>
        <w:ind w:firstLine="567"/>
        <w:jc w:val="both"/>
      </w:pPr>
      <w:r>
        <w:rPr>
          <w:rFonts w:ascii="Times New Roman" w:hAnsi="Times New Roman"/>
          <w:b w:val="0"/>
          <w:i w:val="0"/>
          <w:sz w:val="24"/>
        </w:rPr>
        <w:t>Les paramètres de base (k_e, k_prol, τ) sont dérivés des valeurs biologiques à l'état d'équilibre de chaque espèce selon les équations S4 de Fornari (2019) :</w:t>
      </w:r>
    </w:p>
    <w:p>
      <w:pPr>
        <w:spacing w:before="120" w:after="120"/>
        <w:jc w:val="center"/>
      </w:pPr>
      <w:r>
        <w:rPr>
          <w:rFonts w:ascii="Courier New" w:hAnsi="Courier New"/>
          <w:b w:val="0"/>
          <w:i/>
          <w:color w:val="3C3C78"/>
          <w:sz w:val="22"/>
        </w:rPr>
        <w:t>k_e = ln(2) / t_half_cell    [taux d'élimination des cellules matures]</w:t>
      </w:r>
    </w:p>
    <w:p>
      <w:pPr>
        <w:spacing w:before="120" w:after="120"/>
        <w:jc w:val="center"/>
      </w:pPr>
      <w:r>
        <w:rPr>
          <w:rFonts w:ascii="Courier New" w:hAnsi="Courier New"/>
          <w:b w:val="0"/>
          <w:i/>
          <w:color w:val="3C3C78"/>
          <w:sz w:val="22"/>
        </w:rPr>
        <w:t>k_prol = k_e × (C_baseline / MPP_baseline)^(1/n_transits)</w:t>
      </w:r>
    </w:p>
    <w:p>
      <w:pPr>
        <w:spacing w:before="120" w:after="120"/>
        <w:jc w:val="center"/>
      </w:pPr>
      <w:r>
        <w:rPr>
          <w:rFonts w:ascii="Courier New" w:hAnsi="Courier New"/>
          <w:b w:val="0"/>
          <w:i/>
          <w:color w:val="3C3C78"/>
          <w:sz w:val="22"/>
        </w:rPr>
        <w:t>τ = 1 / k_transit    [temps de transit moyen par compartiment]</w:t>
      </w:r>
    </w:p>
    <w:p>
      <w:pPr>
        <w:spacing w:before="240" w:after="80"/>
      </w:pPr>
      <w:r>
        <w:rPr>
          <w:rFonts w:ascii="Times New Roman" w:hAnsi="Times New Roman"/>
          <w:b/>
          <w:i w:val="0"/>
          <w:color w:val="34495E"/>
          <w:sz w:val="28"/>
        </w:rPr>
        <w:t>2.3 Modèle d'effet du médicament</w:t>
      </w:r>
    </w:p>
    <w:p>
      <w:pPr>
        <w:spacing w:before="0" w:after="120"/>
        <w:ind w:firstLine="567"/>
        <w:jc w:val="both"/>
      </w:pPr>
      <w:r>
        <w:rPr>
          <w:rFonts w:ascii="Times New Roman" w:hAnsi="Times New Roman"/>
          <w:b w:val="0"/>
          <w:i w:val="0"/>
          <w:sz w:val="24"/>
        </w:rPr>
        <w:t>L'effet cytotoxique du médicament sur les cellules progénitrices est modélisé par un compartiment de dommage (Damage), représentant l'accumulation de l'effet toxique intracellulaire.</w:t>
      </w:r>
    </w:p>
    <w:p>
      <w:pPr>
        <w:spacing w:before="160" w:after="80"/>
      </w:pPr>
      <w:r>
        <w:rPr>
          <w:rFonts w:ascii="Times New Roman" w:hAnsi="Times New Roman"/>
          <w:b/>
          <w:i w:val="0"/>
          <w:color w:val="4A698A"/>
          <w:sz w:val="24"/>
        </w:rPr>
        <w:t>2.3.1 Équation de dommage</w:t>
      </w:r>
    </w:p>
    <w:p>
      <w:pPr>
        <w:spacing w:before="120" w:after="120"/>
        <w:jc w:val="center"/>
      </w:pPr>
      <w:r>
        <w:rPr>
          <w:rFonts w:ascii="Courier New" w:hAnsi="Courier New"/>
          <w:b w:val="0"/>
          <w:i/>
          <w:color w:val="3C3C78"/>
          <w:sz w:val="22"/>
        </w:rPr>
        <w:t>dDamage/dt = k_dam × C_drug(µM) − k_rep × Damage</w:t>
      </w:r>
    </w:p>
    <w:p>
      <w:pPr>
        <w:spacing w:before="0" w:after="120"/>
        <w:ind w:firstLine="567"/>
        <w:jc w:val="both"/>
      </w:pPr>
      <w:r>
        <w:rPr>
          <w:rFonts w:ascii="Times New Roman" w:hAnsi="Times New Roman"/>
          <w:b w:val="0"/>
          <w:i w:val="0"/>
          <w:sz w:val="24"/>
        </w:rPr>
        <w:t>C_drug(µM) est la concentration plasmatique du médicament convertie en µM, k_dam le taux d'accumulation du dommage (proportionnel à l'exposition) et k_rep le taux de réparation cellulaire. À l'état stationnaire :</w:t>
      </w:r>
    </w:p>
    <w:p>
      <w:pPr>
        <w:spacing w:before="120" w:after="120"/>
        <w:jc w:val="center"/>
      </w:pPr>
      <w:r>
        <w:rPr>
          <w:rFonts w:ascii="Courier New" w:hAnsi="Courier New"/>
          <w:b w:val="0"/>
          <w:i/>
          <w:color w:val="3C3C78"/>
          <w:sz w:val="22"/>
        </w:rPr>
        <w:t>Damage_ss = (k_dam / k_rep) × C_drug</w:t>
      </w:r>
    </w:p>
    <w:p>
      <w:pPr>
        <w:spacing w:before="160" w:after="80"/>
      </w:pPr>
      <w:r>
        <w:rPr>
          <w:rFonts w:ascii="Times New Roman" w:hAnsi="Times New Roman"/>
          <w:b/>
          <w:i w:val="0"/>
          <w:color w:val="4A698A"/>
          <w:sz w:val="24"/>
        </w:rPr>
        <w:t>2.3.2 Inhibition de la prolifération</w:t>
      </w:r>
    </w:p>
    <w:p>
      <w:pPr>
        <w:spacing w:before="0" w:after="120"/>
        <w:ind w:firstLine="567"/>
        <w:jc w:val="both"/>
      </w:pPr>
      <w:r>
        <w:rPr>
          <w:rFonts w:ascii="Times New Roman" w:hAnsi="Times New Roman"/>
          <w:b w:val="0"/>
          <w:i w:val="0"/>
          <w:sz w:val="24"/>
        </w:rPr>
        <w:t>Le dommage inhibe la prolifération des progéniteurs via un terme multiplicatif :</w:t>
      </w:r>
    </w:p>
    <w:p>
      <w:pPr>
        <w:spacing w:before="120" w:after="120"/>
        <w:jc w:val="center"/>
      </w:pPr>
      <w:r>
        <w:rPr>
          <w:rFonts w:ascii="Courier New" w:hAnsi="Courier New"/>
          <w:b w:val="0"/>
          <w:i/>
          <w:color w:val="3C3C78"/>
          <w:sz w:val="22"/>
        </w:rPr>
        <w:t>Effet = 1 − Slope × Damage</w:t>
      </w:r>
    </w:p>
    <w:p>
      <w:pPr>
        <w:spacing w:before="0" w:after="120"/>
        <w:ind w:firstLine="567"/>
        <w:jc w:val="both"/>
      </w:pPr>
      <w:r>
        <w:rPr>
          <w:rFonts w:ascii="Times New Roman" w:hAnsi="Times New Roman"/>
          <w:b w:val="0"/>
          <w:i w:val="0"/>
          <w:sz w:val="24"/>
        </w:rPr>
        <w:t>Le paramètre Slope est spécifique à chaque lignée cellulaire (Slope_MPP, Slope_CMP, Slope_MEP), reflétant la sensibilité différentielle des progéniteurs au payload cytotoxique. Ces paramètres sont également propres à chaque molécule : un payload à mécanisme d'action différent (alkylant, inhibiteur de topoisomérase, inhibiteur de kinase) induira des Slopes distincts selon son affinité pour les progéniteurs hématopoïétiques. Ces paramètres sont calibrés sur les données hématologiques observées pour chaque composé.</w:t>
      </w:r>
    </w:p>
    <w:p>
      <w:pPr>
        <w:spacing w:before="240" w:after="80"/>
      </w:pPr>
      <w:r>
        <w:rPr>
          <w:rFonts w:ascii="Times New Roman" w:hAnsi="Times New Roman"/>
          <w:b/>
          <w:i w:val="0"/>
          <w:color w:val="34495E"/>
          <w:sz w:val="28"/>
        </w:rPr>
        <w:t>2.4 Modèle pharmacocinétique</w:t>
      </w:r>
    </w:p>
    <w:p>
      <w:pPr>
        <w:spacing w:before="0" w:after="120"/>
        <w:ind w:firstLine="567"/>
        <w:jc w:val="both"/>
      </w:pPr>
      <w:r>
        <w:rPr>
          <w:rFonts w:ascii="Times New Roman" w:hAnsi="Times New Roman"/>
          <w:b w:val="0"/>
          <w:i w:val="0"/>
          <w:sz w:val="24"/>
        </w:rPr>
        <w:t>La pharmacocinétique de tous les composés étudiés est décrite par un modèle à 2 compartiments (central + périphérique) après administration intraveineuse (IV) en bolus.</w:t>
      </w:r>
    </w:p>
    <w:p>
      <w:pPr>
        <w:spacing w:before="160" w:after="80"/>
      </w:pPr>
      <w:r>
        <w:rPr>
          <w:rFonts w:ascii="Times New Roman" w:hAnsi="Times New Roman"/>
          <w:b/>
          <w:i w:val="0"/>
          <w:color w:val="4A698A"/>
          <w:sz w:val="24"/>
        </w:rPr>
        <w:t>2.4.1 Équations structurelles</w:t>
      </w:r>
    </w:p>
    <w:p>
      <w:pPr>
        <w:spacing w:before="120" w:after="120"/>
        <w:jc w:val="center"/>
      </w:pPr>
      <w:r>
        <w:rPr>
          <w:rFonts w:ascii="Courier New" w:hAnsi="Courier New"/>
          <w:b w:val="0"/>
          <w:i/>
          <w:color w:val="3C3C78"/>
          <w:sz w:val="22"/>
        </w:rPr>
        <w:t>dA1/dt = −(CL/V1 + Q/V1) × A1 + (Q/V2) × A2  [compartiment central]</w:t>
      </w:r>
    </w:p>
    <w:p>
      <w:pPr>
        <w:spacing w:before="120" w:after="120"/>
        <w:jc w:val="center"/>
      </w:pPr>
      <w:r>
        <w:rPr>
          <w:rFonts w:ascii="Courier New" w:hAnsi="Courier New"/>
          <w:b w:val="0"/>
          <w:i/>
          <w:color w:val="3C3C78"/>
          <w:sz w:val="22"/>
        </w:rPr>
        <w:t>dA2/dt = (Q/V1) × A1 − (Q/V2) × A2              [compartiment périphérique]</w:t>
      </w:r>
    </w:p>
    <w:p>
      <w:pPr>
        <w:spacing w:before="120" w:after="120"/>
        <w:jc w:val="center"/>
      </w:pPr>
      <w:r>
        <w:rPr>
          <w:rFonts w:ascii="Courier New" w:hAnsi="Courier New"/>
          <w:b w:val="0"/>
          <w:i/>
          <w:color w:val="3C3C78"/>
          <w:sz w:val="22"/>
        </w:rPr>
        <w:t>C1 = A1 / V1   [concentration centrale, ng/mL ou µg/mL]</w:t>
      </w:r>
    </w:p>
    <w:p>
      <w:pPr>
        <w:spacing w:before="0" w:after="120"/>
        <w:ind w:firstLine="567"/>
        <w:jc w:val="both"/>
      </w:pPr>
      <w:r>
        <w:rPr>
          <w:rFonts w:ascii="Times New Roman" w:hAnsi="Times New Roman"/>
          <w:b w:val="0"/>
          <w:i w:val="0"/>
          <w:sz w:val="24"/>
        </w:rPr>
        <w:t>Les paramètres structurels sont : CL (clairance), V1 (volume central), Q (clairance intercompartimentale), V2 (volume périphérique). La demi-vie d'élimination terminale β est donnée par :</w:t>
      </w:r>
    </w:p>
    <w:p>
      <w:pPr>
        <w:spacing w:before="120" w:after="120"/>
        <w:jc w:val="center"/>
      </w:pPr>
      <w:r>
        <w:rPr>
          <w:rFonts w:ascii="Courier New" w:hAnsi="Courier New"/>
          <w:b w:val="0"/>
          <w:i/>
          <w:color w:val="3C3C78"/>
          <w:sz w:val="22"/>
        </w:rPr>
        <w:t>t½β = ln(2) / β    avec β = racine de l'équation caractéristique bi-exponentielle</w:t>
      </w:r>
    </w:p>
    <w:p>
      <w:pPr>
        <w:spacing w:before="0" w:after="120"/>
        <w:ind w:firstLine="567"/>
        <w:jc w:val="both"/>
      </w:pPr>
      <w:r>
        <w:rPr>
          <w:rFonts w:ascii="Times New Roman" w:hAnsi="Times New Roman"/>
          <w:b w:val="0"/>
          <w:i w:val="0"/>
          <w:sz w:val="24"/>
        </w:rPr>
        <w:t>La concentration plasmatique suit une décroissance bi-exponentielle :</w:t>
      </w:r>
    </w:p>
    <w:p>
      <w:pPr>
        <w:spacing w:before="120" w:after="120"/>
        <w:jc w:val="center"/>
      </w:pPr>
      <w:r>
        <w:rPr>
          <w:rFonts w:ascii="Courier New" w:hAnsi="Courier New"/>
          <w:b w:val="0"/>
          <w:i/>
          <w:color w:val="3C3C78"/>
          <w:sz w:val="22"/>
        </w:rPr>
        <w:t>C(t) = A × e^{−αt} + B × e^{−βt}</w:t>
      </w:r>
    </w:p>
    <w:p>
      <w:pPr>
        <w:spacing w:before="0" w:after="120"/>
        <w:ind w:firstLine="567"/>
        <w:jc w:val="both"/>
      </w:pPr>
      <w:r>
        <w:rPr>
          <w:rFonts w:ascii="Times New Roman" w:hAnsi="Times New Roman"/>
          <w:b w:val="0"/>
          <w:i w:val="0"/>
          <w:sz w:val="24"/>
        </w:rPr>
        <w:t>où α et β sont les macro-constantes (α &gt; β), et A, B les amplitudes. La relation avec les paramètres systémiques est :</w:t>
      </w:r>
    </w:p>
    <w:p>
      <w:pPr>
        <w:spacing w:before="120" w:after="120"/>
        <w:jc w:val="center"/>
      </w:pPr>
      <w:r>
        <w:rPr>
          <w:rFonts w:ascii="Courier New" w:hAnsi="Courier New"/>
          <w:b w:val="0"/>
          <w:i/>
          <w:color w:val="3C3C78"/>
          <w:sz w:val="22"/>
        </w:rPr>
        <w:t>k₁₀ = CL / V1     k₁₂ = Q / V1     k₂₁ = Q / V2</w:t>
      </w:r>
    </w:p>
    <w:p>
      <w:pPr>
        <w:spacing w:before="120" w:after="120"/>
        <w:jc w:val="center"/>
      </w:pPr>
      <w:r>
        <w:rPr>
          <w:rFonts w:ascii="Courier New" w:hAnsi="Courier New"/>
          <w:b w:val="0"/>
          <w:i/>
          <w:color w:val="3C3C78"/>
          <w:sz w:val="22"/>
        </w:rPr>
        <w:t>α + β = k₁₀ + k₁₂ + k₂₁</w:t>
      </w:r>
    </w:p>
    <w:p>
      <w:pPr>
        <w:spacing w:before="120" w:after="120"/>
        <w:jc w:val="center"/>
      </w:pPr>
      <w:r>
        <w:rPr>
          <w:rFonts w:ascii="Courier New" w:hAnsi="Courier New"/>
          <w:b w:val="0"/>
          <w:i/>
          <w:color w:val="3C3C78"/>
          <w:sz w:val="22"/>
        </w:rPr>
        <w:t>α × β = k₁₀ × k₂₁</w:t>
      </w:r>
    </w:p>
    <w:p>
      <w:pPr>
        <w:spacing w:before="120" w:after="120"/>
        <w:jc w:val="center"/>
      </w:pPr>
      <w:r>
        <w:rPr>
          <w:rFonts w:ascii="Courier New" w:hAnsi="Courier New"/>
          <w:b w:val="0"/>
          <w:i/>
          <w:color w:val="3C3C78"/>
          <w:sz w:val="22"/>
        </w:rPr>
        <w:t>V1 = Dose / (A + B)     [car C₀ = A + B]</w:t>
      </w:r>
    </w:p>
    <w:p>
      <w:pPr>
        <w:spacing w:before="120" w:after="120"/>
        <w:jc w:val="center"/>
      </w:pPr>
      <w:r>
        <w:rPr>
          <w:rFonts w:ascii="Courier New" w:hAnsi="Courier New"/>
          <w:b w:val="0"/>
          <w:i/>
          <w:color w:val="3C3C78"/>
          <w:sz w:val="22"/>
        </w:rPr>
        <w:t>CL = Dose / AUCinf = k₁₀ × V1</w:t>
      </w:r>
    </w:p>
    <w:p>
      <w:pPr>
        <w:spacing w:before="160" w:after="80"/>
      </w:pPr>
      <w:r>
        <w:rPr>
          <w:rFonts w:ascii="Times New Roman" w:hAnsi="Times New Roman"/>
          <w:b/>
          <w:i w:val="0"/>
          <w:color w:val="4A698A"/>
          <w:sz w:val="24"/>
        </w:rPr>
        <w:t>2.4.2 Analyse non-compartimentale (NCA) — initialisation</w:t>
      </w:r>
    </w:p>
    <w:p>
      <w:pPr>
        <w:spacing w:before="0" w:after="120"/>
        <w:ind w:firstLine="567"/>
        <w:jc w:val="both"/>
      </w:pPr>
      <w:r>
        <w:rPr>
          <w:rFonts w:ascii="Times New Roman" w:hAnsi="Times New Roman"/>
          <w:b w:val="0"/>
          <w:i w:val="0"/>
          <w:sz w:val="24"/>
        </w:rPr>
        <w:t>Avant l'estimation compartimentale, une analyse non-compartimentale (NCA) a été réalisée sur chaque profil individuel afin de fournir des valeurs initiales robustes à l'algorithme d'optimisation. Les paramètres NCA calculés sont :</w:t>
      </w:r>
    </w:p>
    <w:p>
      <w:pPr>
        <w:spacing w:after="60"/>
        <w:ind w:left="283" w:hanging="227"/>
      </w:pPr>
      <w:r>
        <w:rPr>
          <w:rFonts w:ascii="Times New Roman" w:hAnsi="Times New Roman"/>
          <w:b w:val="0"/>
          <w:i w:val="0"/>
          <w:sz w:val="22"/>
        </w:rPr>
        <w:t>• AUCinf : intégrale de la courbe concentration-temps extrapolée à l'infini</w:t>
      </w:r>
    </w:p>
    <w:p>
      <w:pPr>
        <w:spacing w:after="60"/>
        <w:ind w:left="283" w:hanging="227"/>
      </w:pPr>
      <w:r>
        <w:rPr>
          <w:rFonts w:ascii="Times New Roman" w:hAnsi="Times New Roman"/>
          <w:b w:val="0"/>
          <w:i w:val="0"/>
          <w:sz w:val="22"/>
        </w:rPr>
        <w:t>• CL_NCA = Dose / AUCinf   [clairance]</w:t>
      </w:r>
    </w:p>
    <w:p>
      <w:pPr>
        <w:spacing w:after="60"/>
        <w:ind w:left="283" w:hanging="227"/>
      </w:pPr>
      <w:r>
        <w:rPr>
          <w:rFonts w:ascii="Times New Roman" w:hAnsi="Times New Roman"/>
          <w:b w:val="0"/>
          <w:i w:val="0"/>
          <w:sz w:val="22"/>
        </w:rPr>
        <w:t>• C₀ : concentration initiale estimée par extrapolation à t = 0</w:t>
      </w:r>
    </w:p>
    <w:p>
      <w:pPr>
        <w:spacing w:after="60"/>
        <w:ind w:left="283" w:hanging="227"/>
      </w:pPr>
      <w:r>
        <w:rPr>
          <w:rFonts w:ascii="Times New Roman" w:hAnsi="Times New Roman"/>
          <w:b w:val="0"/>
          <w:i w:val="0"/>
          <w:sz w:val="22"/>
        </w:rPr>
        <w:t>• V1_NCA = Dose / C₀   [volume central]</w:t>
      </w:r>
    </w:p>
    <w:p>
      <w:pPr>
        <w:spacing w:after="60"/>
        <w:ind w:left="283" w:hanging="227"/>
      </w:pPr>
      <w:r>
        <w:rPr>
          <w:rFonts w:ascii="Times New Roman" w:hAnsi="Times New Roman"/>
          <w:b w:val="0"/>
          <w:i w:val="0"/>
          <w:sz w:val="22"/>
        </w:rPr>
        <w:t>• Vz = CL_NCA / β   [volume de distribution terminal]</w:t>
      </w:r>
    </w:p>
    <w:p>
      <w:pPr>
        <w:spacing w:after="60"/>
        <w:ind w:left="283" w:hanging="227"/>
      </w:pPr>
      <w:r>
        <w:rPr>
          <w:rFonts w:ascii="Times New Roman" w:hAnsi="Times New Roman"/>
          <w:b w:val="0"/>
          <w:i w:val="0"/>
          <w:sz w:val="22"/>
        </w:rPr>
        <w:t>• t½β = ln(2) / β   [demi-vie terminale]</w:t>
      </w:r>
    </w:p>
    <w:p>
      <w:pPr>
        <w:spacing w:before="0" w:after="120"/>
        <w:ind w:firstLine="567"/>
        <w:jc w:val="both"/>
      </w:pPr>
      <w:r>
        <w:rPr>
          <w:rFonts w:ascii="Times New Roman" w:hAnsi="Times New Roman"/>
          <w:b w:val="0"/>
          <w:i w:val="0"/>
          <w:sz w:val="24"/>
        </w:rPr>
        <w:t>Ces estimations servent uniquement comme point de départ pour l'optimisation — les paramètres définitifs (CL, V1, Q, V2) sont ceux issus du modèle 2-compartiments ajusté par Nelder-Mead.</w:t>
      </w:r>
    </w:p>
    <w:p>
      <w:pPr>
        <w:spacing w:before="160" w:after="80"/>
      </w:pPr>
      <w:r>
        <w:rPr>
          <w:rFonts w:ascii="Times New Roman" w:hAnsi="Times New Roman"/>
          <w:b/>
          <w:i w:val="0"/>
          <w:color w:val="4A698A"/>
          <w:sz w:val="24"/>
        </w:rPr>
        <w:t>2.4.3 Ajustement individuel par optimisation</w:t>
      </w:r>
    </w:p>
    <w:p>
      <w:pPr>
        <w:spacing w:before="0" w:after="120"/>
        <w:ind w:firstLine="567"/>
        <w:jc w:val="both"/>
      </w:pPr>
      <w:r>
        <w:rPr>
          <w:rFonts w:ascii="Times New Roman" w:hAnsi="Times New Roman"/>
          <w:b w:val="0"/>
          <w:i w:val="0"/>
          <w:sz w:val="24"/>
        </w:rPr>
        <w:t>Pour chaque animal ou patient disposant de données de concentration temporelle, les quatre paramètres PK (CL, V1, Q, V2) sont estimés individuellement par minimisation d'une fonction objectif sur l'échelle logarithmique, via l'algorithme de Nelder-Mead (méthode du simplexe).</w:t>
      </w:r>
    </w:p>
    <w:p>
      <w:pPr>
        <w:spacing w:before="160" w:after="80"/>
      </w:pPr>
      <w:r>
        <w:rPr>
          <w:rFonts w:ascii="Times New Roman" w:hAnsi="Times New Roman"/>
          <w:b/>
          <w:i w:val="0"/>
          <w:color w:val="4A698A"/>
          <w:sz w:val="24"/>
        </w:rPr>
        <w:t>Fonction objectif</w:t>
      </w:r>
    </w:p>
    <w:p>
      <w:pPr>
        <w:spacing w:before="0" w:after="120"/>
        <w:ind w:firstLine="567"/>
        <w:jc w:val="both"/>
      </w:pPr>
      <w:r>
        <w:rPr>
          <w:rFonts w:ascii="Times New Roman" w:hAnsi="Times New Roman"/>
          <w:b w:val="0"/>
          <w:i w:val="0"/>
          <w:sz w:val="24"/>
        </w:rPr>
        <w:t>La fonction objectif minimisée est la somme des résidus quadratiques (SSR) calculée sur les logarithmes des concentrations :</w:t>
      </w:r>
    </w:p>
    <w:p>
      <w:pPr>
        <w:spacing w:before="120" w:after="120"/>
        <w:jc w:val="center"/>
      </w:pPr>
      <w:r>
        <w:rPr>
          <w:rFonts w:ascii="Courier New" w:hAnsi="Courier New"/>
          <w:b w:val="0"/>
          <w:i/>
          <w:color w:val="3C3C78"/>
          <w:sz w:val="22"/>
        </w:rPr>
        <w:t>SSR(θ) = Σᵢ [log(C_obs,i) − log(C_pred,i | θ)]²</w:t>
      </w:r>
    </w:p>
    <w:p>
      <w:pPr>
        <w:spacing w:before="0" w:after="120"/>
        <w:ind w:firstLine="567"/>
        <w:jc w:val="both"/>
      </w:pPr>
      <w:r>
        <w:rPr>
          <w:rFonts w:ascii="Times New Roman" w:hAnsi="Times New Roman"/>
          <w:b w:val="0"/>
          <w:i w:val="0"/>
          <w:sz w:val="24"/>
        </w:rPr>
        <w:t>où θ = (CL, V1, Q, V2) est le vecteur de paramètres, C_obs,i la concentration observée au temps tᵢ, et C_pred,i la concentration prédite par le modèle bi-exponentiel pour ces paramètres. Cette formulation sur l'échelle logarithmique est équivalente à supposer un modèle d'erreur résiduelle proportionnelle :</w:t>
      </w:r>
    </w:p>
    <w:p>
      <w:pPr>
        <w:spacing w:before="120" w:after="120"/>
        <w:jc w:val="center"/>
      </w:pPr>
      <w:r>
        <w:rPr>
          <w:rFonts w:ascii="Courier New" w:hAnsi="Courier New"/>
          <w:b w:val="0"/>
          <w:i/>
          <w:color w:val="3C3C78"/>
          <w:sz w:val="22"/>
        </w:rPr>
        <w:t>C_obs,i = C_pred,i × exp(εᵢ)    avec εᵢ ~ N(0, σ²)</w:t>
      </w:r>
    </w:p>
    <w:p>
      <w:pPr>
        <w:spacing w:before="0" w:after="120"/>
        <w:ind w:firstLine="567"/>
        <w:jc w:val="both"/>
      </w:pPr>
      <w:r>
        <w:rPr>
          <w:rFonts w:ascii="Times New Roman" w:hAnsi="Times New Roman"/>
          <w:b w:val="0"/>
          <w:i w:val="0"/>
          <w:sz w:val="24"/>
        </w:rPr>
        <w:t>Elle confère ainsi une pondération homogène à toutes les concentrations observées, indépendamment de leur ordre de grandeur. Sans cette transformation, les points en fin de profil (faibles concentrations) auraient un poids négligeable face aux concentrations initiales élevées, biaisant l'estimation de la demi-vie terminale.</w:t>
      </w:r>
    </w:p>
    <w:p>
      <w:pPr>
        <w:spacing w:before="160" w:after="80"/>
      </w:pPr>
      <w:r>
        <w:rPr>
          <w:rFonts w:ascii="Times New Roman" w:hAnsi="Times New Roman"/>
          <w:b/>
          <w:i w:val="0"/>
          <w:color w:val="4A698A"/>
          <w:sz w:val="24"/>
        </w:rPr>
        <w:t>Algorithme de Nelder-Mead</w:t>
      </w:r>
    </w:p>
    <w:p>
      <w:pPr>
        <w:spacing w:before="0" w:after="120"/>
        <w:ind w:firstLine="567"/>
        <w:jc w:val="both"/>
      </w:pPr>
      <w:r>
        <w:rPr>
          <w:rFonts w:ascii="Times New Roman" w:hAnsi="Times New Roman"/>
          <w:b w:val="0"/>
          <w:i w:val="0"/>
          <w:sz w:val="24"/>
        </w:rPr>
        <w:t>L'algorithme de Nelder-Mead est une méthode d'optimisation sans gradient (dérivée-free), particulièrement adaptée aux fonctions objectif non différentiables ou bruitées. Il opère par déformation itérative d'un simplexe dans l'espace des paramètres (réflexion, expansion, contraction, réduction), convergeant vers un minimum local sans nécessiter le calcul du gradient de SSR.</w:t>
      </w:r>
    </w:p>
    <w:p>
      <w:pPr>
        <w:spacing w:before="0" w:after="120"/>
        <w:ind w:firstLine="567"/>
        <w:jc w:val="both"/>
      </w:pPr>
      <w:r>
        <w:rPr>
          <w:rFonts w:ascii="Times New Roman" w:hAnsi="Times New Roman"/>
          <w:b w:val="0"/>
          <w:i w:val="0"/>
          <w:sz w:val="24"/>
        </w:rPr>
        <w:t>En pratique, l'optimisation est réalisée via la fonction optim() de R (method = "Nelder-Mead") avec les réglages suivants :</w:t>
      </w:r>
    </w:p>
    <w:p>
      <w:pPr>
        <w:spacing w:after="60"/>
        <w:ind w:left="283" w:hanging="227"/>
      </w:pPr>
      <w:r>
        <w:rPr>
          <w:rFonts w:ascii="Times New Roman" w:hAnsi="Times New Roman"/>
          <w:b w:val="0"/>
          <w:i w:val="0"/>
          <w:sz w:val="22"/>
        </w:rPr>
        <w:t>• Valeurs initiales : CL₀ = CL_NCA, V1₀ = Dose/C₀, Q₀ = 0,5×CL₀, V2₀ = V1₀ (estimations préliminaires par NCA ou inspection visuelle)</w:t>
      </w:r>
    </w:p>
    <w:p>
      <w:pPr>
        <w:spacing w:after="60"/>
        <w:ind w:left="283" w:hanging="227"/>
      </w:pPr>
      <w:r>
        <w:rPr>
          <w:rFonts w:ascii="Times New Roman" w:hAnsi="Times New Roman"/>
          <w:b w:val="0"/>
          <w:i w:val="0"/>
          <w:sz w:val="22"/>
        </w:rPr>
        <w:t>• Contrainte de positivité : optimisation sur log(θ), avec retour à θ = exp(log(θ)) pour garantir CL, V1, Q, V2 &gt; 0 à chaque évaluation</w:t>
      </w:r>
    </w:p>
    <w:p>
      <w:pPr>
        <w:spacing w:after="60"/>
        <w:ind w:left="283" w:hanging="227"/>
      </w:pPr>
      <w:r>
        <w:rPr>
          <w:rFonts w:ascii="Times New Roman" w:hAnsi="Times New Roman"/>
          <w:b w:val="0"/>
          <w:i w:val="0"/>
          <w:sz w:val="22"/>
        </w:rPr>
        <w:t>• Critère de convergence : tolérance relative sur SSR &lt; 10⁻⁶ (reltol par défaut R)</w:t>
      </w:r>
    </w:p>
    <w:p>
      <w:pPr>
        <w:spacing w:after="60"/>
        <w:ind w:left="283" w:hanging="227"/>
      </w:pPr>
      <w:r>
        <w:rPr>
          <w:rFonts w:ascii="Times New Roman" w:hAnsi="Times New Roman"/>
          <w:b w:val="0"/>
          <w:i w:val="0"/>
          <w:sz w:val="22"/>
        </w:rPr>
        <w:t>• Nombre maximal d'itérations : 5 000 (maxit = 5000)</w:t>
      </w:r>
    </w:p>
    <w:p>
      <w:pPr>
        <w:spacing w:before="160" w:after="80"/>
      </w:pPr>
      <w:r>
        <w:rPr>
          <w:rFonts w:ascii="Times New Roman" w:hAnsi="Times New Roman"/>
          <w:b/>
          <w:i w:val="0"/>
          <w:color w:val="4A698A"/>
          <w:sz w:val="24"/>
        </w:rPr>
        <w:t>Évaluation de la qualité d'ajustement</w:t>
      </w:r>
    </w:p>
    <w:p>
      <w:pPr>
        <w:spacing w:before="0" w:after="120"/>
        <w:ind w:firstLine="567"/>
        <w:jc w:val="both"/>
      </w:pPr>
      <w:r>
        <w:rPr>
          <w:rFonts w:ascii="Times New Roman" w:hAnsi="Times New Roman"/>
          <w:b w:val="0"/>
          <w:i w:val="0"/>
          <w:sz w:val="24"/>
        </w:rPr>
        <w:t>La qualité de l'ajustement individuel est évaluée par inspection visuelle des profils observés vs prédits (échelles linéaire et semi-logarithmique) et par le calcul des résidus relatifs individuels :</w:t>
      </w:r>
    </w:p>
    <w:p>
      <w:pPr>
        <w:spacing w:before="120" w:after="120"/>
        <w:jc w:val="center"/>
      </w:pPr>
      <w:r>
        <w:rPr>
          <w:rFonts w:ascii="Courier New" w:hAnsi="Courier New"/>
          <w:b w:val="0"/>
          <w:i/>
          <w:color w:val="3C3C78"/>
          <w:sz w:val="22"/>
        </w:rPr>
        <w:t>Résidu relatif (%) = (C_obs,i − C_pred,i) / C_obs,i × 100</w:t>
      </w:r>
    </w:p>
    <w:p>
      <w:pPr>
        <w:spacing w:before="0" w:after="120"/>
        <w:ind w:firstLine="567"/>
        <w:jc w:val="both"/>
      </w:pPr>
      <w:r>
        <w:rPr>
          <w:rFonts w:ascii="Times New Roman" w:hAnsi="Times New Roman"/>
          <w:b w:val="0"/>
          <w:i w:val="0"/>
          <w:sz w:val="24"/>
        </w:rPr>
        <w:t>Un ajustement est jugé satisfaisant lorsque les résidus relatifs médians sont inférieurs à 20% sur l'ensemble du profil, et qu'aucune tendance systématique (biais) n'est observée sur l'échelle semi-logarithmique.</w:t>
      </w:r>
    </w:p>
    <w:p>
      <w:pPr>
        <w:spacing w:before="240" w:after="80"/>
      </w:pPr>
      <w:r>
        <w:rPr>
          <w:rFonts w:ascii="Times New Roman" w:hAnsi="Times New Roman"/>
          <w:b/>
          <w:i w:val="0"/>
          <w:color w:val="34495E"/>
          <w:sz w:val="28"/>
        </w:rPr>
        <w:t>2.5 Simulation de population virtuelle</w:t>
      </w:r>
    </w:p>
    <w:p>
      <w:pPr>
        <w:spacing w:before="0" w:after="120"/>
        <w:ind w:firstLine="567"/>
        <w:jc w:val="both"/>
      </w:pPr>
      <w:r>
        <w:rPr>
          <w:rFonts w:ascii="Times New Roman" w:hAnsi="Times New Roman"/>
          <w:b w:val="0"/>
          <w:i w:val="0"/>
          <w:sz w:val="24"/>
        </w:rPr>
        <w:t>Afin d'évaluer la distribution des grades de toxicité hématologique attendus en population, une approche de simulation Monte-Carlo a été mise en œuvre. Une cohorte virtuelle de N=300 patients a été générée pour le T-DXd (5,4 mg/kg Q3W × 6 cycles), en intégrant la variabilité inter-individuelle sur les paramètres PK et PD.</w:t>
      </w:r>
    </w:p>
    <w:p>
      <w:pPr>
        <w:spacing w:before="160" w:after="80"/>
      </w:pPr>
      <w:r>
        <w:rPr>
          <w:rFonts w:ascii="Times New Roman" w:hAnsi="Times New Roman"/>
          <w:b/>
          <w:i w:val="0"/>
          <w:color w:val="4A698A"/>
          <w:sz w:val="24"/>
        </w:rPr>
        <w:t>Modélisation de la variabilité inter-individuelle</w:t>
      </w:r>
    </w:p>
    <w:p>
      <w:pPr>
        <w:spacing w:before="0" w:after="120"/>
        <w:ind w:firstLine="567"/>
        <w:jc w:val="both"/>
      </w:pPr>
      <w:r>
        <w:rPr>
          <w:rFonts w:ascii="Times New Roman" w:hAnsi="Times New Roman"/>
          <w:b w:val="0"/>
          <w:i w:val="0"/>
          <w:sz w:val="24"/>
        </w:rPr>
        <w:t>Les paramètres individuels sont supposés distribués selon une loi log-normale, ce qui garantit leur positivité et est cohérent avec la distribution observée des paramètres PK en population clinique :</w:t>
      </w:r>
    </w:p>
    <w:p>
      <w:pPr>
        <w:spacing w:before="120" w:after="120"/>
        <w:jc w:val="center"/>
      </w:pPr>
      <w:r>
        <w:rPr>
          <w:rFonts w:ascii="Courier New" w:hAnsi="Courier New"/>
          <w:b w:val="0"/>
          <w:i/>
          <w:color w:val="3C3C78"/>
          <w:sz w:val="22"/>
        </w:rPr>
        <w:t>θᵢ = θ_pop × exp(ηᵢ)    avec ηᵢ ~ N(0, ω²)</w:t>
      </w:r>
    </w:p>
    <w:p>
      <w:pPr>
        <w:spacing w:before="0" w:after="120"/>
        <w:ind w:firstLine="567"/>
        <w:jc w:val="both"/>
      </w:pPr>
      <w:r>
        <w:rPr>
          <w:rFonts w:ascii="Times New Roman" w:hAnsi="Times New Roman"/>
          <w:b w:val="0"/>
          <w:i w:val="0"/>
          <w:sz w:val="24"/>
        </w:rPr>
        <w:t>où θ_pop est la valeur typique de population, ηᵢ l'effet aléatoire individuel et ω² la variance inter-individuelle. Le coefficient de variation (CV%) associé est approximé par CV% ≈ ω × 100 pour des valeurs de ω &lt; 0,5. Les valeurs retenues, issues de l'analyse de population FDA (BLA 761139) et de la littérature, sont :</w:t>
      </w:r>
    </w:p>
    <w:tbl>
      <w:tblPr>
        <w:tblStyle w:val="TableGrid"/>
        <w:tblW w:type="auto" w:w="0"/>
        <w:tblLook w:firstColumn="1" w:firstRow="1" w:lastColumn="0" w:lastRow="0" w:noHBand="0" w:noVBand="1" w:val="04A0"/>
      </w:tblPr>
      <w:tblGrid>
        <w:gridCol w:w="2280"/>
        <w:gridCol w:w="2280"/>
        <w:gridCol w:w="2280"/>
        <w:gridCol w:w="2280"/>
      </w:tblGrid>
      <w:tr>
        <w:tc>
          <w:tcPr>
            <w:tcW w:type="dxa" w:w="2268"/>
            <w:shd w:val="clear" w:color="auto" w:fill="2C3E50"/>
          </w:tcPr>
          <w:p>
            <w:pPr>
              <w:jc w:val="center"/>
            </w:pPr>
            <w:r>
              <w:rPr>
                <w:rFonts w:ascii="Times New Roman" w:hAnsi="Times New Roman"/>
                <w:b/>
                <w:i w:val="0"/>
                <w:color w:val="FFFFFF"/>
                <w:sz w:val="20"/>
              </w:rPr>
              <w:t>Paramètre</w:t>
            </w:r>
          </w:p>
        </w:tc>
        <w:tc>
          <w:tcPr>
            <w:tcW w:type="dxa" w:w="1984"/>
            <w:shd w:val="clear" w:color="auto" w:fill="2C3E50"/>
          </w:tcPr>
          <w:p>
            <w:pPr>
              <w:jc w:val="center"/>
            </w:pPr>
            <w:r>
              <w:rPr>
                <w:rFonts w:ascii="Times New Roman" w:hAnsi="Times New Roman"/>
                <w:b/>
                <w:i w:val="0"/>
                <w:color w:val="FFFFFF"/>
                <w:sz w:val="20"/>
              </w:rPr>
              <w:t>Valeur typique (θ_pop)</w:t>
            </w:r>
          </w:p>
        </w:tc>
        <w:tc>
          <w:tcPr>
            <w:tcW w:type="dxa" w:w="1984"/>
            <w:shd w:val="clear" w:color="auto" w:fill="2C3E50"/>
          </w:tcPr>
          <w:p>
            <w:pPr>
              <w:jc w:val="center"/>
            </w:pPr>
            <w:r>
              <w:rPr>
                <w:rFonts w:ascii="Times New Roman" w:hAnsi="Times New Roman"/>
                <w:b/>
                <w:i w:val="0"/>
                <w:color w:val="FFFFFF"/>
                <w:sz w:val="20"/>
              </w:rPr>
              <w:t>CV inter-individuel (ω)</w:t>
            </w:r>
          </w:p>
        </w:tc>
        <w:tc>
          <w:tcPr>
            <w:tcW w:type="dxa" w:w="2551"/>
            <w:shd w:val="clear" w:color="auto" w:fill="2C3E50"/>
          </w:tcPr>
          <w:p>
            <w:pPr>
              <w:jc w:val="center"/>
            </w:pPr>
            <w:r>
              <w:rPr>
                <w:rFonts w:ascii="Times New Roman" w:hAnsi="Times New Roman"/>
                <w:b/>
                <w:i w:val="0"/>
                <w:color w:val="FFFFFF"/>
                <w:sz w:val="20"/>
              </w:rPr>
              <w:t>Source</w:t>
            </w:r>
          </w:p>
        </w:tc>
      </w:tr>
      <w:tr>
        <w:tc>
          <w:tcPr>
            <w:tcW w:type="dxa" w:w="2268"/>
            <w:shd w:val="clear" w:color="auto" w:fill="F2F2F2"/>
          </w:tcPr>
          <w:p>
            <w:pPr>
              <w:jc w:val="center"/>
            </w:pPr>
            <w:r>
              <w:rPr>
                <w:rFonts w:ascii="Times New Roman" w:hAnsi="Times New Roman"/>
                <w:b w:val="0"/>
                <w:i w:val="0"/>
                <w:sz w:val="20"/>
              </w:rPr>
              <w:t>CL (L/h)</w:t>
            </w:r>
          </w:p>
        </w:tc>
        <w:tc>
          <w:tcPr>
            <w:tcW w:type="dxa" w:w="1984"/>
            <w:shd w:val="clear" w:color="auto" w:fill="F2F2F2"/>
          </w:tcPr>
          <w:p>
            <w:pPr>
              <w:jc w:val="center"/>
            </w:pPr>
            <w:r>
              <w:rPr>
                <w:rFonts w:ascii="Times New Roman" w:hAnsi="Times New Roman"/>
                <w:b w:val="0"/>
                <w:i w:val="0"/>
                <w:sz w:val="20"/>
              </w:rPr>
              <w:t>0,50</w:t>
            </w:r>
          </w:p>
        </w:tc>
        <w:tc>
          <w:tcPr>
            <w:tcW w:type="dxa" w:w="1984"/>
            <w:shd w:val="clear" w:color="auto" w:fill="F2F2F2"/>
          </w:tcPr>
          <w:p>
            <w:pPr>
              <w:jc w:val="center"/>
            </w:pPr>
            <w:r>
              <w:rPr>
                <w:rFonts w:ascii="Times New Roman" w:hAnsi="Times New Roman"/>
                <w:b w:val="0"/>
                <w:i w:val="0"/>
                <w:sz w:val="20"/>
              </w:rPr>
              <w:t>30%</w:t>
            </w:r>
          </w:p>
        </w:tc>
        <w:tc>
          <w:tcPr>
            <w:tcW w:type="dxa" w:w="2551"/>
            <w:shd w:val="clear" w:color="auto" w:fill="F2F2F2"/>
          </w:tcPr>
          <w:p>
            <w:pPr>
              <w:jc w:val="center"/>
            </w:pPr>
            <w:r>
              <w:rPr>
                <w:rFonts w:ascii="Times New Roman" w:hAnsi="Times New Roman"/>
                <w:b w:val="0"/>
                <w:i w:val="0"/>
                <w:sz w:val="20"/>
              </w:rPr>
              <w:t>FDA BLA 761139</w:t>
            </w:r>
          </w:p>
        </w:tc>
      </w:tr>
      <w:tr>
        <w:tc>
          <w:tcPr>
            <w:tcW w:type="dxa" w:w="2268"/>
            <w:shd w:val="clear" w:color="auto" w:fill="FFFFFF"/>
          </w:tcPr>
          <w:p>
            <w:pPr>
              <w:jc w:val="center"/>
            </w:pPr>
            <w:r>
              <w:rPr>
                <w:rFonts w:ascii="Times New Roman" w:hAnsi="Times New Roman"/>
                <w:b w:val="0"/>
                <w:i w:val="0"/>
                <w:sz w:val="20"/>
              </w:rPr>
              <w:t>V1 (L)</w:t>
            </w:r>
          </w:p>
        </w:tc>
        <w:tc>
          <w:tcPr>
            <w:tcW w:type="dxa" w:w="1984"/>
            <w:shd w:val="clear" w:color="auto" w:fill="FFFFFF"/>
          </w:tcPr>
          <w:p>
            <w:pPr>
              <w:jc w:val="center"/>
            </w:pPr>
            <w:r>
              <w:rPr>
                <w:rFonts w:ascii="Times New Roman" w:hAnsi="Times New Roman"/>
                <w:b w:val="0"/>
                <w:i w:val="0"/>
                <w:sz w:val="20"/>
              </w:rPr>
              <w:t>3,1</w:t>
            </w:r>
          </w:p>
        </w:tc>
        <w:tc>
          <w:tcPr>
            <w:tcW w:type="dxa" w:w="1984"/>
            <w:shd w:val="clear" w:color="auto" w:fill="FFFFFF"/>
          </w:tcPr>
          <w:p>
            <w:pPr>
              <w:jc w:val="center"/>
            </w:pPr>
            <w:r>
              <w:rPr>
                <w:rFonts w:ascii="Times New Roman" w:hAnsi="Times New Roman"/>
                <w:b w:val="0"/>
                <w:i w:val="0"/>
                <w:sz w:val="20"/>
              </w:rPr>
              <w:t>25%</w:t>
            </w:r>
          </w:p>
        </w:tc>
        <w:tc>
          <w:tcPr>
            <w:tcW w:type="dxa" w:w="2551"/>
            <w:shd w:val="clear" w:color="auto" w:fill="FFFFFF"/>
          </w:tcPr>
          <w:p>
            <w:pPr>
              <w:jc w:val="center"/>
            </w:pPr>
            <w:r>
              <w:rPr>
                <w:rFonts w:ascii="Times New Roman" w:hAnsi="Times New Roman"/>
                <w:b w:val="0"/>
                <w:i w:val="0"/>
                <w:sz w:val="20"/>
              </w:rPr>
              <w:t>FDA BLA 761139</w:t>
            </w:r>
          </w:p>
        </w:tc>
      </w:tr>
      <w:tr>
        <w:tc>
          <w:tcPr>
            <w:tcW w:type="dxa" w:w="2268"/>
            <w:shd w:val="clear" w:color="auto" w:fill="F2F2F2"/>
          </w:tcPr>
          <w:p>
            <w:pPr>
              <w:jc w:val="center"/>
            </w:pPr>
            <w:r>
              <w:rPr>
                <w:rFonts w:ascii="Times New Roman" w:hAnsi="Times New Roman"/>
                <w:b w:val="0"/>
                <w:i w:val="0"/>
                <w:sz w:val="20"/>
              </w:rPr>
              <w:t>Q (L/h)</w:t>
            </w:r>
          </w:p>
        </w:tc>
        <w:tc>
          <w:tcPr>
            <w:tcW w:type="dxa" w:w="1984"/>
            <w:shd w:val="clear" w:color="auto" w:fill="F2F2F2"/>
          </w:tcPr>
          <w:p>
            <w:pPr>
              <w:jc w:val="center"/>
            </w:pPr>
            <w:r>
              <w:rPr>
                <w:rFonts w:ascii="Times New Roman" w:hAnsi="Times New Roman"/>
                <w:b w:val="0"/>
                <w:i w:val="0"/>
                <w:sz w:val="20"/>
              </w:rPr>
              <w:t>0,80</w:t>
            </w:r>
          </w:p>
        </w:tc>
        <w:tc>
          <w:tcPr>
            <w:tcW w:type="dxa" w:w="1984"/>
            <w:shd w:val="clear" w:color="auto" w:fill="F2F2F2"/>
          </w:tcPr>
          <w:p>
            <w:pPr>
              <w:jc w:val="center"/>
            </w:pPr>
            <w:r>
              <w:rPr>
                <w:rFonts w:ascii="Times New Roman" w:hAnsi="Times New Roman"/>
                <w:b w:val="0"/>
                <w:i w:val="0"/>
                <w:sz w:val="20"/>
              </w:rPr>
              <w:t>30%</w:t>
            </w:r>
          </w:p>
        </w:tc>
        <w:tc>
          <w:tcPr>
            <w:tcW w:type="dxa" w:w="2551"/>
            <w:shd w:val="clear" w:color="auto" w:fill="F2F2F2"/>
          </w:tcPr>
          <w:p>
            <w:pPr>
              <w:jc w:val="center"/>
            </w:pPr>
            <w:r>
              <w:rPr>
                <w:rFonts w:ascii="Times New Roman" w:hAnsi="Times New Roman"/>
                <w:b w:val="0"/>
                <w:i w:val="0"/>
                <w:sz w:val="20"/>
              </w:rPr>
              <w:t>FDA BLA 761139</w:t>
            </w:r>
          </w:p>
        </w:tc>
      </w:tr>
      <w:tr>
        <w:tc>
          <w:tcPr>
            <w:tcW w:type="dxa" w:w="2268"/>
            <w:shd w:val="clear" w:color="auto" w:fill="FFFFFF"/>
          </w:tcPr>
          <w:p>
            <w:pPr>
              <w:jc w:val="center"/>
            </w:pPr>
            <w:r>
              <w:rPr>
                <w:rFonts w:ascii="Times New Roman" w:hAnsi="Times New Roman"/>
                <w:b w:val="0"/>
                <w:i w:val="0"/>
                <w:sz w:val="20"/>
              </w:rPr>
              <w:t>V2 (L)</w:t>
            </w:r>
          </w:p>
        </w:tc>
        <w:tc>
          <w:tcPr>
            <w:tcW w:type="dxa" w:w="1984"/>
            <w:shd w:val="clear" w:color="auto" w:fill="FFFFFF"/>
          </w:tcPr>
          <w:p>
            <w:pPr>
              <w:jc w:val="center"/>
            </w:pPr>
            <w:r>
              <w:rPr>
                <w:rFonts w:ascii="Times New Roman" w:hAnsi="Times New Roman"/>
                <w:b w:val="0"/>
                <w:i w:val="0"/>
                <w:sz w:val="20"/>
              </w:rPr>
              <w:t>2,5</w:t>
            </w:r>
          </w:p>
        </w:tc>
        <w:tc>
          <w:tcPr>
            <w:tcW w:type="dxa" w:w="1984"/>
            <w:shd w:val="clear" w:color="auto" w:fill="FFFFFF"/>
          </w:tcPr>
          <w:p>
            <w:pPr>
              <w:jc w:val="center"/>
            </w:pPr>
            <w:r>
              <w:rPr>
                <w:rFonts w:ascii="Times New Roman" w:hAnsi="Times New Roman"/>
                <w:b w:val="0"/>
                <w:i w:val="0"/>
                <w:sz w:val="20"/>
              </w:rPr>
              <w:t>25%</w:t>
            </w:r>
          </w:p>
        </w:tc>
        <w:tc>
          <w:tcPr>
            <w:tcW w:type="dxa" w:w="2551"/>
            <w:shd w:val="clear" w:color="auto" w:fill="FFFFFF"/>
          </w:tcPr>
          <w:p>
            <w:pPr>
              <w:jc w:val="center"/>
            </w:pPr>
            <w:r>
              <w:rPr>
                <w:rFonts w:ascii="Times New Roman" w:hAnsi="Times New Roman"/>
                <w:b w:val="0"/>
                <w:i w:val="0"/>
                <w:sz w:val="20"/>
              </w:rPr>
              <w:t>FDA BLA 761139</w:t>
            </w:r>
          </w:p>
        </w:tc>
      </w:tr>
      <w:tr>
        <w:tc>
          <w:tcPr>
            <w:tcW w:type="dxa" w:w="2268"/>
            <w:shd w:val="clear" w:color="auto" w:fill="F2F2F2"/>
          </w:tcPr>
          <w:p>
            <w:pPr>
              <w:jc w:val="center"/>
            </w:pPr>
            <w:r>
              <w:rPr>
                <w:rFonts w:ascii="Times New Roman" w:hAnsi="Times New Roman"/>
                <w:b w:val="0"/>
                <w:i w:val="0"/>
                <w:sz w:val="20"/>
              </w:rPr>
              <w:t>Slope_MPP (µM⁻¹)</w:t>
            </w:r>
          </w:p>
        </w:tc>
        <w:tc>
          <w:tcPr>
            <w:tcW w:type="dxa" w:w="1984"/>
            <w:shd w:val="clear" w:color="auto" w:fill="F2F2F2"/>
          </w:tcPr>
          <w:p>
            <w:pPr>
              <w:jc w:val="center"/>
            </w:pPr>
            <w:r>
              <w:rPr>
                <w:rFonts w:ascii="Times New Roman" w:hAnsi="Times New Roman"/>
                <w:b w:val="0"/>
                <w:i w:val="0"/>
                <w:sz w:val="20"/>
              </w:rPr>
              <w:t>—</w:t>
            </w:r>
          </w:p>
        </w:tc>
        <w:tc>
          <w:tcPr>
            <w:tcW w:type="dxa" w:w="1984"/>
            <w:shd w:val="clear" w:color="auto" w:fill="F2F2F2"/>
          </w:tcPr>
          <w:p>
            <w:pPr>
              <w:jc w:val="center"/>
            </w:pPr>
            <w:r>
              <w:rPr>
                <w:rFonts w:ascii="Times New Roman" w:hAnsi="Times New Roman"/>
                <w:b w:val="0"/>
                <w:i w:val="0"/>
                <w:sz w:val="20"/>
              </w:rPr>
              <w:t>20%</w:t>
            </w:r>
          </w:p>
        </w:tc>
        <w:tc>
          <w:tcPr>
            <w:tcW w:type="dxa" w:w="2551"/>
            <w:shd w:val="clear" w:color="auto" w:fill="F2F2F2"/>
          </w:tcPr>
          <w:p>
            <w:pPr>
              <w:jc w:val="center"/>
            </w:pPr>
            <w:r>
              <w:rPr>
                <w:rFonts w:ascii="Times New Roman" w:hAnsi="Times New Roman"/>
                <w:b w:val="0"/>
                <w:i w:val="0"/>
                <w:sz w:val="20"/>
              </w:rPr>
              <w:t>Calibration rat</w:t>
            </w:r>
          </w:p>
        </w:tc>
      </w:tr>
      <w:tr>
        <w:tc>
          <w:tcPr>
            <w:tcW w:type="dxa" w:w="2268"/>
            <w:shd w:val="clear" w:color="auto" w:fill="FFFFFF"/>
          </w:tcPr>
          <w:p>
            <w:pPr>
              <w:jc w:val="center"/>
            </w:pPr>
            <w:r>
              <w:rPr>
                <w:rFonts w:ascii="Times New Roman" w:hAnsi="Times New Roman"/>
                <w:b w:val="0"/>
                <w:i w:val="0"/>
                <w:sz w:val="20"/>
              </w:rPr>
              <w:t>Slope_CMP (µM⁻¹)</w:t>
            </w:r>
          </w:p>
        </w:tc>
        <w:tc>
          <w:tcPr>
            <w:tcW w:type="dxa" w:w="1984"/>
            <w:shd w:val="clear" w:color="auto" w:fill="FFFFFF"/>
          </w:tcPr>
          <w:p>
            <w:pPr>
              <w:jc w:val="center"/>
            </w:pPr>
            <w:r>
              <w:rPr>
                <w:rFonts w:ascii="Times New Roman" w:hAnsi="Times New Roman"/>
                <w:b w:val="0"/>
                <w:i w:val="0"/>
                <w:sz w:val="20"/>
              </w:rPr>
              <w:t>—</w:t>
            </w:r>
          </w:p>
        </w:tc>
        <w:tc>
          <w:tcPr>
            <w:tcW w:type="dxa" w:w="1984"/>
            <w:shd w:val="clear" w:color="auto" w:fill="FFFFFF"/>
          </w:tcPr>
          <w:p>
            <w:pPr>
              <w:jc w:val="center"/>
            </w:pPr>
            <w:r>
              <w:rPr>
                <w:rFonts w:ascii="Times New Roman" w:hAnsi="Times New Roman"/>
                <w:b w:val="0"/>
                <w:i w:val="0"/>
                <w:sz w:val="20"/>
              </w:rPr>
              <w:t>20%</w:t>
            </w:r>
          </w:p>
        </w:tc>
        <w:tc>
          <w:tcPr>
            <w:tcW w:type="dxa" w:w="2551"/>
            <w:shd w:val="clear" w:color="auto" w:fill="FFFFFF"/>
          </w:tcPr>
          <w:p>
            <w:pPr>
              <w:jc w:val="center"/>
            </w:pPr>
            <w:r>
              <w:rPr>
                <w:rFonts w:ascii="Times New Roman" w:hAnsi="Times New Roman"/>
                <w:b w:val="0"/>
                <w:i w:val="0"/>
                <w:sz w:val="20"/>
              </w:rPr>
              <w:t>Calibration rat</w:t>
            </w:r>
          </w:p>
        </w:tc>
      </w:tr>
      <w:tr>
        <w:tc>
          <w:tcPr>
            <w:tcW w:type="dxa" w:w="2268"/>
            <w:shd w:val="clear" w:color="auto" w:fill="F2F2F2"/>
          </w:tcPr>
          <w:p>
            <w:pPr>
              <w:jc w:val="center"/>
            </w:pPr>
            <w:r>
              <w:rPr>
                <w:rFonts w:ascii="Times New Roman" w:hAnsi="Times New Roman"/>
                <w:b w:val="0"/>
                <w:i w:val="0"/>
                <w:sz w:val="20"/>
              </w:rPr>
              <w:t>Slope_MEP (µM⁻¹)</w:t>
            </w:r>
          </w:p>
        </w:tc>
        <w:tc>
          <w:tcPr>
            <w:tcW w:type="dxa" w:w="1984"/>
            <w:shd w:val="clear" w:color="auto" w:fill="F2F2F2"/>
          </w:tcPr>
          <w:p>
            <w:pPr>
              <w:jc w:val="center"/>
            </w:pPr>
            <w:r>
              <w:rPr>
                <w:rFonts w:ascii="Times New Roman" w:hAnsi="Times New Roman"/>
                <w:b w:val="0"/>
                <w:i w:val="0"/>
                <w:sz w:val="20"/>
              </w:rPr>
              <w:t>—</w:t>
            </w:r>
          </w:p>
        </w:tc>
        <w:tc>
          <w:tcPr>
            <w:tcW w:type="dxa" w:w="1984"/>
            <w:shd w:val="clear" w:color="auto" w:fill="F2F2F2"/>
          </w:tcPr>
          <w:p>
            <w:pPr>
              <w:jc w:val="center"/>
            </w:pPr>
            <w:r>
              <w:rPr>
                <w:rFonts w:ascii="Times New Roman" w:hAnsi="Times New Roman"/>
                <w:b w:val="0"/>
                <w:i w:val="0"/>
                <w:sz w:val="20"/>
              </w:rPr>
              <w:t>20%</w:t>
            </w:r>
          </w:p>
        </w:tc>
        <w:tc>
          <w:tcPr>
            <w:tcW w:type="dxa" w:w="2551"/>
            <w:shd w:val="clear" w:color="auto" w:fill="F2F2F2"/>
          </w:tcPr>
          <w:p>
            <w:pPr>
              <w:jc w:val="center"/>
            </w:pPr>
            <w:r>
              <w:rPr>
                <w:rFonts w:ascii="Times New Roman" w:hAnsi="Times New Roman"/>
                <w:b w:val="0"/>
                <w:i w:val="0"/>
                <w:sz w:val="20"/>
              </w:rPr>
              <w:t>Calibration rat</w:t>
            </w:r>
          </w:p>
        </w:tc>
      </w:tr>
      <w:tr>
        <w:tc>
          <w:tcPr>
            <w:tcW w:type="dxa" w:w="2268"/>
            <w:shd w:val="clear" w:color="auto" w:fill="FFFFFF"/>
          </w:tcPr>
          <w:p>
            <w:pPr>
              <w:jc w:val="center"/>
            </w:pPr>
            <w:r>
              <w:rPr>
                <w:rFonts w:ascii="Times New Roman" w:hAnsi="Times New Roman"/>
                <w:b w:val="0"/>
                <w:i w:val="0"/>
                <w:sz w:val="20"/>
              </w:rPr>
              <w:t>Poids corporel (kg)</w:t>
            </w:r>
          </w:p>
        </w:tc>
        <w:tc>
          <w:tcPr>
            <w:tcW w:type="dxa" w:w="1984"/>
            <w:shd w:val="clear" w:color="auto" w:fill="FFFFFF"/>
          </w:tcPr>
          <w:p>
            <w:pPr>
              <w:jc w:val="center"/>
            </w:pPr>
            <w:r>
              <w:rPr>
                <w:rFonts w:ascii="Times New Roman" w:hAnsi="Times New Roman"/>
                <w:b w:val="0"/>
                <w:i w:val="0"/>
                <w:sz w:val="20"/>
              </w:rPr>
              <w:t>70,0</w:t>
            </w:r>
          </w:p>
        </w:tc>
        <w:tc>
          <w:tcPr>
            <w:tcW w:type="dxa" w:w="1984"/>
            <w:shd w:val="clear" w:color="auto" w:fill="FFFFFF"/>
          </w:tcPr>
          <w:p>
            <w:pPr>
              <w:jc w:val="center"/>
            </w:pPr>
            <w:r>
              <w:rPr>
                <w:rFonts w:ascii="Times New Roman" w:hAnsi="Times New Roman"/>
                <w:b w:val="0"/>
                <w:i w:val="0"/>
                <w:sz w:val="20"/>
              </w:rPr>
              <w:t>15%</w:t>
            </w:r>
          </w:p>
        </w:tc>
        <w:tc>
          <w:tcPr>
            <w:tcW w:type="dxa" w:w="2551"/>
            <w:shd w:val="clear" w:color="auto" w:fill="FFFFFF"/>
          </w:tcPr>
          <w:p>
            <w:pPr>
              <w:jc w:val="center"/>
            </w:pPr>
            <w:r>
              <w:rPr>
                <w:rFonts w:ascii="Times New Roman" w:hAnsi="Times New Roman"/>
                <w:b w:val="0"/>
                <w:i w:val="0"/>
                <w:sz w:val="20"/>
              </w:rPr>
              <w:t>Littérature clinique</w:t>
            </w:r>
          </w:p>
        </w:tc>
      </w:tr>
    </w:tbl>
    <w:p>
      <w:pPr>
        <w:spacing w:before="160" w:after="80"/>
      </w:pPr>
      <w:r>
        <w:rPr>
          <w:rFonts w:ascii="Times New Roman" w:hAnsi="Times New Roman"/>
          <w:b/>
          <w:i w:val="0"/>
          <w:color w:val="4A698A"/>
          <w:sz w:val="24"/>
        </w:rPr>
        <w:t>Procédure de simulation Monte-Carlo</w:t>
      </w:r>
    </w:p>
    <w:p>
      <w:pPr>
        <w:spacing w:before="0" w:after="120"/>
        <w:ind w:firstLine="567"/>
        <w:jc w:val="both"/>
      </w:pPr>
      <w:r>
        <w:rPr>
          <w:rFonts w:ascii="Times New Roman" w:hAnsi="Times New Roman"/>
          <w:b w:val="0"/>
          <w:i w:val="0"/>
          <w:sz w:val="24"/>
        </w:rPr>
        <w:t>Pour chaque patient simulé i (i = 1, …, 300), la procédure suit les étapes suivantes :</w:t>
      </w:r>
    </w:p>
    <w:p>
      <w:pPr>
        <w:spacing w:after="60"/>
        <w:ind w:left="283" w:hanging="227"/>
      </w:pPr>
      <w:r>
        <w:rPr>
          <w:rFonts w:ascii="Times New Roman" w:hAnsi="Times New Roman"/>
          <w:b w:val="0"/>
          <w:i w:val="0"/>
          <w:sz w:val="22"/>
        </w:rPr>
        <w:t>• Tirage aléatoire des paramètres individuels : θᵢ = θ_pop × exp(ηᵢ), avec ηᵢ ~ N(0, ω²) pour chaque paramètre PK et PD</w:t>
      </w:r>
    </w:p>
    <w:p>
      <w:pPr>
        <w:spacing w:after="60"/>
        <w:ind w:left="283" w:hanging="227"/>
      </w:pPr>
      <w:r>
        <w:rPr>
          <w:rFonts w:ascii="Times New Roman" w:hAnsi="Times New Roman"/>
          <w:b w:val="0"/>
          <w:i w:val="0"/>
          <w:sz w:val="22"/>
        </w:rPr>
        <w:t>• Calcul de la dose individuelle : Dose_mg = 5,4 mg/kg × BWᵢ, arrondie à la dizaine de mg (pratique clinique standard)</w:t>
      </w:r>
    </w:p>
    <w:p>
      <w:pPr>
        <w:spacing w:after="60"/>
        <w:ind w:left="283" w:hanging="227"/>
      </w:pPr>
      <w:r>
        <w:rPr>
          <w:rFonts w:ascii="Times New Roman" w:hAnsi="Times New Roman"/>
          <w:b w:val="0"/>
          <w:i w:val="0"/>
          <w:sz w:val="22"/>
        </w:rPr>
        <w:t>• Résolution numérique du système ODE complet (PK + Damage + PD) via rxode2 (solveur LSODA, pas adaptatif) sur 126 jours, avec administration IV aux jours 1, 22, 43, 64, 85, 106</w:t>
      </w:r>
    </w:p>
    <w:p>
      <w:pPr>
        <w:spacing w:after="60"/>
        <w:ind w:left="283" w:hanging="227"/>
      </w:pPr>
      <w:r>
        <w:rPr>
          <w:rFonts w:ascii="Times New Roman" w:hAnsi="Times New Roman"/>
          <w:b w:val="0"/>
          <w:i w:val="0"/>
          <w:sz w:val="22"/>
        </w:rPr>
        <w:t>• Extraction du nadir pour chaque lignée : min(Neut(t)), min(Plt(t)), min(RBC(t)) sur t ∈ [0, 126 jours]</w:t>
      </w:r>
    </w:p>
    <w:p>
      <w:pPr>
        <w:spacing w:after="60"/>
        <w:ind w:left="283" w:hanging="227"/>
      </w:pPr>
      <w:r>
        <w:rPr>
          <w:rFonts w:ascii="Times New Roman" w:hAnsi="Times New Roman"/>
          <w:b w:val="0"/>
          <w:i w:val="0"/>
          <w:sz w:val="22"/>
        </w:rPr>
        <w:t>• Attribution du grade CTCAE v5 par comparaison du nadir aux seuils (cf. §2.5)</w:t>
      </w:r>
    </w:p>
    <w:p>
      <w:pPr>
        <w:spacing w:before="0" w:after="120"/>
        <w:ind w:firstLine="567"/>
        <w:jc w:val="both"/>
      </w:pPr>
      <w:r>
        <w:rPr>
          <w:rFonts w:ascii="Times New Roman" w:hAnsi="Times New Roman"/>
          <w:b w:val="0"/>
          <w:i w:val="0"/>
          <w:sz w:val="24"/>
        </w:rPr>
        <w:t>Le générateur pseudo-aléatoire est initialisé avec une graine fixe (set.seed(42)) garantissant la reproductibilité exacte des résultats. La taille de N=300 patients a été choisie pour assurer une estimation stable des proportions de grades rares (G4 &lt; 5%) avec une erreur standard inférieure à 1,5 point de pourcentage (intervalle de confiance à 95% : ±1,5%).</w:t>
      </w:r>
    </w:p>
    <w:p>
      <w:pPr>
        <w:spacing w:before="160" w:after="80"/>
      </w:pPr>
      <w:r>
        <w:rPr>
          <w:rFonts w:ascii="Times New Roman" w:hAnsi="Times New Roman"/>
          <w:b/>
          <w:i w:val="0"/>
          <w:color w:val="4A698A"/>
          <w:sz w:val="24"/>
        </w:rPr>
        <w:t>Résumé statistique des grades simulés</w:t>
      </w:r>
    </w:p>
    <w:p>
      <w:pPr>
        <w:spacing w:before="0" w:after="120"/>
        <w:ind w:firstLine="567"/>
        <w:jc w:val="both"/>
      </w:pPr>
      <w:r>
        <w:rPr>
          <w:rFonts w:ascii="Times New Roman" w:hAnsi="Times New Roman"/>
          <w:b w:val="0"/>
          <w:i w:val="0"/>
          <w:sz w:val="24"/>
        </w:rPr>
        <w:t>Pour chaque toxicité, les résultats sont résumés par la proportion de patients atteignant chaque grade (G0 à G4), le taux de tout grade (G≥1 = 100% − %G0) et le taux de grade sévère (G3-4 = %G3 + %G4). Ces métriques sont directement comparables aux données de fréquence rapportées dans les notices médicamenteuses et les publications d'essais cliniques.</w:t>
      </w:r>
    </w:p>
    <w:p>
      <w:pPr>
        <w:spacing w:before="240" w:after="80"/>
      </w:pPr>
      <w:r>
        <w:rPr>
          <w:rFonts w:ascii="Times New Roman" w:hAnsi="Times New Roman"/>
          <w:b/>
          <w:i w:val="0"/>
          <w:color w:val="34495E"/>
          <w:sz w:val="28"/>
        </w:rPr>
        <w:t>2.6 Évaluation de la performance prédictive</w:t>
      </w:r>
    </w:p>
    <w:p>
      <w:pPr>
        <w:spacing w:before="0" w:after="120"/>
        <w:ind w:firstLine="567"/>
        <w:jc w:val="both"/>
      </w:pPr>
      <w:r>
        <w:rPr>
          <w:rFonts w:ascii="Times New Roman" w:hAnsi="Times New Roman"/>
          <w:b w:val="0"/>
          <w:i w:val="0"/>
          <w:sz w:val="24"/>
        </w:rPr>
        <w:t>La validation du modèle repose sur la comparaison systématique des proportions de patients simulés atteignant chaque grade CTCAE aux proportions rapportées dans les données cliniques de référence (étude DESTINY-Breast03, rapport FDA). Quatre outils statistiques complémentaires ont été utilisés.</w:t>
      </w:r>
    </w:p>
    <w:p>
      <w:pPr>
        <w:spacing w:before="160" w:after="80"/>
      </w:pPr>
      <w:r>
        <w:rPr>
          <w:rFonts w:ascii="Times New Roman" w:hAnsi="Times New Roman"/>
          <w:b/>
          <w:i w:val="0"/>
          <w:color w:val="4A698A"/>
          <w:sz w:val="24"/>
        </w:rPr>
        <w:t>Intervalles de confiance de Wilson</w:t>
      </w:r>
    </w:p>
    <w:p>
      <w:pPr>
        <w:spacing w:before="0" w:after="120"/>
        <w:ind w:firstLine="567"/>
        <w:jc w:val="both"/>
      </w:pPr>
      <w:r>
        <w:rPr>
          <w:rFonts w:ascii="Times New Roman" w:hAnsi="Times New Roman"/>
          <w:b w:val="0"/>
          <w:i w:val="0"/>
          <w:sz w:val="24"/>
        </w:rPr>
        <w:t>Pour chaque proportion prédite p estimée sur N=300 patients simulés, un intervalle de confiance à 95% a été calculé selon la méthode de Wilson, préférable à l'approximation normale de Wald lorsque p est proche de 0 ou 1 :</w:t>
      </w:r>
    </w:p>
    <w:p>
      <w:pPr>
        <w:spacing w:before="120" w:after="120"/>
        <w:jc w:val="center"/>
      </w:pPr>
      <w:r>
        <w:rPr>
          <w:rFonts w:ascii="Courier New" w:hAnsi="Courier New"/>
          <w:b w:val="0"/>
          <w:i/>
          <w:color w:val="3C3C78"/>
          <w:sz w:val="22"/>
        </w:rPr>
        <w:t>IC₉₅% = p ± 1,96 × √( p(1−p) / N )</w:t>
      </w:r>
    </w:p>
    <w:p>
      <w:pPr>
        <w:spacing w:before="0" w:after="120"/>
        <w:ind w:firstLine="567"/>
        <w:jc w:val="both"/>
      </w:pPr>
      <w:r>
        <w:rPr>
          <w:rFonts w:ascii="Times New Roman" w:hAnsi="Times New Roman"/>
          <w:b w:val="0"/>
          <w:i w:val="0"/>
          <w:sz w:val="24"/>
        </w:rPr>
        <w:t>Cette méthode garantit que les bornes restent dans [0, 1] et est recommandée pour les proportions issues de simulations Monte-Carlo. Elle permet de visualiser graphiquement si les proportions observées cliniquement tombent dans l'intervalle prédit par le modèle, fournissant ainsi un critère de validation quantitatif.</w:t>
      </w:r>
    </w:p>
    <w:p>
      <w:pPr>
        <w:spacing w:before="160" w:after="80"/>
      </w:pPr>
      <w:r>
        <w:rPr>
          <w:rFonts w:ascii="Times New Roman" w:hAnsi="Times New Roman"/>
          <w:b/>
          <w:i w:val="0"/>
          <w:color w:val="4A698A"/>
          <w:sz w:val="24"/>
        </w:rPr>
        <w:t>Métriques d'erreur : RMSE et MAE</w:t>
      </w:r>
    </w:p>
    <w:p>
      <w:pPr>
        <w:spacing w:before="0" w:after="120"/>
        <w:ind w:firstLine="567"/>
        <w:jc w:val="both"/>
      </w:pPr>
      <w:r>
        <w:rPr>
          <w:rFonts w:ascii="Times New Roman" w:hAnsi="Times New Roman"/>
          <w:b w:val="0"/>
          <w:i w:val="0"/>
          <w:sz w:val="24"/>
        </w:rPr>
        <w:t>La qualité globale des prédictions a été mesurée par deux métriques d'erreur calculées sur l'ensemble des 6 comparaisons disponibles (3 toxicités × 2 niveaux de sévérité : tout grade et grade ≥3) :</w:t>
      </w:r>
    </w:p>
    <w:p>
      <w:pPr>
        <w:spacing w:before="120" w:after="120"/>
        <w:jc w:val="center"/>
      </w:pPr>
      <w:r>
        <w:rPr>
          <w:rFonts w:ascii="Courier New" w:hAnsi="Courier New"/>
          <w:b w:val="0"/>
          <w:i/>
          <w:color w:val="3C3C78"/>
          <w:sz w:val="22"/>
        </w:rPr>
        <w:t>RMSE = √[ (1/n) × Σᵢ (p̂ᵢ − pᵢ)² ]     MAE = (1/n) × Σᵢ |p̂ᵢ − pᵢ|</w:t>
      </w:r>
    </w:p>
    <w:p>
      <w:pPr>
        <w:spacing w:before="0" w:after="120"/>
        <w:ind w:firstLine="567"/>
        <w:jc w:val="both"/>
      </w:pPr>
      <w:r>
        <w:rPr>
          <w:rFonts w:ascii="Times New Roman" w:hAnsi="Times New Roman"/>
          <w:b w:val="0"/>
          <w:i w:val="0"/>
          <w:sz w:val="24"/>
        </w:rPr>
        <w:t>où p̂ᵢ est la proportion prédite par le modèle et pᵢ la proportion observée dans les données cliniques pour la comparaison i. La RMSE pénalise davantage les erreurs importantes (sensibilité aux outliers), tandis que la MAE donne une estimation plus robuste de l'erreur moyenne absolue. Ces deux métriques sont exprimées en points de proportion (0–1) et permettent une interprétation directe de l'écart cliniquement significatif entre modèle et données.</w:t>
      </w:r>
    </w:p>
    <w:p>
      <w:pPr>
        <w:spacing w:before="160" w:after="80"/>
      </w:pPr>
      <w:r>
        <w:rPr>
          <w:rFonts w:ascii="Times New Roman" w:hAnsi="Times New Roman"/>
          <w:b/>
          <w:i w:val="0"/>
          <w:color w:val="4A698A"/>
          <w:sz w:val="24"/>
        </w:rPr>
        <w:t>Graphique de calibration</w:t>
      </w:r>
    </w:p>
    <w:p>
      <w:pPr>
        <w:spacing w:before="0" w:after="120"/>
        <w:ind w:firstLine="567"/>
        <w:jc w:val="both"/>
      </w:pPr>
      <w:r>
        <w:rPr>
          <w:rFonts w:ascii="Times New Roman" w:hAnsi="Times New Roman"/>
          <w:b w:val="0"/>
          <w:i w:val="0"/>
          <w:sz w:val="24"/>
        </w:rPr>
        <w:t>Un graphique de calibration a été produit en portant les proportions prédites en abscisse et les proportions observées en ordonnée, pour chacune des 6 comparaisons. La droite d'identité (y = x) constitue la référence d'un modèle parfaitement calibré. Les points situés au-dessus de cette droite indiquent une sous-prédiction (le modèle sous-estime la toxicité observée) ; ceux situés en dessous indiquent une sur-prédiction. Les barres d'erreur représentent les IC95% de Wilson sur les proportions prédites. Ce graphique constitue un outil de diagnostic visuel permettant d'identifier des biais systématiques par type de toxicité.</w:t>
      </w:r>
    </w:p>
    <w:p>
      <w:pPr>
        <w:spacing w:before="160" w:after="80"/>
      </w:pPr>
      <w:r>
        <w:rPr>
          <w:rFonts w:ascii="Times New Roman" w:hAnsi="Times New Roman"/>
          <w:b/>
          <w:i w:val="0"/>
          <w:color w:val="4A698A"/>
          <w:sz w:val="24"/>
        </w:rPr>
        <w:t>Analyse de sensibilité paramétrique</w:t>
      </w:r>
    </w:p>
    <w:p>
      <w:pPr>
        <w:spacing w:before="0" w:after="120"/>
        <w:ind w:firstLine="567"/>
        <w:jc w:val="both"/>
      </w:pPr>
      <w:r>
        <w:rPr>
          <w:rFonts w:ascii="Times New Roman" w:hAnsi="Times New Roman"/>
          <w:b w:val="0"/>
          <w:i w:val="0"/>
          <w:sz w:val="24"/>
        </w:rPr>
        <w:t>Une analyse de sensibilité a été conduite pour identifier les paramètres du modèle les plus influents sur la prédiction du grade de neutropénie sévère (G≥3), qui constitue la toxicité dose-limitante principale du T-DXd. Deux approches complémentaires ont été utilisées :</w:t>
      </w:r>
    </w:p>
    <w:p>
      <w:pPr>
        <w:spacing w:after="60"/>
        <w:ind w:left="283" w:hanging="227"/>
      </w:pPr>
      <w:r>
        <w:rPr>
          <w:rFonts w:ascii="Times New Roman" w:hAnsi="Times New Roman"/>
          <w:b w:val="0"/>
          <w:i w:val="0"/>
          <w:sz w:val="22"/>
        </w:rPr>
        <w:t>• Corrélation de Spearman (ρ) : pour chacun des N=300 patients simulés, la valeur individuelle de chaque paramètre PK/PD (CL, V1, Slope_MPP, k_rep, etc.) a été corrélée au nadir de neutrophiles correspondant. Le coefficient ρ de Spearman, non-paramétrique et robuste aux distributions asymétriques, quantifie la force et le sens de cette relation. Un |ρ| &gt; 0,3 a été retenu comme seuil de pertinence.</w:t>
      </w:r>
    </w:p>
    <w:p>
      <w:pPr>
        <w:spacing w:after="60"/>
        <w:ind w:left="283" w:hanging="227"/>
      </w:pPr>
      <w:r>
        <w:rPr>
          <w:rFonts w:ascii="Times New Roman" w:hAnsi="Times New Roman"/>
          <w:b w:val="0"/>
          <w:i w:val="0"/>
          <w:sz w:val="22"/>
        </w:rPr>
        <w:t>• Régression logistique : une régression logistique binaire a été ajustée en prenant comme variable dépendante l'indicateur G≥3 (0/1) et comme prédicteurs les paramètres standardisés (z-scores). Les odds-ratios et leurs IC95% permettent d'estimer l'effet marginal de chaque paramètre sur la probabilité d'atteindre un grade sévère, en contrôlant les effets des autres variables.</w:t>
      </w:r>
    </w:p>
    <w:p>
      <w:pPr>
        <w:spacing w:before="0" w:after="120"/>
        <w:ind w:firstLine="567"/>
        <w:jc w:val="both"/>
      </w:pPr>
      <w:r>
        <w:rPr>
          <w:rFonts w:ascii="Times New Roman" w:hAnsi="Times New Roman"/>
          <w:b w:val="0"/>
          <w:i w:val="0"/>
          <w:sz w:val="24"/>
        </w:rPr>
        <w:t>Les résultats sont synthétisés sous forme d'un diagramme en tornade (tornado plot) classant les paramètres par ordre décroissant de |ρ|. Cette représentation graphique facilite l'identification des leviers d'action prioritaires pour la réduction du risque de neutropénie sévère.</w:t>
      </w:r>
    </w:p>
    <w:p>
      <w:pPr>
        <w:spacing w:before="240" w:after="80"/>
      </w:pPr>
      <w:r>
        <w:rPr>
          <w:rFonts w:ascii="Times New Roman" w:hAnsi="Times New Roman"/>
          <w:b/>
          <w:i w:val="0"/>
          <w:color w:val="34495E"/>
          <w:sz w:val="28"/>
        </w:rPr>
        <w:t>2.7 Grading CTCAE v5</w:t>
      </w:r>
    </w:p>
    <w:p>
      <w:pPr>
        <w:spacing w:before="0" w:after="120"/>
        <w:ind w:firstLine="567"/>
        <w:jc w:val="both"/>
      </w:pPr>
      <w:r>
        <w:rPr>
          <w:rFonts w:ascii="Times New Roman" w:hAnsi="Times New Roman"/>
          <w:b w:val="0"/>
          <w:i w:val="0"/>
          <w:sz w:val="24"/>
        </w:rPr>
        <w:t>L'évaluation de la toxicité hématologique prédicte repose sur la classification CTCAE v5 (Common Terminology Criteria for Adverse Events, version 5.0, NCI 2017), standard international utilisé dans les essais cliniques oncologiques pour caractériser la sévérité des effets indésirables.</w:t>
      </w:r>
    </w:p>
    <w:p>
      <w:pPr>
        <w:spacing w:before="160" w:after="80"/>
      </w:pPr>
      <w:r>
        <w:rPr>
          <w:rFonts w:ascii="Times New Roman" w:hAnsi="Times New Roman"/>
          <w:b/>
          <w:i w:val="0"/>
          <w:color w:val="4A698A"/>
          <w:sz w:val="24"/>
        </w:rPr>
        <w:t>Principe de classification</w:t>
      </w:r>
    </w:p>
    <w:p>
      <w:pPr>
        <w:spacing w:before="0" w:after="120"/>
        <w:ind w:firstLine="567"/>
        <w:jc w:val="both"/>
      </w:pPr>
      <w:r>
        <w:rPr>
          <w:rFonts w:ascii="Times New Roman" w:hAnsi="Times New Roman"/>
          <w:b w:val="0"/>
          <w:i w:val="0"/>
          <w:sz w:val="24"/>
        </w:rPr>
        <w:t>Pour chaque lignée hématologique, le grade CTCAE est attribué en comparant la valeur minimale simulée (nadir) aux seuils absolus définis par le NCI. Le grade reflète la sévérité clinique et conditionne les décisions thérapeutiques (réduction de dose, interruption, hospitalisation) :</w:t>
      </w:r>
    </w:p>
    <w:p>
      <w:pPr>
        <w:spacing w:after="60"/>
        <w:ind w:left="283" w:hanging="227"/>
      </w:pPr>
      <w:r>
        <w:rPr>
          <w:rFonts w:ascii="Times New Roman" w:hAnsi="Times New Roman"/>
          <w:b w:val="0"/>
          <w:i w:val="0"/>
          <w:sz w:val="22"/>
        </w:rPr>
        <w:t>• G0 : valeurs dans les limites de la normale — aucune intervention requise</w:t>
      </w:r>
    </w:p>
    <w:p>
      <w:pPr>
        <w:spacing w:after="60"/>
        <w:ind w:left="283" w:hanging="227"/>
      </w:pPr>
      <w:r>
        <w:rPr>
          <w:rFonts w:ascii="Times New Roman" w:hAnsi="Times New Roman"/>
          <w:b w:val="0"/>
          <w:i w:val="0"/>
          <w:sz w:val="22"/>
        </w:rPr>
        <w:t>• G1 : anomalie légère — surveillance accrue, pas de modification du traitement</w:t>
      </w:r>
    </w:p>
    <w:p>
      <w:pPr>
        <w:spacing w:after="60"/>
        <w:ind w:left="283" w:hanging="227"/>
      </w:pPr>
      <w:r>
        <w:rPr>
          <w:rFonts w:ascii="Times New Roman" w:hAnsi="Times New Roman"/>
          <w:b w:val="0"/>
          <w:i w:val="0"/>
          <w:sz w:val="22"/>
        </w:rPr>
        <w:t>• G2 : anomalie modérée — possible réduction de dose selon le protocole</w:t>
      </w:r>
    </w:p>
    <w:p>
      <w:pPr>
        <w:spacing w:after="60"/>
        <w:ind w:left="283" w:hanging="227"/>
      </w:pPr>
      <w:r>
        <w:rPr>
          <w:rFonts w:ascii="Times New Roman" w:hAnsi="Times New Roman"/>
          <w:b w:val="0"/>
          <w:i w:val="0"/>
          <w:sz w:val="22"/>
        </w:rPr>
        <w:t>• G3 : anomalie sévère — interruption du traitement généralement recommandée, risque infectieux ou hémorragique significatif</w:t>
      </w:r>
    </w:p>
    <w:p>
      <w:pPr>
        <w:spacing w:after="60"/>
        <w:ind w:left="283" w:hanging="227"/>
      </w:pPr>
      <w:r>
        <w:rPr>
          <w:rFonts w:ascii="Times New Roman" w:hAnsi="Times New Roman"/>
          <w:b w:val="0"/>
          <w:i w:val="0"/>
          <w:sz w:val="22"/>
        </w:rPr>
        <w:t>• G4 : anomalie critique, engageant le pronostic vital — arrêt du traitement, prise en charge hospitalière (G-CSF, transfusion, thromboprophylaxie)</w:t>
      </w:r>
    </w:p>
    <w:p>
      <w:pPr>
        <w:spacing w:before="160" w:after="80"/>
      </w:pPr>
      <w:r>
        <w:rPr>
          <w:rFonts w:ascii="Times New Roman" w:hAnsi="Times New Roman"/>
          <w:b/>
          <w:i w:val="0"/>
          <w:color w:val="4A698A"/>
          <w:sz w:val="24"/>
        </w:rPr>
        <w:t>Seuils utilisés dans le modèle</w:t>
      </w:r>
    </w:p>
    <w:p>
      <w:pPr>
        <w:spacing w:before="0" w:after="120"/>
        <w:ind w:firstLine="567"/>
        <w:jc w:val="both"/>
      </w:pPr>
      <w:r>
        <w:rPr>
          <w:rFonts w:ascii="Times New Roman" w:hAnsi="Times New Roman"/>
          <w:b w:val="0"/>
          <w:i w:val="0"/>
          <w:sz w:val="24"/>
        </w:rPr>
        <w:t>Les seuils CTCAE v5 retenus pour les trois toxicités hématologiques modélisées sont les suivants :</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2268"/>
            <w:shd w:val="clear" w:color="auto" w:fill="2C3E50"/>
          </w:tcPr>
          <w:p>
            <w:pPr>
              <w:jc w:val="center"/>
            </w:pPr>
            <w:r>
              <w:rPr>
                <w:rFonts w:ascii="Times New Roman" w:hAnsi="Times New Roman"/>
                <w:b/>
                <w:i w:val="0"/>
                <w:color w:val="FFFFFF"/>
                <w:sz w:val="20"/>
              </w:rPr>
              <w:t>Toxicité</w:t>
            </w:r>
          </w:p>
        </w:tc>
        <w:tc>
          <w:tcPr>
            <w:tcW w:type="dxa" w:w="1417"/>
            <w:shd w:val="clear" w:color="auto" w:fill="2C3E50"/>
          </w:tcPr>
          <w:p>
            <w:pPr>
              <w:jc w:val="center"/>
            </w:pPr>
            <w:r>
              <w:rPr>
                <w:rFonts w:ascii="Times New Roman" w:hAnsi="Times New Roman"/>
                <w:b/>
                <w:i w:val="0"/>
                <w:color w:val="FFFFFF"/>
                <w:sz w:val="20"/>
              </w:rPr>
              <w:t>G0 (normal)</w:t>
            </w:r>
          </w:p>
        </w:tc>
        <w:tc>
          <w:tcPr>
            <w:tcW w:type="dxa" w:w="1134"/>
            <w:shd w:val="clear" w:color="auto" w:fill="2C3E50"/>
          </w:tcPr>
          <w:p>
            <w:pPr>
              <w:jc w:val="center"/>
            </w:pPr>
            <w:r>
              <w:rPr>
                <w:rFonts w:ascii="Times New Roman" w:hAnsi="Times New Roman"/>
                <w:b/>
                <w:i w:val="0"/>
                <w:color w:val="FFFFFF"/>
                <w:sz w:val="20"/>
              </w:rPr>
              <w:t>G1</w:t>
            </w:r>
          </w:p>
        </w:tc>
        <w:tc>
          <w:tcPr>
            <w:tcW w:type="dxa" w:w="1134"/>
            <w:shd w:val="clear" w:color="auto" w:fill="2C3E50"/>
          </w:tcPr>
          <w:p>
            <w:pPr>
              <w:jc w:val="center"/>
            </w:pPr>
            <w:r>
              <w:rPr>
                <w:rFonts w:ascii="Times New Roman" w:hAnsi="Times New Roman"/>
                <w:b/>
                <w:i w:val="0"/>
                <w:color w:val="FFFFFF"/>
                <w:sz w:val="20"/>
              </w:rPr>
              <w:t>G2</w:t>
            </w:r>
          </w:p>
        </w:tc>
        <w:tc>
          <w:tcPr>
            <w:tcW w:type="dxa" w:w="1134"/>
            <w:shd w:val="clear" w:color="auto" w:fill="2C3E50"/>
          </w:tcPr>
          <w:p>
            <w:pPr>
              <w:jc w:val="center"/>
            </w:pPr>
            <w:r>
              <w:rPr>
                <w:rFonts w:ascii="Times New Roman" w:hAnsi="Times New Roman"/>
                <w:b/>
                <w:i w:val="0"/>
                <w:color w:val="FFFFFF"/>
                <w:sz w:val="20"/>
              </w:rPr>
              <w:t>G3</w:t>
            </w:r>
          </w:p>
        </w:tc>
        <w:tc>
          <w:tcPr>
            <w:tcW w:type="dxa" w:w="1134"/>
            <w:shd w:val="clear" w:color="auto" w:fill="2C3E50"/>
          </w:tcPr>
          <w:p>
            <w:pPr>
              <w:jc w:val="center"/>
            </w:pPr>
            <w:r>
              <w:rPr>
                <w:rFonts w:ascii="Times New Roman" w:hAnsi="Times New Roman"/>
                <w:b/>
                <w:i w:val="0"/>
                <w:color w:val="FFFFFF"/>
                <w:sz w:val="20"/>
              </w:rPr>
              <w:t>G4</w:t>
            </w:r>
          </w:p>
        </w:tc>
      </w:tr>
      <w:tr>
        <w:tc>
          <w:tcPr>
            <w:tcW w:type="dxa" w:w="2268"/>
            <w:shd w:val="clear" w:color="auto" w:fill="F2F2F2"/>
          </w:tcPr>
          <w:p>
            <w:pPr>
              <w:jc w:val="center"/>
            </w:pPr>
            <w:r>
              <w:rPr>
                <w:rFonts w:ascii="Times New Roman" w:hAnsi="Times New Roman"/>
                <w:b w:val="0"/>
                <w:i w:val="0"/>
                <w:sz w:val="20"/>
              </w:rPr>
              <w:t>Neutropénie</w:t>
              <w:br/>
              <w:t>(×10⁹/L)</w:t>
            </w:r>
          </w:p>
        </w:tc>
        <w:tc>
          <w:tcPr>
            <w:tcW w:type="dxa" w:w="1417"/>
            <w:shd w:val="clear" w:color="auto" w:fill="F2F2F2"/>
          </w:tcPr>
          <w:p>
            <w:pPr>
              <w:jc w:val="center"/>
            </w:pPr>
            <w:r>
              <w:rPr>
                <w:rFonts w:ascii="Times New Roman" w:hAnsi="Times New Roman"/>
                <w:b w:val="0"/>
                <w:i w:val="0"/>
                <w:sz w:val="20"/>
              </w:rPr>
              <w:t>≥2,0</w:t>
            </w:r>
          </w:p>
        </w:tc>
        <w:tc>
          <w:tcPr>
            <w:tcW w:type="dxa" w:w="1134"/>
            <w:shd w:val="clear" w:color="auto" w:fill="F2F2F2"/>
          </w:tcPr>
          <w:p>
            <w:pPr>
              <w:jc w:val="center"/>
            </w:pPr>
            <w:r>
              <w:rPr>
                <w:rFonts w:ascii="Times New Roman" w:hAnsi="Times New Roman"/>
                <w:b w:val="0"/>
                <w:i w:val="0"/>
                <w:sz w:val="20"/>
              </w:rPr>
              <w:t>1,5–2,0</w:t>
            </w:r>
          </w:p>
        </w:tc>
        <w:tc>
          <w:tcPr>
            <w:tcW w:type="dxa" w:w="1134"/>
            <w:shd w:val="clear" w:color="auto" w:fill="F2F2F2"/>
          </w:tcPr>
          <w:p>
            <w:pPr>
              <w:jc w:val="center"/>
            </w:pPr>
            <w:r>
              <w:rPr>
                <w:rFonts w:ascii="Times New Roman" w:hAnsi="Times New Roman"/>
                <w:b w:val="0"/>
                <w:i w:val="0"/>
                <w:sz w:val="20"/>
              </w:rPr>
              <w:t>1,0–1,5</w:t>
            </w:r>
          </w:p>
        </w:tc>
        <w:tc>
          <w:tcPr>
            <w:tcW w:type="dxa" w:w="1134"/>
            <w:shd w:val="clear" w:color="auto" w:fill="F2F2F2"/>
          </w:tcPr>
          <w:p>
            <w:pPr>
              <w:jc w:val="center"/>
            </w:pPr>
            <w:r>
              <w:rPr>
                <w:rFonts w:ascii="Times New Roman" w:hAnsi="Times New Roman"/>
                <w:b w:val="0"/>
                <w:i w:val="0"/>
                <w:sz w:val="20"/>
              </w:rPr>
              <w:t>0,5–1,0</w:t>
            </w:r>
          </w:p>
        </w:tc>
        <w:tc>
          <w:tcPr>
            <w:tcW w:type="dxa" w:w="1134"/>
            <w:shd w:val="clear" w:color="auto" w:fill="F2F2F2"/>
          </w:tcPr>
          <w:p>
            <w:pPr>
              <w:jc w:val="center"/>
            </w:pPr>
            <w:r>
              <w:rPr>
                <w:rFonts w:ascii="Times New Roman" w:hAnsi="Times New Roman"/>
                <w:b w:val="0"/>
                <w:i w:val="0"/>
                <w:sz w:val="20"/>
              </w:rPr>
              <w:t>&lt;0,5</w:t>
            </w:r>
          </w:p>
        </w:tc>
      </w:tr>
      <w:tr>
        <w:tc>
          <w:tcPr>
            <w:tcW w:type="dxa" w:w="2268"/>
            <w:shd w:val="clear" w:color="auto" w:fill="FFFFFF"/>
          </w:tcPr>
          <w:p>
            <w:pPr>
              <w:jc w:val="center"/>
            </w:pPr>
            <w:r>
              <w:rPr>
                <w:rFonts w:ascii="Times New Roman" w:hAnsi="Times New Roman"/>
                <w:b w:val="0"/>
                <w:i w:val="0"/>
                <w:sz w:val="20"/>
              </w:rPr>
              <w:t>Anémie — Hb (g/dL)</w:t>
            </w:r>
          </w:p>
        </w:tc>
        <w:tc>
          <w:tcPr>
            <w:tcW w:type="dxa" w:w="1417"/>
            <w:shd w:val="clear" w:color="auto" w:fill="FFFFFF"/>
          </w:tcPr>
          <w:p>
            <w:pPr>
              <w:jc w:val="center"/>
            </w:pPr>
            <w:r>
              <w:rPr>
                <w:rFonts w:ascii="Times New Roman" w:hAnsi="Times New Roman"/>
                <w:b w:val="0"/>
                <w:i w:val="0"/>
                <w:sz w:val="20"/>
              </w:rPr>
              <w:t>≥11,0</w:t>
            </w:r>
          </w:p>
        </w:tc>
        <w:tc>
          <w:tcPr>
            <w:tcW w:type="dxa" w:w="1134"/>
            <w:shd w:val="clear" w:color="auto" w:fill="FFFFFF"/>
          </w:tcPr>
          <w:p>
            <w:pPr>
              <w:jc w:val="center"/>
            </w:pPr>
            <w:r>
              <w:rPr>
                <w:rFonts w:ascii="Times New Roman" w:hAnsi="Times New Roman"/>
                <w:b w:val="0"/>
                <w:i w:val="0"/>
                <w:sz w:val="20"/>
              </w:rPr>
              <w:t>10,0–11,0</w:t>
            </w:r>
          </w:p>
        </w:tc>
        <w:tc>
          <w:tcPr>
            <w:tcW w:type="dxa" w:w="1134"/>
            <w:shd w:val="clear" w:color="auto" w:fill="FFFFFF"/>
          </w:tcPr>
          <w:p>
            <w:pPr>
              <w:jc w:val="center"/>
            </w:pPr>
            <w:r>
              <w:rPr>
                <w:rFonts w:ascii="Times New Roman" w:hAnsi="Times New Roman"/>
                <w:b w:val="0"/>
                <w:i w:val="0"/>
                <w:sz w:val="20"/>
              </w:rPr>
              <w:t>8,0–10,0</w:t>
            </w:r>
          </w:p>
        </w:tc>
        <w:tc>
          <w:tcPr>
            <w:tcW w:type="dxa" w:w="1134"/>
            <w:shd w:val="clear" w:color="auto" w:fill="FFFFFF"/>
          </w:tcPr>
          <w:p>
            <w:pPr>
              <w:jc w:val="center"/>
            </w:pPr>
            <w:r>
              <w:rPr>
                <w:rFonts w:ascii="Times New Roman" w:hAnsi="Times New Roman"/>
                <w:b w:val="0"/>
                <w:i w:val="0"/>
                <w:sz w:val="20"/>
              </w:rPr>
              <w:t>&lt;8,0</w:t>
            </w:r>
          </w:p>
        </w:tc>
        <w:tc>
          <w:tcPr>
            <w:tcW w:type="dxa" w:w="1134"/>
            <w:shd w:val="clear" w:color="auto" w:fill="FFFFFF"/>
          </w:tcPr>
          <w:p>
            <w:pPr>
              <w:jc w:val="center"/>
            </w:pPr>
            <w:r>
              <w:rPr>
                <w:rFonts w:ascii="Times New Roman" w:hAnsi="Times New Roman"/>
                <w:b w:val="0"/>
                <w:i w:val="0"/>
                <w:sz w:val="20"/>
              </w:rPr>
              <w:t>—</w:t>
            </w:r>
          </w:p>
        </w:tc>
      </w:tr>
      <w:tr>
        <w:tc>
          <w:tcPr>
            <w:tcW w:type="dxa" w:w="2268"/>
            <w:shd w:val="clear" w:color="auto" w:fill="F2F2F2"/>
          </w:tcPr>
          <w:p>
            <w:pPr>
              <w:jc w:val="center"/>
            </w:pPr>
            <w:r>
              <w:rPr>
                <w:rFonts w:ascii="Times New Roman" w:hAnsi="Times New Roman"/>
                <w:b w:val="0"/>
                <w:i w:val="0"/>
                <w:sz w:val="20"/>
              </w:rPr>
              <w:t>Thrombocytopénie</w:t>
              <w:br/>
              <w:t>(×10⁹/L)</w:t>
            </w:r>
          </w:p>
        </w:tc>
        <w:tc>
          <w:tcPr>
            <w:tcW w:type="dxa" w:w="1417"/>
            <w:shd w:val="clear" w:color="auto" w:fill="F2F2F2"/>
          </w:tcPr>
          <w:p>
            <w:pPr>
              <w:jc w:val="center"/>
            </w:pPr>
            <w:r>
              <w:rPr>
                <w:rFonts w:ascii="Times New Roman" w:hAnsi="Times New Roman"/>
                <w:b w:val="0"/>
                <w:i w:val="0"/>
                <w:sz w:val="20"/>
              </w:rPr>
              <w:t>≥150</w:t>
            </w:r>
          </w:p>
        </w:tc>
        <w:tc>
          <w:tcPr>
            <w:tcW w:type="dxa" w:w="1134"/>
            <w:shd w:val="clear" w:color="auto" w:fill="F2F2F2"/>
          </w:tcPr>
          <w:p>
            <w:pPr>
              <w:jc w:val="center"/>
            </w:pPr>
            <w:r>
              <w:rPr>
                <w:rFonts w:ascii="Times New Roman" w:hAnsi="Times New Roman"/>
                <w:b w:val="0"/>
                <w:i w:val="0"/>
                <w:sz w:val="20"/>
              </w:rPr>
              <w:t>75–150</w:t>
            </w:r>
          </w:p>
        </w:tc>
        <w:tc>
          <w:tcPr>
            <w:tcW w:type="dxa" w:w="1134"/>
            <w:shd w:val="clear" w:color="auto" w:fill="F2F2F2"/>
          </w:tcPr>
          <w:p>
            <w:pPr>
              <w:jc w:val="center"/>
            </w:pPr>
            <w:r>
              <w:rPr>
                <w:rFonts w:ascii="Times New Roman" w:hAnsi="Times New Roman"/>
                <w:b w:val="0"/>
                <w:i w:val="0"/>
                <w:sz w:val="20"/>
              </w:rPr>
              <w:t>50–75</w:t>
            </w:r>
          </w:p>
        </w:tc>
        <w:tc>
          <w:tcPr>
            <w:tcW w:type="dxa" w:w="1134"/>
            <w:shd w:val="clear" w:color="auto" w:fill="F2F2F2"/>
          </w:tcPr>
          <w:p>
            <w:pPr>
              <w:jc w:val="center"/>
            </w:pPr>
            <w:r>
              <w:rPr>
                <w:rFonts w:ascii="Times New Roman" w:hAnsi="Times New Roman"/>
                <w:b w:val="0"/>
                <w:i w:val="0"/>
                <w:sz w:val="20"/>
              </w:rPr>
              <w:t>25–50</w:t>
            </w:r>
          </w:p>
        </w:tc>
        <w:tc>
          <w:tcPr>
            <w:tcW w:type="dxa" w:w="1134"/>
            <w:shd w:val="clear" w:color="auto" w:fill="F2F2F2"/>
          </w:tcPr>
          <w:p>
            <w:pPr>
              <w:jc w:val="center"/>
            </w:pPr>
            <w:r>
              <w:rPr>
                <w:rFonts w:ascii="Times New Roman" w:hAnsi="Times New Roman"/>
                <w:b w:val="0"/>
                <w:i w:val="0"/>
                <w:sz w:val="20"/>
              </w:rPr>
              <w:t>&lt;25</w:t>
            </w:r>
          </w:p>
        </w:tc>
      </w:tr>
    </w:tbl>
    <w:p>
      <w:pPr>
        <w:spacing w:before="160" w:after="80"/>
      </w:pPr>
      <w:r>
        <w:rPr>
          <w:rFonts w:ascii="Times New Roman" w:hAnsi="Times New Roman"/>
          <w:b/>
          <w:i w:val="0"/>
          <w:color w:val="4A698A"/>
          <w:sz w:val="24"/>
        </w:rPr>
        <w:t>Application au modèle : extraction du nadir</w:t>
      </w:r>
    </w:p>
    <w:p>
      <w:pPr>
        <w:spacing w:before="0" w:after="120"/>
        <w:ind w:firstLine="567"/>
        <w:jc w:val="both"/>
      </w:pPr>
      <w:r>
        <w:rPr>
          <w:rFonts w:ascii="Times New Roman" w:hAnsi="Times New Roman"/>
          <w:b w:val="0"/>
          <w:i w:val="0"/>
          <w:sz w:val="24"/>
        </w:rPr>
        <w:t>Dans le pipeline PK/PD, le grade CTCAE de chaque patient simulé est déterminé en trois étapes :</w:t>
      </w:r>
    </w:p>
    <w:p>
      <w:pPr>
        <w:spacing w:after="60"/>
        <w:ind w:left="283" w:hanging="227"/>
      </w:pPr>
      <w:r>
        <w:rPr>
          <w:rFonts w:ascii="Times New Roman" w:hAnsi="Times New Roman"/>
          <w:b w:val="0"/>
          <w:i w:val="0"/>
          <w:sz w:val="22"/>
        </w:rPr>
        <w:t>• Simulation longitudinale : les concentrations cellulaires sont simulées sur l'ensemble de l'horizon temporel (126 jours pour 6 cycles T-DXd Q3W)</w:t>
      </w:r>
    </w:p>
    <w:p>
      <w:pPr>
        <w:spacing w:after="60"/>
        <w:ind w:left="283" w:hanging="227"/>
      </w:pPr>
      <w:r>
        <w:rPr>
          <w:rFonts w:ascii="Times New Roman" w:hAnsi="Times New Roman"/>
          <w:b w:val="0"/>
          <w:i w:val="0"/>
          <w:sz w:val="22"/>
        </w:rPr>
        <w:t>• Extraction du nadir : la valeur minimale de chaque lignée est identifiée sur la totalité de la période de traitement — min(Neut(t)), min(Plt(t)), min(RBC(t))</w:t>
      </w:r>
    </w:p>
    <w:p>
      <w:pPr>
        <w:spacing w:after="60"/>
        <w:ind w:left="283" w:hanging="227"/>
      </w:pPr>
      <w:r>
        <w:rPr>
          <w:rFonts w:ascii="Times New Roman" w:hAnsi="Times New Roman"/>
          <w:b w:val="0"/>
          <w:i w:val="0"/>
          <w:sz w:val="22"/>
        </w:rPr>
        <w:t>• Attribution du grade : le nadir est comparé aux seuils CTCAE v5 ; le grade le plus élevé atteint à n'importe quel moment constitue le grade de toxicité retenu pour ce patient</w:t>
      </w:r>
    </w:p>
    <w:p>
      <w:pPr>
        <w:spacing w:before="0" w:after="120"/>
        <w:ind w:firstLine="567"/>
        <w:jc w:val="both"/>
      </w:pPr>
      <w:r>
        <w:rPr>
          <w:rFonts w:ascii="Times New Roman" w:hAnsi="Times New Roman"/>
          <w:b w:val="0"/>
          <w:i w:val="0"/>
          <w:sz w:val="24"/>
        </w:rPr>
        <w:t>Cette approche — utilisation du nadir comme critère de grading — est cohérente avec la pratique clinique, où le grade rapporté dans les essais correspond au grade maximal observé sur la durée du traitement (worst-case grading).</w:t>
      </w:r>
    </w:p>
    <w:p>
      <w:pPr>
        <w:spacing w:before="160" w:after="80"/>
      </w:pPr>
      <w:r>
        <w:rPr>
          <w:rFonts w:ascii="Times New Roman" w:hAnsi="Times New Roman"/>
          <w:b/>
          <w:i w:val="0"/>
          <w:color w:val="4A698A"/>
          <w:sz w:val="24"/>
        </w:rPr>
        <w:t>Proxy RBC pour l'anémie</w:t>
      </w:r>
    </w:p>
    <w:p>
      <w:pPr>
        <w:spacing w:before="0" w:after="120"/>
        <w:ind w:firstLine="567"/>
        <w:jc w:val="both"/>
      </w:pPr>
      <w:r>
        <w:rPr>
          <w:rFonts w:ascii="Times New Roman" w:hAnsi="Times New Roman"/>
          <w:b w:val="0"/>
          <w:i w:val="0"/>
          <w:sz w:val="24"/>
        </w:rPr>
        <w:t>Le modèle de Fornari simule directement le compartiment RBC (érythrocytes, ×10¹²/L) plutôt que l'hémoglobine (Hb, g/dL) mesurée en clinique. Une correspondance linéaire est utilisée pour convertir les seuils CTCAE :</w:t>
      </w:r>
    </w:p>
    <w:p>
      <w:pPr>
        <w:spacing w:before="120" w:after="120"/>
        <w:jc w:val="center"/>
      </w:pPr>
      <w:r>
        <w:rPr>
          <w:rFonts w:ascii="Courier New" w:hAnsi="Courier New"/>
          <w:b w:val="0"/>
          <w:i/>
          <w:color w:val="3C3C78"/>
          <w:sz w:val="22"/>
        </w:rPr>
        <w:t>Hb (g/dL) ≈ RBC (×10¹²/L) × CCMH (g/dL) × VGM (fL) / 1000</w:t>
      </w:r>
    </w:p>
    <w:p>
      <w:pPr>
        <w:spacing w:before="120" w:after="120"/>
        <w:jc w:val="center"/>
      </w:pPr>
      <w:r>
        <w:rPr>
          <w:rFonts w:ascii="Courier New" w:hAnsi="Courier New"/>
          <w:b w:val="0"/>
          <w:i/>
          <w:color w:val="3C3C78"/>
          <w:sz w:val="22"/>
        </w:rPr>
        <w:t>Hb ≈ RBC × 33 × 90 / 1000 = RBC × 2,97  ≈  RBC × 3,0</w:t>
      </w:r>
    </w:p>
    <w:p>
      <w:pPr>
        <w:spacing w:before="0" w:after="120"/>
        <w:ind w:firstLine="567"/>
        <w:jc w:val="both"/>
      </w:pPr>
      <w:r>
        <w:rPr>
          <w:rFonts w:ascii="Times New Roman" w:hAnsi="Times New Roman"/>
          <w:b w:val="0"/>
          <w:i w:val="0"/>
          <w:sz w:val="24"/>
        </w:rPr>
        <w:t>avec CCMH = 33 g/dL (concentration corpusculaire moyenne en hémoglobine) et VGM = 90 fL (volume globulaire moyen), valeurs normales adultes. Les seuils CTCAE en unités RBC équivalentes (×10¹²/L) sont ainsi :</w:t>
      </w:r>
    </w:p>
    <w:tbl>
      <w:tblPr>
        <w:tblStyle w:val="TableGrid"/>
        <w:tblW w:type="auto" w:w="0"/>
        <w:tblLook w:firstColumn="1" w:firstRow="1" w:lastColumn="0" w:lastRow="0" w:noHBand="0" w:noVBand="1" w:val="04A0"/>
      </w:tblPr>
      <w:tblGrid>
        <w:gridCol w:w="3041"/>
        <w:gridCol w:w="3041"/>
        <w:gridCol w:w="3041"/>
      </w:tblGrid>
      <w:tr>
        <w:tc>
          <w:tcPr>
            <w:tcW w:type="dxa" w:w="1417"/>
            <w:shd w:val="clear" w:color="auto" w:fill="2C3E50"/>
          </w:tcPr>
          <w:p>
            <w:pPr>
              <w:jc w:val="center"/>
            </w:pPr>
            <w:r>
              <w:rPr>
                <w:rFonts w:ascii="Times New Roman" w:hAnsi="Times New Roman"/>
                <w:b/>
                <w:i w:val="0"/>
                <w:color w:val="FFFFFF"/>
                <w:sz w:val="20"/>
              </w:rPr>
              <w:t>Grade</w:t>
            </w:r>
          </w:p>
        </w:tc>
        <w:tc>
          <w:tcPr>
            <w:tcW w:type="dxa" w:w="2551"/>
            <w:shd w:val="clear" w:color="auto" w:fill="2C3E50"/>
          </w:tcPr>
          <w:p>
            <w:pPr>
              <w:jc w:val="center"/>
            </w:pPr>
            <w:r>
              <w:rPr>
                <w:rFonts w:ascii="Times New Roman" w:hAnsi="Times New Roman"/>
                <w:b/>
                <w:i w:val="0"/>
                <w:color w:val="FFFFFF"/>
                <w:sz w:val="20"/>
              </w:rPr>
              <w:t>Seuil Hb (g/dL)</w:t>
            </w:r>
          </w:p>
        </w:tc>
        <w:tc>
          <w:tcPr>
            <w:tcW w:type="dxa" w:w="3118"/>
            <w:shd w:val="clear" w:color="auto" w:fill="2C3E50"/>
          </w:tcPr>
          <w:p>
            <w:pPr>
              <w:jc w:val="center"/>
            </w:pPr>
            <w:r>
              <w:rPr>
                <w:rFonts w:ascii="Times New Roman" w:hAnsi="Times New Roman"/>
                <w:b/>
                <w:i w:val="0"/>
                <w:color w:val="FFFFFF"/>
                <w:sz w:val="20"/>
              </w:rPr>
              <w:t>Seuil RBC équivalent (×10¹²/L)</w:t>
            </w:r>
          </w:p>
        </w:tc>
      </w:tr>
      <w:tr>
        <w:tc>
          <w:tcPr>
            <w:tcW w:type="dxa" w:w="1417"/>
            <w:shd w:val="clear" w:color="auto" w:fill="F2F2F2"/>
          </w:tcPr>
          <w:p>
            <w:pPr>
              <w:jc w:val="center"/>
            </w:pPr>
            <w:r>
              <w:rPr>
                <w:rFonts w:ascii="Times New Roman" w:hAnsi="Times New Roman"/>
                <w:b w:val="0"/>
                <w:i w:val="0"/>
                <w:sz w:val="20"/>
              </w:rPr>
              <w:t>G0</w:t>
            </w:r>
          </w:p>
        </w:tc>
        <w:tc>
          <w:tcPr>
            <w:tcW w:type="dxa" w:w="2551"/>
            <w:shd w:val="clear" w:color="auto" w:fill="F2F2F2"/>
          </w:tcPr>
          <w:p>
            <w:pPr>
              <w:jc w:val="center"/>
            </w:pPr>
            <w:r>
              <w:rPr>
                <w:rFonts w:ascii="Times New Roman" w:hAnsi="Times New Roman"/>
                <w:b w:val="0"/>
                <w:i w:val="0"/>
                <w:sz w:val="20"/>
              </w:rPr>
              <w:t>≥11,0</w:t>
            </w:r>
          </w:p>
        </w:tc>
        <w:tc>
          <w:tcPr>
            <w:tcW w:type="dxa" w:w="3118"/>
            <w:shd w:val="clear" w:color="auto" w:fill="F2F2F2"/>
          </w:tcPr>
          <w:p>
            <w:pPr>
              <w:jc w:val="center"/>
            </w:pPr>
            <w:r>
              <w:rPr>
                <w:rFonts w:ascii="Times New Roman" w:hAnsi="Times New Roman"/>
                <w:b w:val="0"/>
                <w:i w:val="0"/>
                <w:sz w:val="20"/>
              </w:rPr>
              <w:t>≥3,67</w:t>
            </w:r>
          </w:p>
        </w:tc>
      </w:tr>
      <w:tr>
        <w:tc>
          <w:tcPr>
            <w:tcW w:type="dxa" w:w="1417"/>
            <w:shd w:val="clear" w:color="auto" w:fill="FFFFFF"/>
          </w:tcPr>
          <w:p>
            <w:pPr>
              <w:jc w:val="center"/>
            </w:pPr>
            <w:r>
              <w:rPr>
                <w:rFonts w:ascii="Times New Roman" w:hAnsi="Times New Roman"/>
                <w:b w:val="0"/>
                <w:i w:val="0"/>
                <w:sz w:val="20"/>
              </w:rPr>
              <w:t>G1</w:t>
            </w:r>
          </w:p>
        </w:tc>
        <w:tc>
          <w:tcPr>
            <w:tcW w:type="dxa" w:w="2551"/>
            <w:shd w:val="clear" w:color="auto" w:fill="FFFFFF"/>
          </w:tcPr>
          <w:p>
            <w:pPr>
              <w:jc w:val="center"/>
            </w:pPr>
            <w:r>
              <w:rPr>
                <w:rFonts w:ascii="Times New Roman" w:hAnsi="Times New Roman"/>
                <w:b w:val="0"/>
                <w:i w:val="0"/>
                <w:sz w:val="20"/>
              </w:rPr>
              <w:t>10,0–11,0</w:t>
            </w:r>
          </w:p>
        </w:tc>
        <w:tc>
          <w:tcPr>
            <w:tcW w:type="dxa" w:w="3118"/>
            <w:shd w:val="clear" w:color="auto" w:fill="FFFFFF"/>
          </w:tcPr>
          <w:p>
            <w:pPr>
              <w:jc w:val="center"/>
            </w:pPr>
            <w:r>
              <w:rPr>
                <w:rFonts w:ascii="Times New Roman" w:hAnsi="Times New Roman"/>
                <w:b w:val="0"/>
                <w:i w:val="0"/>
                <w:sz w:val="20"/>
              </w:rPr>
              <w:t>3,33–3,67</w:t>
            </w:r>
          </w:p>
        </w:tc>
      </w:tr>
      <w:tr>
        <w:tc>
          <w:tcPr>
            <w:tcW w:type="dxa" w:w="1417"/>
            <w:shd w:val="clear" w:color="auto" w:fill="F2F2F2"/>
          </w:tcPr>
          <w:p>
            <w:pPr>
              <w:jc w:val="center"/>
            </w:pPr>
            <w:r>
              <w:rPr>
                <w:rFonts w:ascii="Times New Roman" w:hAnsi="Times New Roman"/>
                <w:b w:val="0"/>
                <w:i w:val="0"/>
                <w:sz w:val="20"/>
              </w:rPr>
              <w:t>G2</w:t>
            </w:r>
          </w:p>
        </w:tc>
        <w:tc>
          <w:tcPr>
            <w:tcW w:type="dxa" w:w="2551"/>
            <w:shd w:val="clear" w:color="auto" w:fill="F2F2F2"/>
          </w:tcPr>
          <w:p>
            <w:pPr>
              <w:jc w:val="center"/>
            </w:pPr>
            <w:r>
              <w:rPr>
                <w:rFonts w:ascii="Times New Roman" w:hAnsi="Times New Roman"/>
                <w:b w:val="0"/>
                <w:i w:val="0"/>
                <w:sz w:val="20"/>
              </w:rPr>
              <w:t>8,0–10,0</w:t>
            </w:r>
          </w:p>
        </w:tc>
        <w:tc>
          <w:tcPr>
            <w:tcW w:type="dxa" w:w="3118"/>
            <w:shd w:val="clear" w:color="auto" w:fill="F2F2F2"/>
          </w:tcPr>
          <w:p>
            <w:pPr>
              <w:jc w:val="center"/>
            </w:pPr>
            <w:r>
              <w:rPr>
                <w:rFonts w:ascii="Times New Roman" w:hAnsi="Times New Roman"/>
                <w:b w:val="0"/>
                <w:i w:val="0"/>
                <w:sz w:val="20"/>
              </w:rPr>
              <w:t>2,67–3,33</w:t>
            </w:r>
          </w:p>
        </w:tc>
      </w:tr>
      <w:tr>
        <w:tc>
          <w:tcPr>
            <w:tcW w:type="dxa" w:w="1417"/>
            <w:shd w:val="clear" w:color="auto" w:fill="FFFFFF"/>
          </w:tcPr>
          <w:p>
            <w:pPr>
              <w:jc w:val="center"/>
            </w:pPr>
            <w:r>
              <w:rPr>
                <w:rFonts w:ascii="Times New Roman" w:hAnsi="Times New Roman"/>
                <w:b w:val="0"/>
                <w:i w:val="0"/>
                <w:sz w:val="20"/>
              </w:rPr>
              <w:t>G3</w:t>
            </w:r>
          </w:p>
        </w:tc>
        <w:tc>
          <w:tcPr>
            <w:tcW w:type="dxa" w:w="2551"/>
            <w:shd w:val="clear" w:color="auto" w:fill="FFFFFF"/>
          </w:tcPr>
          <w:p>
            <w:pPr>
              <w:jc w:val="center"/>
            </w:pPr>
            <w:r>
              <w:rPr>
                <w:rFonts w:ascii="Times New Roman" w:hAnsi="Times New Roman"/>
                <w:b w:val="0"/>
                <w:i w:val="0"/>
                <w:sz w:val="20"/>
              </w:rPr>
              <w:t>&lt;8,0</w:t>
            </w:r>
          </w:p>
        </w:tc>
        <w:tc>
          <w:tcPr>
            <w:tcW w:type="dxa" w:w="3118"/>
            <w:shd w:val="clear" w:color="auto" w:fill="FFFFFF"/>
          </w:tcPr>
          <w:p>
            <w:pPr>
              <w:jc w:val="center"/>
            </w:pPr>
            <w:r>
              <w:rPr>
                <w:rFonts w:ascii="Times New Roman" w:hAnsi="Times New Roman"/>
                <w:b w:val="0"/>
                <w:i w:val="0"/>
                <w:sz w:val="20"/>
              </w:rPr>
              <w:t>&lt;2,67</w:t>
            </w:r>
          </w:p>
        </w:tc>
      </w:tr>
    </w:tbl>
    <w:p>
      <w:pPr>
        <w:spacing w:before="0" w:after="120"/>
        <w:ind w:firstLine="567"/>
        <w:jc w:val="both"/>
      </w:pPr>
      <w:r>
        <w:rPr>
          <w:rFonts w:ascii="Times New Roman" w:hAnsi="Times New Roman"/>
          <w:b w:val="0"/>
          <w:i w:val="0"/>
          <w:sz w:val="24"/>
        </w:rPr>
        <w:t>Cette approximation introduit une incertitude estimée à ±5% sur les seuils de grade, jugée acceptable au regard de la variabilité inter-individuelle des paramètres érythrocytaires.</w:t>
      </w:r>
    </w:p>
    <w:p>
      <w:pPr>
        <w:spacing w:before="240" w:after="80"/>
      </w:pPr>
      <w:r>
        <w:rPr>
          <w:rFonts w:ascii="Times New Roman" w:hAnsi="Times New Roman"/>
          <w:b/>
          <w:i w:val="0"/>
          <w:color w:val="34495E"/>
          <w:sz w:val="28"/>
        </w:rPr>
        <w:t>2.8 Données de référence cliniques</w:t>
      </w:r>
    </w:p>
    <w:p>
      <w:pPr>
        <w:spacing w:before="0" w:after="120"/>
        <w:ind w:firstLine="567"/>
        <w:jc w:val="both"/>
      </w:pPr>
      <w:r>
        <w:rPr>
          <w:rFonts w:ascii="Times New Roman" w:hAnsi="Times New Roman"/>
          <w:b w:val="0"/>
          <w:i w:val="0"/>
          <w:sz w:val="24"/>
        </w:rPr>
        <w:t>La validation des simulations T-DXd repose sur les données de tolérance hématologique issues du BLA 761139 (FDA, 2019), correspondant à l'essai DESTINY-Breast01 (n=184, T-DXd 5,4 mg/kg Q3W) :</w:t>
      </w:r>
    </w:p>
    <w:p>
      <w:pPr>
        <w:spacing w:before="0" w:after="120"/>
        <w:ind w:firstLine="567"/>
        <w:jc w:val="both"/>
      </w:pPr>
      <w:r>
        <w:rPr>
          <w:rFonts w:ascii="Times New Roman" w:hAnsi="Times New Roman"/>
          <w:b w:val="0"/>
          <w:i w:val="0"/>
          <w:sz w:val="24"/>
        </w:rPr>
        <w:t>Ces données ne comportent pas de profils individuels de cytopénie en fonction du temps, mais uniquement des pourcentages de grades agrégés sur l'ensemble du traitement (grade maximal observé par patient, worst-case grading). La validation repose donc sur la comparaison des distributions de grades CTCAE v5 au nadir simulé — et non sur des profils temporels — ce qui constitue la seule métrique disponible dans les rapports réglementaires publics. Cette métrique est par ailleurs directement pertinente sur le plan clinique, car c'est le grade maximal atteint qui conditionne les décisions de gestion thérapeutique (réduction de dose, interruption, hospitalisation).</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984"/>
            <w:shd w:val="clear" w:color="auto" w:fill="2C3E50"/>
          </w:tcPr>
          <w:p>
            <w:pPr>
              <w:jc w:val="center"/>
            </w:pPr>
            <w:r>
              <w:rPr>
                <w:rFonts w:ascii="Times New Roman" w:hAnsi="Times New Roman"/>
                <w:b/>
                <w:i w:val="0"/>
                <w:color w:val="FFFFFF"/>
                <w:sz w:val="20"/>
              </w:rPr>
              <w:t>Toxicité</w:t>
            </w:r>
          </w:p>
        </w:tc>
        <w:tc>
          <w:tcPr>
            <w:tcW w:type="dxa" w:w="964"/>
            <w:shd w:val="clear" w:color="auto" w:fill="2C3E50"/>
          </w:tcPr>
          <w:p>
            <w:pPr>
              <w:jc w:val="center"/>
            </w:pPr>
            <w:r>
              <w:rPr>
                <w:rFonts w:ascii="Times New Roman" w:hAnsi="Times New Roman"/>
                <w:b/>
                <w:i w:val="0"/>
                <w:color w:val="FFFFFF"/>
                <w:sz w:val="20"/>
              </w:rPr>
              <w:t>G0 (%)</w:t>
            </w:r>
          </w:p>
        </w:tc>
        <w:tc>
          <w:tcPr>
            <w:tcW w:type="dxa" w:w="964"/>
            <w:shd w:val="clear" w:color="auto" w:fill="2C3E50"/>
          </w:tcPr>
          <w:p>
            <w:pPr>
              <w:jc w:val="center"/>
            </w:pPr>
            <w:r>
              <w:rPr>
                <w:rFonts w:ascii="Times New Roman" w:hAnsi="Times New Roman"/>
                <w:b/>
                <w:i w:val="0"/>
                <w:color w:val="FFFFFF"/>
                <w:sz w:val="20"/>
              </w:rPr>
              <w:t>G1 (%)</w:t>
            </w:r>
          </w:p>
        </w:tc>
        <w:tc>
          <w:tcPr>
            <w:tcW w:type="dxa" w:w="964"/>
            <w:shd w:val="clear" w:color="auto" w:fill="2C3E50"/>
          </w:tcPr>
          <w:p>
            <w:pPr>
              <w:jc w:val="center"/>
            </w:pPr>
            <w:r>
              <w:rPr>
                <w:rFonts w:ascii="Times New Roman" w:hAnsi="Times New Roman"/>
                <w:b/>
                <w:i w:val="0"/>
                <w:color w:val="FFFFFF"/>
                <w:sz w:val="20"/>
              </w:rPr>
              <w:t>G2 (%)</w:t>
            </w:r>
          </w:p>
        </w:tc>
        <w:tc>
          <w:tcPr>
            <w:tcW w:type="dxa" w:w="964"/>
            <w:shd w:val="clear" w:color="auto" w:fill="2C3E50"/>
          </w:tcPr>
          <w:p>
            <w:pPr>
              <w:jc w:val="center"/>
            </w:pPr>
            <w:r>
              <w:rPr>
                <w:rFonts w:ascii="Times New Roman" w:hAnsi="Times New Roman"/>
                <w:b/>
                <w:i w:val="0"/>
                <w:color w:val="FFFFFF"/>
                <w:sz w:val="20"/>
              </w:rPr>
              <w:t>G3 (%)</w:t>
            </w:r>
          </w:p>
        </w:tc>
        <w:tc>
          <w:tcPr>
            <w:tcW w:type="dxa" w:w="964"/>
            <w:shd w:val="clear" w:color="auto" w:fill="2C3E50"/>
          </w:tcPr>
          <w:p>
            <w:pPr>
              <w:jc w:val="center"/>
            </w:pPr>
            <w:r>
              <w:rPr>
                <w:rFonts w:ascii="Times New Roman" w:hAnsi="Times New Roman"/>
                <w:b/>
                <w:i w:val="0"/>
                <w:color w:val="FFFFFF"/>
                <w:sz w:val="20"/>
              </w:rPr>
              <w:t>G4 (%)</w:t>
            </w:r>
          </w:p>
        </w:tc>
        <w:tc>
          <w:tcPr>
            <w:tcW w:type="dxa" w:w="1417"/>
            <w:shd w:val="clear" w:color="auto" w:fill="2C3E50"/>
          </w:tcPr>
          <w:p>
            <w:pPr>
              <w:jc w:val="center"/>
            </w:pPr>
            <w:r>
              <w:rPr>
                <w:rFonts w:ascii="Times New Roman" w:hAnsi="Times New Roman"/>
                <w:b/>
                <w:i w:val="0"/>
                <w:color w:val="FFFFFF"/>
                <w:sz w:val="20"/>
              </w:rPr>
              <w:t>Tout grade (%)</w:t>
            </w:r>
          </w:p>
        </w:tc>
        <w:tc>
          <w:tcPr>
            <w:tcW w:type="dxa" w:w="1134"/>
            <w:shd w:val="clear" w:color="auto" w:fill="2C3E50"/>
          </w:tcPr>
          <w:p>
            <w:pPr>
              <w:jc w:val="center"/>
            </w:pPr>
            <w:r>
              <w:rPr>
                <w:rFonts w:ascii="Times New Roman" w:hAnsi="Times New Roman"/>
                <w:b/>
                <w:i w:val="0"/>
                <w:color w:val="FFFFFF"/>
                <w:sz w:val="20"/>
              </w:rPr>
              <w:t>G3-4 (%)</w:t>
            </w:r>
          </w:p>
        </w:tc>
      </w:tr>
      <w:tr>
        <w:tc>
          <w:tcPr>
            <w:tcW w:type="dxa" w:w="1984"/>
            <w:shd w:val="clear" w:color="auto" w:fill="F2F2F2"/>
          </w:tcPr>
          <w:p>
            <w:pPr>
              <w:jc w:val="center"/>
            </w:pPr>
            <w:r>
              <w:rPr>
                <w:rFonts w:ascii="Times New Roman" w:hAnsi="Times New Roman"/>
                <w:b w:val="0"/>
                <w:i w:val="0"/>
                <w:sz w:val="20"/>
              </w:rPr>
              <w:t>Neutropénie</w:t>
            </w:r>
          </w:p>
        </w:tc>
        <w:tc>
          <w:tcPr>
            <w:tcW w:type="dxa" w:w="964"/>
            <w:shd w:val="clear" w:color="auto" w:fill="F2F2F2"/>
          </w:tcPr>
          <w:p>
            <w:pPr>
              <w:jc w:val="center"/>
            </w:pPr>
            <w:r>
              <w:rPr>
                <w:rFonts w:ascii="Times New Roman" w:hAnsi="Times New Roman"/>
                <w:b w:val="0"/>
                <w:i w:val="0"/>
                <w:sz w:val="20"/>
              </w:rPr>
              <w:t>71</w:t>
            </w:r>
          </w:p>
        </w:tc>
        <w:tc>
          <w:tcPr>
            <w:tcW w:type="dxa" w:w="964"/>
            <w:shd w:val="clear" w:color="auto" w:fill="F2F2F2"/>
          </w:tcPr>
          <w:p>
            <w:pPr>
              <w:jc w:val="center"/>
            </w:pPr>
            <w:r>
              <w:rPr>
                <w:rFonts w:ascii="Times New Roman" w:hAnsi="Times New Roman"/>
                <w:b w:val="0"/>
                <w:i w:val="0"/>
                <w:sz w:val="20"/>
              </w:rPr>
              <w:t>7</w:t>
            </w:r>
          </w:p>
        </w:tc>
        <w:tc>
          <w:tcPr>
            <w:tcW w:type="dxa" w:w="964"/>
            <w:shd w:val="clear" w:color="auto" w:fill="F2F2F2"/>
          </w:tcPr>
          <w:p>
            <w:pPr>
              <w:jc w:val="center"/>
            </w:pPr>
            <w:r>
              <w:rPr>
                <w:rFonts w:ascii="Times New Roman" w:hAnsi="Times New Roman"/>
                <w:b w:val="0"/>
                <w:i w:val="0"/>
                <w:sz w:val="20"/>
              </w:rPr>
              <w:t>7</w:t>
            </w:r>
          </w:p>
        </w:tc>
        <w:tc>
          <w:tcPr>
            <w:tcW w:type="dxa" w:w="964"/>
            <w:shd w:val="clear" w:color="auto" w:fill="F2F2F2"/>
          </w:tcPr>
          <w:p>
            <w:pPr>
              <w:jc w:val="center"/>
            </w:pPr>
            <w:r>
              <w:rPr>
                <w:rFonts w:ascii="Times New Roman" w:hAnsi="Times New Roman"/>
                <w:b w:val="0"/>
                <w:i w:val="0"/>
                <w:sz w:val="20"/>
              </w:rPr>
              <w:t>13</w:t>
            </w:r>
          </w:p>
        </w:tc>
        <w:tc>
          <w:tcPr>
            <w:tcW w:type="dxa" w:w="964"/>
            <w:shd w:val="clear" w:color="auto" w:fill="F2F2F2"/>
          </w:tcPr>
          <w:p>
            <w:pPr>
              <w:jc w:val="center"/>
            </w:pPr>
            <w:r>
              <w:rPr>
                <w:rFonts w:ascii="Times New Roman" w:hAnsi="Times New Roman"/>
                <w:b w:val="0"/>
                <w:i w:val="0"/>
                <w:sz w:val="20"/>
              </w:rPr>
              <w:t>3</w:t>
            </w:r>
          </w:p>
        </w:tc>
        <w:tc>
          <w:tcPr>
            <w:tcW w:type="dxa" w:w="1417"/>
            <w:shd w:val="clear" w:color="auto" w:fill="F2F2F2"/>
          </w:tcPr>
          <w:p>
            <w:pPr>
              <w:jc w:val="center"/>
            </w:pPr>
            <w:r>
              <w:rPr>
                <w:rFonts w:ascii="Times New Roman" w:hAnsi="Times New Roman"/>
                <w:b w:val="0"/>
                <w:i w:val="0"/>
                <w:sz w:val="20"/>
              </w:rPr>
              <w:t>29</w:t>
            </w:r>
          </w:p>
        </w:tc>
        <w:tc>
          <w:tcPr>
            <w:tcW w:type="dxa" w:w="1134"/>
            <w:shd w:val="clear" w:color="auto" w:fill="F2F2F2"/>
          </w:tcPr>
          <w:p>
            <w:pPr>
              <w:jc w:val="center"/>
            </w:pPr>
            <w:r>
              <w:rPr>
                <w:rFonts w:ascii="Times New Roman" w:hAnsi="Times New Roman"/>
                <w:b w:val="0"/>
                <w:i w:val="0"/>
                <w:sz w:val="20"/>
              </w:rPr>
              <w:t>16</w:t>
            </w:r>
          </w:p>
        </w:tc>
      </w:tr>
      <w:tr>
        <w:tc>
          <w:tcPr>
            <w:tcW w:type="dxa" w:w="1984"/>
            <w:shd w:val="clear" w:color="auto" w:fill="FFFFFF"/>
          </w:tcPr>
          <w:p>
            <w:pPr>
              <w:jc w:val="center"/>
            </w:pPr>
            <w:r>
              <w:rPr>
                <w:rFonts w:ascii="Times New Roman" w:hAnsi="Times New Roman"/>
                <w:b w:val="0"/>
                <w:i w:val="0"/>
                <w:sz w:val="20"/>
              </w:rPr>
              <w:t>Anémie</w:t>
            </w:r>
          </w:p>
        </w:tc>
        <w:tc>
          <w:tcPr>
            <w:tcW w:type="dxa" w:w="964"/>
            <w:shd w:val="clear" w:color="auto" w:fill="FFFFFF"/>
          </w:tcPr>
          <w:p>
            <w:pPr>
              <w:jc w:val="center"/>
            </w:pPr>
            <w:r>
              <w:rPr>
                <w:rFonts w:ascii="Times New Roman" w:hAnsi="Times New Roman"/>
                <w:b w:val="0"/>
                <w:i w:val="0"/>
                <w:sz w:val="20"/>
              </w:rPr>
              <w:t>30</w:t>
            </w:r>
          </w:p>
        </w:tc>
        <w:tc>
          <w:tcPr>
            <w:tcW w:type="dxa" w:w="964"/>
            <w:shd w:val="clear" w:color="auto" w:fill="FFFFFF"/>
          </w:tcPr>
          <w:p>
            <w:pPr>
              <w:jc w:val="center"/>
            </w:pPr>
            <w:r>
              <w:rPr>
                <w:rFonts w:ascii="Times New Roman" w:hAnsi="Times New Roman"/>
                <w:b w:val="0"/>
                <w:i w:val="0"/>
                <w:sz w:val="20"/>
              </w:rPr>
              <w:t>37</w:t>
            </w:r>
          </w:p>
        </w:tc>
        <w:tc>
          <w:tcPr>
            <w:tcW w:type="dxa" w:w="964"/>
            <w:shd w:val="clear" w:color="auto" w:fill="FFFFFF"/>
          </w:tcPr>
          <w:p>
            <w:pPr>
              <w:jc w:val="center"/>
            </w:pPr>
            <w:r>
              <w:rPr>
                <w:rFonts w:ascii="Times New Roman" w:hAnsi="Times New Roman"/>
                <w:b w:val="0"/>
                <w:i w:val="0"/>
                <w:sz w:val="20"/>
              </w:rPr>
              <w:t>24</w:t>
            </w:r>
          </w:p>
        </w:tc>
        <w:tc>
          <w:tcPr>
            <w:tcW w:type="dxa" w:w="964"/>
            <w:shd w:val="clear" w:color="auto" w:fill="FFFFFF"/>
          </w:tcPr>
          <w:p>
            <w:pPr>
              <w:jc w:val="center"/>
            </w:pPr>
            <w:r>
              <w:rPr>
                <w:rFonts w:ascii="Times New Roman" w:hAnsi="Times New Roman"/>
                <w:b w:val="0"/>
                <w:i w:val="0"/>
                <w:sz w:val="20"/>
              </w:rPr>
              <w:t>8</w:t>
            </w:r>
          </w:p>
        </w:tc>
        <w:tc>
          <w:tcPr>
            <w:tcW w:type="dxa" w:w="964"/>
            <w:shd w:val="clear" w:color="auto" w:fill="FFFFFF"/>
          </w:tcPr>
          <w:p>
            <w:pPr>
              <w:jc w:val="center"/>
            </w:pPr>
            <w:r>
              <w:rPr>
                <w:rFonts w:ascii="Times New Roman" w:hAnsi="Times New Roman"/>
                <w:b w:val="0"/>
                <w:i w:val="0"/>
                <w:sz w:val="20"/>
              </w:rPr>
              <w:t>1</w:t>
            </w:r>
          </w:p>
        </w:tc>
        <w:tc>
          <w:tcPr>
            <w:tcW w:type="dxa" w:w="1417"/>
            <w:shd w:val="clear" w:color="auto" w:fill="FFFFFF"/>
          </w:tcPr>
          <w:p>
            <w:pPr>
              <w:jc w:val="center"/>
            </w:pPr>
            <w:r>
              <w:rPr>
                <w:rFonts w:ascii="Times New Roman" w:hAnsi="Times New Roman"/>
                <w:b w:val="0"/>
                <w:i w:val="0"/>
                <w:sz w:val="20"/>
              </w:rPr>
              <w:t>70</w:t>
            </w:r>
          </w:p>
        </w:tc>
        <w:tc>
          <w:tcPr>
            <w:tcW w:type="dxa" w:w="1134"/>
            <w:shd w:val="clear" w:color="auto" w:fill="FFFFFF"/>
          </w:tcPr>
          <w:p>
            <w:pPr>
              <w:jc w:val="center"/>
            </w:pPr>
            <w:r>
              <w:rPr>
                <w:rFonts w:ascii="Times New Roman" w:hAnsi="Times New Roman"/>
                <w:b w:val="0"/>
                <w:i w:val="0"/>
                <w:sz w:val="20"/>
              </w:rPr>
              <w:t>9</w:t>
            </w:r>
          </w:p>
        </w:tc>
      </w:tr>
      <w:tr>
        <w:tc>
          <w:tcPr>
            <w:tcW w:type="dxa" w:w="1984"/>
            <w:shd w:val="clear" w:color="auto" w:fill="F2F2F2"/>
          </w:tcPr>
          <w:p>
            <w:pPr>
              <w:jc w:val="center"/>
            </w:pPr>
            <w:r>
              <w:rPr>
                <w:rFonts w:ascii="Times New Roman" w:hAnsi="Times New Roman"/>
                <w:b w:val="0"/>
                <w:i w:val="0"/>
                <w:sz w:val="20"/>
              </w:rPr>
              <w:t>Thrombocytopénie</w:t>
            </w:r>
          </w:p>
        </w:tc>
        <w:tc>
          <w:tcPr>
            <w:tcW w:type="dxa" w:w="964"/>
            <w:shd w:val="clear" w:color="auto" w:fill="F2F2F2"/>
          </w:tcPr>
          <w:p>
            <w:pPr>
              <w:jc w:val="center"/>
            </w:pPr>
            <w:r>
              <w:rPr>
                <w:rFonts w:ascii="Times New Roman" w:hAnsi="Times New Roman"/>
                <w:b w:val="0"/>
                <w:i w:val="0"/>
                <w:sz w:val="20"/>
              </w:rPr>
              <w:t>63</w:t>
            </w:r>
          </w:p>
        </w:tc>
        <w:tc>
          <w:tcPr>
            <w:tcW w:type="dxa" w:w="964"/>
            <w:shd w:val="clear" w:color="auto" w:fill="F2F2F2"/>
          </w:tcPr>
          <w:p>
            <w:pPr>
              <w:jc w:val="center"/>
            </w:pPr>
            <w:r>
              <w:rPr>
                <w:rFonts w:ascii="Times New Roman" w:hAnsi="Times New Roman"/>
                <w:b w:val="0"/>
                <w:i w:val="0"/>
                <w:sz w:val="20"/>
              </w:rPr>
              <w:t>30</w:t>
            </w:r>
          </w:p>
        </w:tc>
        <w:tc>
          <w:tcPr>
            <w:tcW w:type="dxa" w:w="964"/>
            <w:shd w:val="clear" w:color="auto" w:fill="F2F2F2"/>
          </w:tcPr>
          <w:p>
            <w:pPr>
              <w:jc w:val="center"/>
            </w:pPr>
            <w:r>
              <w:rPr>
                <w:rFonts w:ascii="Times New Roman" w:hAnsi="Times New Roman"/>
                <w:b w:val="0"/>
                <w:i w:val="0"/>
                <w:sz w:val="20"/>
              </w:rPr>
              <w:t>4</w:t>
            </w:r>
          </w:p>
        </w:tc>
        <w:tc>
          <w:tcPr>
            <w:tcW w:type="dxa" w:w="964"/>
            <w:shd w:val="clear" w:color="auto" w:fill="F2F2F2"/>
          </w:tcPr>
          <w:p>
            <w:pPr>
              <w:jc w:val="center"/>
            </w:pPr>
            <w:r>
              <w:rPr>
                <w:rFonts w:ascii="Times New Roman" w:hAnsi="Times New Roman"/>
                <w:b w:val="0"/>
                <w:i w:val="0"/>
                <w:sz w:val="20"/>
              </w:rPr>
              <w:t>2</w:t>
            </w:r>
          </w:p>
        </w:tc>
        <w:tc>
          <w:tcPr>
            <w:tcW w:type="dxa" w:w="964"/>
            <w:shd w:val="clear" w:color="auto" w:fill="F2F2F2"/>
          </w:tcPr>
          <w:p>
            <w:pPr>
              <w:jc w:val="center"/>
            </w:pPr>
            <w:r>
              <w:rPr>
                <w:rFonts w:ascii="Times New Roman" w:hAnsi="Times New Roman"/>
                <w:b w:val="0"/>
                <w:i w:val="0"/>
                <w:sz w:val="20"/>
              </w:rPr>
              <w:t>1</w:t>
            </w:r>
          </w:p>
        </w:tc>
        <w:tc>
          <w:tcPr>
            <w:tcW w:type="dxa" w:w="1417"/>
            <w:shd w:val="clear" w:color="auto" w:fill="F2F2F2"/>
          </w:tcPr>
          <w:p>
            <w:pPr>
              <w:jc w:val="center"/>
            </w:pPr>
            <w:r>
              <w:rPr>
                <w:rFonts w:ascii="Times New Roman" w:hAnsi="Times New Roman"/>
                <w:b w:val="0"/>
                <w:i w:val="0"/>
                <w:sz w:val="20"/>
              </w:rPr>
              <w:t>37</w:t>
            </w:r>
          </w:p>
        </w:tc>
        <w:tc>
          <w:tcPr>
            <w:tcW w:type="dxa" w:w="1134"/>
            <w:shd w:val="clear" w:color="auto" w:fill="F2F2F2"/>
          </w:tcPr>
          <w:p>
            <w:pPr>
              <w:jc w:val="center"/>
            </w:pPr>
            <w:r>
              <w:rPr>
                <w:rFonts w:ascii="Times New Roman" w:hAnsi="Times New Roman"/>
                <w:b w:val="0"/>
                <w:i w:val="0"/>
                <w:sz w:val="20"/>
              </w:rPr>
              <w:t>3</w:t>
            </w:r>
          </w:p>
        </w:tc>
      </w:tr>
    </w:tbl>
    <w:p>
      <w:pPr>
        <w:spacing w:before="240" w:after="80"/>
      </w:pPr>
      <w:r>
        <w:rPr>
          <w:rFonts w:ascii="Times New Roman" w:hAnsi="Times New Roman"/>
          <w:b/>
          <w:i w:val="0"/>
          <w:color w:val="34495E"/>
          <w:sz w:val="28"/>
        </w:rPr>
        <w:t>2.9 Environnement computationnel</w:t>
      </w:r>
    </w:p>
    <w:p>
      <w:pPr>
        <w:spacing w:before="0" w:after="120"/>
        <w:ind w:firstLine="567"/>
        <w:jc w:val="both"/>
      </w:pPr>
      <w:r>
        <w:rPr>
          <w:rFonts w:ascii="Times New Roman" w:hAnsi="Times New Roman"/>
          <w:b w:val="0"/>
          <w:i w:val="0"/>
          <w:sz w:val="24"/>
        </w:rPr>
        <w:t>L'ensemble du pipeline a été développé sous R (version ≥ 4.3.0) avec les librairies suivantes :</w:t>
      </w:r>
    </w:p>
    <w:tbl>
      <w:tblPr>
        <w:tblStyle w:val="TableGrid"/>
        <w:tblW w:type="auto" w:w="0"/>
        <w:tblLook w:firstColumn="1" w:firstRow="1" w:lastColumn="0" w:lastRow="0" w:noHBand="0" w:noVBand="1" w:val="04A0"/>
      </w:tblPr>
      <w:tblGrid>
        <w:gridCol w:w="3041"/>
        <w:gridCol w:w="3041"/>
        <w:gridCol w:w="3041"/>
      </w:tblGrid>
      <w:tr>
        <w:tc>
          <w:tcPr>
            <w:tcW w:type="dxa" w:w="1984"/>
            <w:shd w:val="clear" w:color="auto" w:fill="2C3E50"/>
          </w:tcPr>
          <w:p>
            <w:pPr>
              <w:jc w:val="center"/>
            </w:pPr>
            <w:r>
              <w:rPr>
                <w:rFonts w:ascii="Times New Roman" w:hAnsi="Times New Roman"/>
                <w:b/>
                <w:i w:val="0"/>
                <w:color w:val="FFFFFF"/>
                <w:sz w:val="20"/>
              </w:rPr>
              <w:t>Librairie</w:t>
            </w:r>
          </w:p>
        </w:tc>
        <w:tc>
          <w:tcPr>
            <w:tcW w:type="dxa" w:w="1417"/>
            <w:shd w:val="clear" w:color="auto" w:fill="2C3E50"/>
          </w:tcPr>
          <w:p>
            <w:pPr>
              <w:jc w:val="center"/>
            </w:pPr>
            <w:r>
              <w:rPr>
                <w:rFonts w:ascii="Times New Roman" w:hAnsi="Times New Roman"/>
                <w:b/>
                <w:i w:val="0"/>
                <w:color w:val="FFFFFF"/>
                <w:sz w:val="20"/>
              </w:rPr>
              <w:t>Version</w:t>
            </w:r>
          </w:p>
        </w:tc>
        <w:tc>
          <w:tcPr>
            <w:tcW w:type="dxa" w:w="5669"/>
            <w:shd w:val="clear" w:color="auto" w:fill="2C3E50"/>
          </w:tcPr>
          <w:p>
            <w:pPr>
              <w:jc w:val="center"/>
            </w:pPr>
            <w:r>
              <w:rPr>
                <w:rFonts w:ascii="Times New Roman" w:hAnsi="Times New Roman"/>
                <w:b/>
                <w:i w:val="0"/>
                <w:color w:val="FFFFFF"/>
                <w:sz w:val="20"/>
              </w:rPr>
              <w:t>Usage</w:t>
            </w:r>
          </w:p>
        </w:tc>
      </w:tr>
      <w:tr>
        <w:tc>
          <w:tcPr>
            <w:tcW w:type="dxa" w:w="1984"/>
            <w:shd w:val="clear" w:color="auto" w:fill="F2F2F2"/>
          </w:tcPr>
          <w:p>
            <w:pPr>
              <w:jc w:val="center"/>
            </w:pPr>
            <w:r>
              <w:rPr>
                <w:rFonts w:ascii="Times New Roman" w:hAnsi="Times New Roman"/>
                <w:b w:val="0"/>
                <w:i w:val="0"/>
                <w:sz w:val="20"/>
              </w:rPr>
              <w:t>rxode2</w:t>
            </w:r>
          </w:p>
        </w:tc>
        <w:tc>
          <w:tcPr>
            <w:tcW w:type="dxa" w:w="1417"/>
            <w:shd w:val="clear" w:color="auto" w:fill="F2F2F2"/>
          </w:tcPr>
          <w:p>
            <w:pPr>
              <w:jc w:val="center"/>
            </w:pPr>
            <w:r>
              <w:rPr>
                <w:rFonts w:ascii="Times New Roman" w:hAnsi="Times New Roman"/>
                <w:b w:val="0"/>
                <w:i w:val="0"/>
                <w:sz w:val="20"/>
              </w:rPr>
              <w:t>≥ 2.0</w:t>
            </w:r>
          </w:p>
        </w:tc>
        <w:tc>
          <w:tcPr>
            <w:tcW w:type="dxa" w:w="5669"/>
            <w:shd w:val="clear" w:color="auto" w:fill="F2F2F2"/>
          </w:tcPr>
          <w:p>
            <w:pPr>
              <w:jc w:val="center"/>
            </w:pPr>
            <w:r>
              <w:rPr>
                <w:rFonts w:ascii="Times New Roman" w:hAnsi="Times New Roman"/>
                <w:b w:val="0"/>
                <w:i w:val="0"/>
                <w:sz w:val="20"/>
              </w:rPr>
              <w:t>Résolution ODE, modèles PK/PD</w:t>
            </w:r>
          </w:p>
        </w:tc>
      </w:tr>
      <w:tr>
        <w:tc>
          <w:tcPr>
            <w:tcW w:type="dxa" w:w="1984"/>
            <w:shd w:val="clear" w:color="auto" w:fill="FFFFFF"/>
          </w:tcPr>
          <w:p>
            <w:pPr>
              <w:jc w:val="center"/>
            </w:pPr>
            <w:r>
              <w:rPr>
                <w:rFonts w:ascii="Times New Roman" w:hAnsi="Times New Roman"/>
                <w:b w:val="0"/>
                <w:i w:val="0"/>
                <w:sz w:val="20"/>
              </w:rPr>
              <w:t>ggplot2</w:t>
            </w:r>
          </w:p>
        </w:tc>
        <w:tc>
          <w:tcPr>
            <w:tcW w:type="dxa" w:w="1417"/>
            <w:shd w:val="clear" w:color="auto" w:fill="FFFFFF"/>
          </w:tcPr>
          <w:p>
            <w:pPr>
              <w:jc w:val="center"/>
            </w:pPr>
            <w:r>
              <w:rPr>
                <w:rFonts w:ascii="Times New Roman" w:hAnsi="Times New Roman"/>
                <w:b w:val="0"/>
                <w:i w:val="0"/>
                <w:sz w:val="20"/>
              </w:rPr>
              <w:t>≥ 3.4</w:t>
            </w:r>
          </w:p>
        </w:tc>
        <w:tc>
          <w:tcPr>
            <w:tcW w:type="dxa" w:w="5669"/>
            <w:shd w:val="clear" w:color="auto" w:fill="FFFFFF"/>
          </w:tcPr>
          <w:p>
            <w:pPr>
              <w:jc w:val="center"/>
            </w:pPr>
            <w:r>
              <w:rPr>
                <w:rFonts w:ascii="Times New Roman" w:hAnsi="Times New Roman"/>
                <w:b w:val="0"/>
                <w:i w:val="0"/>
                <w:sz w:val="20"/>
              </w:rPr>
              <w:t>Visualisation des résultats</w:t>
            </w:r>
          </w:p>
        </w:tc>
      </w:tr>
      <w:tr>
        <w:tc>
          <w:tcPr>
            <w:tcW w:type="dxa" w:w="1984"/>
            <w:shd w:val="clear" w:color="auto" w:fill="F2F2F2"/>
          </w:tcPr>
          <w:p>
            <w:pPr>
              <w:jc w:val="center"/>
            </w:pPr>
            <w:r>
              <w:rPr>
                <w:rFonts w:ascii="Times New Roman" w:hAnsi="Times New Roman"/>
                <w:b w:val="0"/>
                <w:i w:val="0"/>
                <w:sz w:val="20"/>
              </w:rPr>
              <w:t>dplyr</w:t>
            </w:r>
          </w:p>
        </w:tc>
        <w:tc>
          <w:tcPr>
            <w:tcW w:type="dxa" w:w="1417"/>
            <w:shd w:val="clear" w:color="auto" w:fill="F2F2F2"/>
          </w:tcPr>
          <w:p>
            <w:pPr>
              <w:jc w:val="center"/>
            </w:pPr>
            <w:r>
              <w:rPr>
                <w:rFonts w:ascii="Times New Roman" w:hAnsi="Times New Roman"/>
                <w:b w:val="0"/>
                <w:i w:val="0"/>
                <w:sz w:val="20"/>
              </w:rPr>
              <w:t>≥ 1.1</w:t>
            </w:r>
          </w:p>
        </w:tc>
        <w:tc>
          <w:tcPr>
            <w:tcW w:type="dxa" w:w="5669"/>
            <w:shd w:val="clear" w:color="auto" w:fill="F2F2F2"/>
          </w:tcPr>
          <w:p>
            <w:pPr>
              <w:jc w:val="center"/>
            </w:pPr>
            <w:r>
              <w:rPr>
                <w:rFonts w:ascii="Times New Roman" w:hAnsi="Times New Roman"/>
                <w:b w:val="0"/>
                <w:i w:val="0"/>
                <w:sz w:val="20"/>
              </w:rPr>
              <w:t>Manipulation des données</w:t>
            </w:r>
          </w:p>
        </w:tc>
      </w:tr>
      <w:tr>
        <w:tc>
          <w:tcPr>
            <w:tcW w:type="dxa" w:w="1984"/>
            <w:shd w:val="clear" w:color="auto" w:fill="FFFFFF"/>
          </w:tcPr>
          <w:p>
            <w:pPr>
              <w:jc w:val="center"/>
            </w:pPr>
            <w:r>
              <w:rPr>
                <w:rFonts w:ascii="Times New Roman" w:hAnsi="Times New Roman"/>
                <w:b w:val="0"/>
                <w:i w:val="0"/>
                <w:sz w:val="20"/>
              </w:rPr>
              <w:t>tidyr</w:t>
            </w:r>
          </w:p>
        </w:tc>
        <w:tc>
          <w:tcPr>
            <w:tcW w:type="dxa" w:w="1417"/>
            <w:shd w:val="clear" w:color="auto" w:fill="FFFFFF"/>
          </w:tcPr>
          <w:p>
            <w:pPr>
              <w:jc w:val="center"/>
            </w:pPr>
            <w:r>
              <w:rPr>
                <w:rFonts w:ascii="Times New Roman" w:hAnsi="Times New Roman"/>
                <w:b w:val="0"/>
                <w:i w:val="0"/>
                <w:sz w:val="20"/>
              </w:rPr>
              <w:t>≥ 1.3</w:t>
            </w:r>
          </w:p>
        </w:tc>
        <w:tc>
          <w:tcPr>
            <w:tcW w:type="dxa" w:w="5669"/>
            <w:shd w:val="clear" w:color="auto" w:fill="FFFFFF"/>
          </w:tcPr>
          <w:p>
            <w:pPr>
              <w:jc w:val="center"/>
            </w:pPr>
            <w:r>
              <w:rPr>
                <w:rFonts w:ascii="Times New Roman" w:hAnsi="Times New Roman"/>
                <w:b w:val="0"/>
                <w:i w:val="0"/>
                <w:sz w:val="20"/>
              </w:rPr>
              <w:t>Restructuration des tableaux</w:t>
            </w:r>
          </w:p>
        </w:tc>
      </w:tr>
      <w:tr>
        <w:tc>
          <w:tcPr>
            <w:tcW w:type="dxa" w:w="1984"/>
            <w:shd w:val="clear" w:color="auto" w:fill="F2F2F2"/>
          </w:tcPr>
          <w:p>
            <w:pPr>
              <w:jc w:val="center"/>
            </w:pPr>
            <w:r>
              <w:rPr>
                <w:rFonts w:ascii="Times New Roman" w:hAnsi="Times New Roman"/>
                <w:b w:val="0"/>
                <w:i w:val="0"/>
                <w:sz w:val="20"/>
              </w:rPr>
              <w:t>R base</w:t>
            </w:r>
          </w:p>
        </w:tc>
        <w:tc>
          <w:tcPr>
            <w:tcW w:type="dxa" w:w="1417"/>
            <w:shd w:val="clear" w:color="auto" w:fill="F2F2F2"/>
          </w:tcPr>
          <w:p>
            <w:pPr>
              <w:jc w:val="center"/>
            </w:pPr>
            <w:r>
              <w:rPr>
                <w:rFonts w:ascii="Times New Roman" w:hAnsi="Times New Roman"/>
                <w:b w:val="0"/>
                <w:i w:val="0"/>
                <w:sz w:val="20"/>
              </w:rPr>
              <w:t>≥ 4.3</w:t>
            </w:r>
          </w:p>
        </w:tc>
        <w:tc>
          <w:tcPr>
            <w:tcW w:type="dxa" w:w="5669"/>
            <w:shd w:val="clear" w:color="auto" w:fill="F2F2F2"/>
          </w:tcPr>
          <w:p>
            <w:pPr>
              <w:jc w:val="center"/>
            </w:pPr>
            <w:r>
              <w:rPr>
                <w:rFonts w:ascii="Times New Roman" w:hAnsi="Times New Roman"/>
                <w:b w:val="0"/>
                <w:i w:val="0"/>
                <w:sz w:val="20"/>
              </w:rPr>
              <w:t>Optimisation Nelder-Mead (optim())</w:t>
            </w:r>
          </w:p>
        </w:tc>
      </w:tr>
    </w:tbl>
    <w:p>
      <w:pPr>
        <w:spacing w:before="0" w:after="120"/>
        <w:ind w:firstLine="567"/>
        <w:jc w:val="both"/>
      </w:pPr>
      <w:r>
        <w:rPr>
          <w:rFonts w:ascii="Times New Roman" w:hAnsi="Times New Roman"/>
          <w:b w:val="0"/>
          <w:i w:val="0"/>
          <w:sz w:val="24"/>
        </w:rPr>
        <w:t>Le code source est organisé en modules indépendants par étape (etape1 à etape6), permettant la reproductibilité de chaque analyse. Les résultats intermédiaires sont sérialisés au format .rds (readRDS/saveRDS) pour découplage des étapes de simulation et de visualisation.</w:t>
      </w:r>
    </w:p>
    <w:p>
      <w:r>
        <w:br w:type="page"/>
      </w:r>
    </w:p>
    <w:p>
      <w:pPr>
        <w:keepNext/>
        <w:spacing w:before="360" w:after="80"/>
      </w:pPr>
      <w:r>
        <w:rPr>
          <w:rFonts w:ascii="Times New Roman" w:hAnsi="Times New Roman"/>
          <w:b/>
          <w:i w:val="0"/>
          <w:color w:val="2C3E50"/>
          <w:sz w:val="32"/>
          <w:u w:val="single"/>
        </w:rPr>
        <w:t>III. Résultats</w:t>
      </w:r>
    </w:p>
    <w:p>
      <w:pPr>
        <w:spacing w:before="240" w:after="80"/>
      </w:pPr>
      <w:r>
        <w:rPr>
          <w:rFonts w:ascii="Times New Roman" w:hAnsi="Times New Roman"/>
          <w:b/>
          <w:i w:val="0"/>
          <w:color w:val="34495E"/>
          <w:sz w:val="28"/>
        </w:rPr>
        <w:t>3.1 Étape 1 — Validation du cadre : reproduction du modèle Fornari</w:t>
      </w:r>
    </w:p>
    <w:p>
      <w:pPr>
        <w:spacing w:before="0" w:after="120"/>
        <w:ind w:firstLine="567"/>
        <w:jc w:val="both"/>
      </w:pPr>
      <w:r>
        <w:rPr>
          <w:rFonts w:ascii="Times New Roman" w:hAnsi="Times New Roman"/>
          <w:b w:val="0"/>
          <w:i w:val="0"/>
          <w:sz w:val="24"/>
        </w:rPr>
        <w:t>La première étape du projet a consisté à reproduire fidèlement le modèle de Fornari (2019) sur les données publiées de rat traité au carboplatine, afin de valider l'implémentation informatique avant toute application à de nouveaux composés.</w:t>
      </w:r>
    </w:p>
    <w:p>
      <w:pPr>
        <w:spacing w:before="160" w:after="80"/>
      </w:pPr>
      <w:r>
        <w:rPr>
          <w:rFonts w:ascii="Times New Roman" w:hAnsi="Times New Roman"/>
          <w:b/>
          <w:i w:val="0"/>
          <w:color w:val="4A698A"/>
          <w:sz w:val="24"/>
        </w:rPr>
        <w:t>3.1.1 Paramètres biologiques du rat</w:t>
      </w:r>
    </w:p>
    <w:p>
      <w:pPr>
        <w:spacing w:before="0" w:after="120"/>
        <w:ind w:firstLine="567"/>
        <w:jc w:val="both"/>
      </w:pPr>
      <w:r>
        <w:rPr>
          <w:rFonts w:ascii="Times New Roman" w:hAnsi="Times New Roman"/>
          <w:b w:val="0"/>
          <w:i w:val="0"/>
          <w:sz w:val="24"/>
        </w:rPr>
        <w:t>Les paramètres de base ont été calculés à partir des valeurs hématologiques normales du rat selon les équations S4 de Fornari (2019). Les valeurs biologiques utilisées sont issues de la littérature :</w:t>
      </w:r>
    </w:p>
    <w:tbl>
      <w:tblPr>
        <w:tblStyle w:val="TableGrid"/>
        <w:tblW w:type="auto" w:w="0"/>
        <w:tblLook w:firstColumn="1" w:firstRow="1" w:lastColumn="0" w:lastRow="0" w:noHBand="0" w:noVBand="1" w:val="04A0"/>
      </w:tblPr>
      <w:tblGrid>
        <w:gridCol w:w="2280"/>
        <w:gridCol w:w="2280"/>
        <w:gridCol w:w="2280"/>
        <w:gridCol w:w="2280"/>
      </w:tblGrid>
      <w:tr>
        <w:tc>
          <w:tcPr>
            <w:tcW w:type="dxa" w:w="2835"/>
            <w:shd w:val="clear" w:color="auto" w:fill="2C3E50"/>
          </w:tcPr>
          <w:p>
            <w:pPr>
              <w:jc w:val="center"/>
            </w:pPr>
            <w:r>
              <w:rPr>
                <w:rFonts w:ascii="Times New Roman" w:hAnsi="Times New Roman"/>
                <w:b/>
                <w:i w:val="0"/>
                <w:color w:val="FFFFFF"/>
                <w:sz w:val="20"/>
              </w:rPr>
              <w:t>Paramètre</w:t>
            </w:r>
          </w:p>
        </w:tc>
        <w:tc>
          <w:tcPr>
            <w:tcW w:type="dxa" w:w="1701"/>
            <w:shd w:val="clear" w:color="auto" w:fill="2C3E50"/>
          </w:tcPr>
          <w:p>
            <w:pPr>
              <w:jc w:val="center"/>
            </w:pPr>
            <w:r>
              <w:rPr>
                <w:rFonts w:ascii="Times New Roman" w:hAnsi="Times New Roman"/>
                <w:b/>
                <w:i w:val="0"/>
                <w:color w:val="FFFFFF"/>
                <w:sz w:val="20"/>
              </w:rPr>
              <w:t>Valeur (rat)</w:t>
            </w:r>
          </w:p>
        </w:tc>
        <w:tc>
          <w:tcPr>
            <w:tcW w:type="dxa" w:w="1701"/>
            <w:shd w:val="clear" w:color="auto" w:fill="2C3E50"/>
          </w:tcPr>
          <w:p>
            <w:pPr>
              <w:jc w:val="center"/>
            </w:pPr>
            <w:r>
              <w:rPr>
                <w:rFonts w:ascii="Times New Roman" w:hAnsi="Times New Roman"/>
                <w:b/>
                <w:i w:val="0"/>
                <w:color w:val="FFFFFF"/>
                <w:sz w:val="20"/>
              </w:rPr>
              <w:t>Unité</w:t>
            </w:r>
          </w:p>
        </w:tc>
        <w:tc>
          <w:tcPr>
            <w:tcW w:type="dxa" w:w="2551"/>
            <w:shd w:val="clear" w:color="auto" w:fill="2C3E50"/>
          </w:tcPr>
          <w:p>
            <w:pPr>
              <w:jc w:val="center"/>
            </w:pPr>
            <w:r>
              <w:rPr>
                <w:rFonts w:ascii="Times New Roman" w:hAnsi="Times New Roman"/>
                <w:b/>
                <w:i w:val="0"/>
                <w:color w:val="FFFFFF"/>
                <w:sz w:val="20"/>
              </w:rPr>
              <w:t>Source</w:t>
            </w:r>
          </w:p>
        </w:tc>
      </w:tr>
      <w:tr>
        <w:tc>
          <w:tcPr>
            <w:tcW w:type="dxa" w:w="2835"/>
            <w:shd w:val="clear" w:color="auto" w:fill="F2F2F2"/>
          </w:tcPr>
          <w:p>
            <w:pPr>
              <w:jc w:val="center"/>
            </w:pPr>
            <w:r>
              <w:rPr>
                <w:rFonts w:ascii="Times New Roman" w:hAnsi="Times New Roman"/>
                <w:b w:val="0"/>
                <w:i w:val="0"/>
                <w:sz w:val="20"/>
              </w:rPr>
              <w:t>Neutrophiles (baseline)</w:t>
            </w:r>
          </w:p>
        </w:tc>
        <w:tc>
          <w:tcPr>
            <w:tcW w:type="dxa" w:w="1701"/>
            <w:shd w:val="clear" w:color="auto" w:fill="F2F2F2"/>
          </w:tcPr>
          <w:p>
            <w:pPr>
              <w:jc w:val="center"/>
            </w:pPr>
            <w:r>
              <w:rPr>
                <w:rFonts w:ascii="Times New Roman" w:hAnsi="Times New Roman"/>
                <w:b w:val="0"/>
                <w:i w:val="0"/>
                <w:sz w:val="20"/>
              </w:rPr>
              <w:t>2,35</w:t>
            </w:r>
          </w:p>
        </w:tc>
        <w:tc>
          <w:tcPr>
            <w:tcW w:type="dxa" w:w="1701"/>
            <w:shd w:val="clear" w:color="auto" w:fill="F2F2F2"/>
          </w:tcPr>
          <w:p>
            <w:pPr>
              <w:jc w:val="center"/>
            </w:pPr>
            <w:r>
              <w:rPr>
                <w:rFonts w:ascii="Times New Roman" w:hAnsi="Times New Roman"/>
                <w:b w:val="0"/>
                <w:i w:val="0"/>
                <w:sz w:val="20"/>
              </w:rPr>
              <w:t>×10⁹/L</w:t>
            </w:r>
          </w:p>
        </w:tc>
        <w:tc>
          <w:tcPr>
            <w:tcW w:type="dxa" w:w="2551"/>
            <w:shd w:val="clear" w:color="auto" w:fill="F2F2F2"/>
          </w:tcPr>
          <w:p>
            <w:pPr>
              <w:jc w:val="center"/>
            </w:pPr>
            <w:r>
              <w:rPr>
                <w:rFonts w:ascii="Times New Roman" w:hAnsi="Times New Roman"/>
                <w:b w:val="0"/>
                <w:i w:val="0"/>
                <w:sz w:val="20"/>
              </w:rPr>
              <w:t>Fornari 2019</w:t>
            </w:r>
          </w:p>
        </w:tc>
      </w:tr>
      <w:tr>
        <w:tc>
          <w:tcPr>
            <w:tcW w:type="dxa" w:w="2835"/>
            <w:shd w:val="clear" w:color="auto" w:fill="FFFFFF"/>
          </w:tcPr>
          <w:p>
            <w:pPr>
              <w:jc w:val="center"/>
            </w:pPr>
            <w:r>
              <w:rPr>
                <w:rFonts w:ascii="Times New Roman" w:hAnsi="Times New Roman"/>
                <w:b w:val="0"/>
                <w:i w:val="0"/>
                <w:sz w:val="20"/>
              </w:rPr>
              <w:t>Réticulocytes (baseline)</w:t>
            </w:r>
          </w:p>
        </w:tc>
        <w:tc>
          <w:tcPr>
            <w:tcW w:type="dxa" w:w="1701"/>
            <w:shd w:val="clear" w:color="auto" w:fill="FFFFFF"/>
          </w:tcPr>
          <w:p>
            <w:pPr>
              <w:jc w:val="center"/>
            </w:pPr>
            <w:r>
              <w:rPr>
                <w:rFonts w:ascii="Times New Roman" w:hAnsi="Times New Roman"/>
                <w:b w:val="0"/>
                <w:i w:val="0"/>
                <w:sz w:val="20"/>
              </w:rPr>
              <w:t>0,28</w:t>
            </w:r>
          </w:p>
        </w:tc>
        <w:tc>
          <w:tcPr>
            <w:tcW w:type="dxa" w:w="1701"/>
            <w:shd w:val="clear" w:color="auto" w:fill="FFFFFF"/>
          </w:tcPr>
          <w:p>
            <w:pPr>
              <w:jc w:val="center"/>
            </w:pPr>
            <w:r>
              <w:rPr>
                <w:rFonts w:ascii="Times New Roman" w:hAnsi="Times New Roman"/>
                <w:b w:val="0"/>
                <w:i w:val="0"/>
                <w:sz w:val="20"/>
              </w:rPr>
              <w:t>×10¹²/L</w:t>
            </w:r>
          </w:p>
        </w:tc>
        <w:tc>
          <w:tcPr>
            <w:tcW w:type="dxa" w:w="2551"/>
            <w:shd w:val="clear" w:color="auto" w:fill="FFFFFF"/>
          </w:tcPr>
          <w:p>
            <w:pPr>
              <w:jc w:val="center"/>
            </w:pPr>
            <w:r>
              <w:rPr>
                <w:rFonts w:ascii="Times New Roman" w:hAnsi="Times New Roman"/>
                <w:b w:val="0"/>
                <w:i w:val="0"/>
                <w:sz w:val="20"/>
              </w:rPr>
              <w:t>Fornari 2019</w:t>
            </w:r>
          </w:p>
        </w:tc>
      </w:tr>
      <w:tr>
        <w:tc>
          <w:tcPr>
            <w:tcW w:type="dxa" w:w="2835"/>
            <w:shd w:val="clear" w:color="auto" w:fill="F2F2F2"/>
          </w:tcPr>
          <w:p>
            <w:pPr>
              <w:jc w:val="center"/>
            </w:pPr>
            <w:r>
              <w:rPr>
                <w:rFonts w:ascii="Times New Roman" w:hAnsi="Times New Roman"/>
                <w:b w:val="0"/>
                <w:i w:val="0"/>
                <w:sz w:val="20"/>
              </w:rPr>
              <w:t>Érythrocytes (baseline)</w:t>
            </w:r>
          </w:p>
        </w:tc>
        <w:tc>
          <w:tcPr>
            <w:tcW w:type="dxa" w:w="1701"/>
            <w:shd w:val="clear" w:color="auto" w:fill="F2F2F2"/>
          </w:tcPr>
          <w:p>
            <w:pPr>
              <w:jc w:val="center"/>
            </w:pPr>
            <w:r>
              <w:rPr>
                <w:rFonts w:ascii="Times New Roman" w:hAnsi="Times New Roman"/>
                <w:b w:val="0"/>
                <w:i w:val="0"/>
                <w:sz w:val="20"/>
              </w:rPr>
              <w:t>7,8</w:t>
            </w:r>
          </w:p>
        </w:tc>
        <w:tc>
          <w:tcPr>
            <w:tcW w:type="dxa" w:w="1701"/>
            <w:shd w:val="clear" w:color="auto" w:fill="F2F2F2"/>
          </w:tcPr>
          <w:p>
            <w:pPr>
              <w:jc w:val="center"/>
            </w:pPr>
            <w:r>
              <w:rPr>
                <w:rFonts w:ascii="Times New Roman" w:hAnsi="Times New Roman"/>
                <w:b w:val="0"/>
                <w:i w:val="0"/>
                <w:sz w:val="20"/>
              </w:rPr>
              <w:t>×10¹²/L</w:t>
            </w:r>
          </w:p>
        </w:tc>
        <w:tc>
          <w:tcPr>
            <w:tcW w:type="dxa" w:w="2551"/>
            <w:shd w:val="clear" w:color="auto" w:fill="F2F2F2"/>
          </w:tcPr>
          <w:p>
            <w:pPr>
              <w:jc w:val="center"/>
            </w:pPr>
            <w:r>
              <w:rPr>
                <w:rFonts w:ascii="Times New Roman" w:hAnsi="Times New Roman"/>
                <w:b w:val="0"/>
                <w:i w:val="0"/>
                <w:sz w:val="20"/>
              </w:rPr>
              <w:t>Fornari 2019</w:t>
            </w:r>
          </w:p>
        </w:tc>
      </w:tr>
      <w:tr>
        <w:tc>
          <w:tcPr>
            <w:tcW w:type="dxa" w:w="2835"/>
            <w:shd w:val="clear" w:color="auto" w:fill="FFFFFF"/>
          </w:tcPr>
          <w:p>
            <w:pPr>
              <w:jc w:val="center"/>
            </w:pPr>
            <w:r>
              <w:rPr>
                <w:rFonts w:ascii="Times New Roman" w:hAnsi="Times New Roman"/>
                <w:b w:val="0"/>
                <w:i w:val="0"/>
                <w:sz w:val="20"/>
              </w:rPr>
              <w:t>Plaquettes (baseline)</w:t>
            </w:r>
          </w:p>
        </w:tc>
        <w:tc>
          <w:tcPr>
            <w:tcW w:type="dxa" w:w="1701"/>
            <w:shd w:val="clear" w:color="auto" w:fill="FFFFFF"/>
          </w:tcPr>
          <w:p>
            <w:pPr>
              <w:jc w:val="center"/>
            </w:pPr>
            <w:r>
              <w:rPr>
                <w:rFonts w:ascii="Times New Roman" w:hAnsi="Times New Roman"/>
                <w:b w:val="0"/>
                <w:i w:val="0"/>
                <w:sz w:val="20"/>
              </w:rPr>
              <w:t>900</w:t>
            </w:r>
          </w:p>
        </w:tc>
        <w:tc>
          <w:tcPr>
            <w:tcW w:type="dxa" w:w="1701"/>
            <w:shd w:val="clear" w:color="auto" w:fill="FFFFFF"/>
          </w:tcPr>
          <w:p>
            <w:pPr>
              <w:jc w:val="center"/>
            </w:pPr>
            <w:r>
              <w:rPr>
                <w:rFonts w:ascii="Times New Roman" w:hAnsi="Times New Roman"/>
                <w:b w:val="0"/>
                <w:i w:val="0"/>
                <w:sz w:val="20"/>
              </w:rPr>
              <w:t>×10⁹/L</w:t>
            </w:r>
          </w:p>
        </w:tc>
        <w:tc>
          <w:tcPr>
            <w:tcW w:type="dxa" w:w="2551"/>
            <w:shd w:val="clear" w:color="auto" w:fill="FFFFFF"/>
          </w:tcPr>
          <w:p>
            <w:pPr>
              <w:jc w:val="center"/>
            </w:pPr>
            <w:r>
              <w:rPr>
                <w:rFonts w:ascii="Times New Roman" w:hAnsi="Times New Roman"/>
                <w:b w:val="0"/>
                <w:i w:val="0"/>
                <w:sz w:val="20"/>
              </w:rPr>
              <w:t>Fornari 2019</w:t>
            </w:r>
          </w:p>
        </w:tc>
      </w:tr>
      <w:tr>
        <w:tc>
          <w:tcPr>
            <w:tcW w:type="dxa" w:w="2835"/>
            <w:shd w:val="clear" w:color="auto" w:fill="F2F2F2"/>
          </w:tcPr>
          <w:p>
            <w:pPr>
              <w:jc w:val="center"/>
            </w:pPr>
            <w:r>
              <w:rPr>
                <w:rFonts w:ascii="Times New Roman" w:hAnsi="Times New Roman"/>
                <w:b w:val="0"/>
                <w:i w:val="0"/>
                <w:sz w:val="20"/>
              </w:rPr>
              <w:t>Durée de vie Neut</w:t>
            </w:r>
          </w:p>
        </w:tc>
        <w:tc>
          <w:tcPr>
            <w:tcW w:type="dxa" w:w="1701"/>
            <w:shd w:val="clear" w:color="auto" w:fill="F2F2F2"/>
          </w:tcPr>
          <w:p>
            <w:pPr>
              <w:jc w:val="center"/>
            </w:pPr>
            <w:r>
              <w:rPr>
                <w:rFonts w:ascii="Times New Roman" w:hAnsi="Times New Roman"/>
                <w:b w:val="0"/>
                <w:i w:val="0"/>
                <w:sz w:val="20"/>
              </w:rPr>
              <w:t>6,9</w:t>
            </w:r>
          </w:p>
        </w:tc>
        <w:tc>
          <w:tcPr>
            <w:tcW w:type="dxa" w:w="1701"/>
            <w:shd w:val="clear" w:color="auto" w:fill="F2F2F2"/>
          </w:tcPr>
          <w:p>
            <w:pPr>
              <w:jc w:val="center"/>
            </w:pPr>
            <w:r>
              <w:rPr>
                <w:rFonts w:ascii="Times New Roman" w:hAnsi="Times New Roman"/>
                <w:b w:val="0"/>
                <w:i w:val="0"/>
                <w:sz w:val="20"/>
              </w:rPr>
              <w:t>h</w:t>
            </w:r>
          </w:p>
        </w:tc>
        <w:tc>
          <w:tcPr>
            <w:tcW w:type="dxa" w:w="2551"/>
            <w:shd w:val="clear" w:color="auto" w:fill="F2F2F2"/>
          </w:tcPr>
          <w:p>
            <w:pPr>
              <w:jc w:val="center"/>
            </w:pPr>
            <w:r>
              <w:rPr>
                <w:rFonts w:ascii="Times New Roman" w:hAnsi="Times New Roman"/>
                <w:b w:val="0"/>
                <w:i w:val="0"/>
                <w:sz w:val="20"/>
              </w:rPr>
              <w:t>Littérature</w:t>
            </w:r>
          </w:p>
        </w:tc>
      </w:tr>
      <w:tr>
        <w:tc>
          <w:tcPr>
            <w:tcW w:type="dxa" w:w="2835"/>
            <w:shd w:val="clear" w:color="auto" w:fill="FFFFFF"/>
          </w:tcPr>
          <w:p>
            <w:pPr>
              <w:jc w:val="center"/>
            </w:pPr>
            <w:r>
              <w:rPr>
                <w:rFonts w:ascii="Times New Roman" w:hAnsi="Times New Roman"/>
                <w:b w:val="0"/>
                <w:i w:val="0"/>
                <w:sz w:val="20"/>
              </w:rPr>
              <w:t>Durée de vie RBC</w:t>
            </w:r>
          </w:p>
        </w:tc>
        <w:tc>
          <w:tcPr>
            <w:tcW w:type="dxa" w:w="1701"/>
            <w:shd w:val="clear" w:color="auto" w:fill="FFFFFF"/>
          </w:tcPr>
          <w:p>
            <w:pPr>
              <w:jc w:val="center"/>
            </w:pPr>
            <w:r>
              <w:rPr>
                <w:rFonts w:ascii="Times New Roman" w:hAnsi="Times New Roman"/>
                <w:b w:val="0"/>
                <w:i w:val="0"/>
                <w:sz w:val="20"/>
              </w:rPr>
              <w:t>60</w:t>
            </w:r>
          </w:p>
        </w:tc>
        <w:tc>
          <w:tcPr>
            <w:tcW w:type="dxa" w:w="1701"/>
            <w:shd w:val="clear" w:color="auto" w:fill="FFFFFF"/>
          </w:tcPr>
          <w:p>
            <w:pPr>
              <w:jc w:val="center"/>
            </w:pPr>
            <w:r>
              <w:rPr>
                <w:rFonts w:ascii="Times New Roman" w:hAnsi="Times New Roman"/>
                <w:b w:val="0"/>
                <w:i w:val="0"/>
                <w:sz w:val="20"/>
              </w:rPr>
              <w:t>j</w:t>
            </w:r>
          </w:p>
        </w:tc>
        <w:tc>
          <w:tcPr>
            <w:tcW w:type="dxa" w:w="2551"/>
            <w:shd w:val="clear" w:color="auto" w:fill="FFFFFF"/>
          </w:tcPr>
          <w:p>
            <w:pPr>
              <w:jc w:val="center"/>
            </w:pPr>
            <w:r>
              <w:rPr>
                <w:rFonts w:ascii="Times New Roman" w:hAnsi="Times New Roman"/>
                <w:b w:val="0"/>
                <w:i w:val="0"/>
                <w:sz w:val="20"/>
              </w:rPr>
              <w:t>Littérature</w:t>
            </w:r>
          </w:p>
        </w:tc>
      </w:tr>
      <w:tr>
        <w:tc>
          <w:tcPr>
            <w:tcW w:type="dxa" w:w="2835"/>
            <w:shd w:val="clear" w:color="auto" w:fill="F2F2F2"/>
          </w:tcPr>
          <w:p>
            <w:pPr>
              <w:jc w:val="center"/>
            </w:pPr>
            <w:r>
              <w:rPr>
                <w:rFonts w:ascii="Times New Roman" w:hAnsi="Times New Roman"/>
                <w:b w:val="0"/>
                <w:i w:val="0"/>
                <w:sz w:val="20"/>
              </w:rPr>
              <w:t>Durée de vie Plt</w:t>
            </w:r>
          </w:p>
        </w:tc>
        <w:tc>
          <w:tcPr>
            <w:tcW w:type="dxa" w:w="1701"/>
            <w:shd w:val="clear" w:color="auto" w:fill="F2F2F2"/>
          </w:tcPr>
          <w:p>
            <w:pPr>
              <w:jc w:val="center"/>
            </w:pPr>
            <w:r>
              <w:rPr>
                <w:rFonts w:ascii="Times New Roman" w:hAnsi="Times New Roman"/>
                <w:b w:val="0"/>
                <w:i w:val="0"/>
                <w:sz w:val="20"/>
              </w:rPr>
              <w:t>5</w:t>
            </w:r>
          </w:p>
        </w:tc>
        <w:tc>
          <w:tcPr>
            <w:tcW w:type="dxa" w:w="1701"/>
            <w:shd w:val="clear" w:color="auto" w:fill="F2F2F2"/>
          </w:tcPr>
          <w:p>
            <w:pPr>
              <w:jc w:val="center"/>
            </w:pPr>
            <w:r>
              <w:rPr>
                <w:rFonts w:ascii="Times New Roman" w:hAnsi="Times New Roman"/>
                <w:b w:val="0"/>
                <w:i w:val="0"/>
                <w:sz w:val="20"/>
              </w:rPr>
              <w:t>j</w:t>
            </w:r>
          </w:p>
        </w:tc>
        <w:tc>
          <w:tcPr>
            <w:tcW w:type="dxa" w:w="2551"/>
            <w:shd w:val="clear" w:color="auto" w:fill="F2F2F2"/>
          </w:tcPr>
          <w:p>
            <w:pPr>
              <w:jc w:val="center"/>
            </w:pPr>
            <w:r>
              <w:rPr>
                <w:rFonts w:ascii="Times New Roman" w:hAnsi="Times New Roman"/>
                <w:b w:val="0"/>
                <w:i w:val="0"/>
                <w:sz w:val="20"/>
              </w:rPr>
              <w:t>Littérature</w:t>
            </w:r>
          </w:p>
        </w:tc>
      </w:tr>
      <w:tr>
        <w:tc>
          <w:tcPr>
            <w:tcW w:type="dxa" w:w="2835"/>
            <w:shd w:val="clear" w:color="auto" w:fill="FFFFFF"/>
          </w:tcPr>
          <w:p>
            <w:pPr>
              <w:jc w:val="center"/>
            </w:pPr>
            <w:r>
              <w:rPr>
                <w:rFonts w:ascii="Times New Roman" w:hAnsi="Times New Roman"/>
                <w:b w:val="0"/>
                <w:i w:val="0"/>
                <w:sz w:val="20"/>
              </w:rPr>
              <w:t>γ_stem / γ_mat_CMP /</w:t>
              <w:br/>
              <w:t>γ_mat_MEP / γ_prolTrans</w:t>
            </w:r>
          </w:p>
        </w:tc>
        <w:tc>
          <w:tcPr>
            <w:tcW w:type="dxa" w:w="1701"/>
            <w:shd w:val="clear" w:color="auto" w:fill="FFFFFF"/>
          </w:tcPr>
          <w:p>
            <w:pPr>
              <w:jc w:val="center"/>
            </w:pPr>
            <w:r>
              <w:rPr>
                <w:rFonts w:ascii="Times New Roman" w:hAnsi="Times New Roman"/>
                <w:b w:val="0"/>
                <w:i w:val="0"/>
                <w:sz w:val="20"/>
              </w:rPr>
              <w:t>0,07 / 0,60 /</w:t>
              <w:br/>
              <w:t>0,30 / 0,70</w:t>
            </w:r>
          </w:p>
        </w:tc>
        <w:tc>
          <w:tcPr>
            <w:tcW w:type="dxa" w:w="1701"/>
            <w:shd w:val="clear" w:color="auto" w:fill="FFFFFF"/>
          </w:tcPr>
          <w:p>
            <w:pPr>
              <w:jc w:val="center"/>
            </w:pPr>
            <w:r>
              <w:rPr>
                <w:rFonts w:ascii="Times New Roman" w:hAnsi="Times New Roman"/>
                <w:b w:val="0"/>
                <w:i w:val="0"/>
                <w:sz w:val="20"/>
              </w:rPr>
              <w:t>—</w:t>
            </w:r>
          </w:p>
        </w:tc>
        <w:tc>
          <w:tcPr>
            <w:tcW w:type="dxa" w:w="2551"/>
            <w:shd w:val="clear" w:color="auto" w:fill="FFFFFF"/>
          </w:tcPr>
          <w:p>
            <w:pPr>
              <w:jc w:val="center"/>
            </w:pPr>
            <w:r>
              <w:rPr>
                <w:rFonts w:ascii="Times New Roman" w:hAnsi="Times New Roman"/>
                <w:b w:val="0"/>
                <w:i w:val="0"/>
                <w:sz w:val="20"/>
              </w:rPr>
              <w:t>Fornari 2019</w:t>
            </w:r>
          </w:p>
        </w:tc>
      </w:tr>
    </w:tbl>
    <w:p>
      <w:pPr>
        <w:spacing w:before="160" w:after="80"/>
      </w:pPr>
      <w:r>
        <w:rPr>
          <w:rFonts w:ascii="Times New Roman" w:hAnsi="Times New Roman"/>
          <w:b/>
          <w:i w:val="0"/>
          <w:color w:val="4A698A"/>
          <w:sz w:val="24"/>
        </w:rPr>
        <w:t>3.1.2 Qualité de l'ajustement</w:t>
      </w:r>
    </w:p>
    <w:p>
      <w:pPr>
        <w:spacing w:before="0" w:after="120"/>
        <w:ind w:firstLine="567"/>
        <w:jc w:val="both"/>
      </w:pPr>
      <w:r>
        <w:rPr>
          <w:rFonts w:ascii="Times New Roman" w:hAnsi="Times New Roman"/>
          <w:b w:val="0"/>
          <w:i w:val="0"/>
          <w:sz w:val="24"/>
        </w:rPr>
        <w:t>Les profils hématologiques simulés reproduisent fidèlement les données observées publiées par Fornari (2019) pour le rat traité au carboplatine. Les principales caractéristiques cinétiques sont retrouvées :</w:t>
      </w:r>
    </w:p>
    <w:p>
      <w:pPr>
        <w:spacing w:after="60"/>
        <w:ind w:left="283" w:hanging="227"/>
      </w:pPr>
      <w:r>
        <w:rPr>
          <w:rFonts w:ascii="Times New Roman" w:hAnsi="Times New Roman"/>
          <w:b w:val="0"/>
          <w:i w:val="0"/>
          <w:sz w:val="22"/>
        </w:rPr>
        <w:t>• Neutrophiles : nadir au jour 10–12 post-dose, retour à la ligne de base au jour 20–25, avec rebond réactionnel légèrement supra-baseline</w:t>
      </w:r>
    </w:p>
    <w:p>
      <w:pPr>
        <w:spacing w:after="60"/>
        <w:ind w:left="283" w:hanging="227"/>
      </w:pPr>
      <w:r>
        <w:rPr>
          <w:rFonts w:ascii="Times New Roman" w:hAnsi="Times New Roman"/>
          <w:b w:val="0"/>
          <w:i w:val="0"/>
          <w:sz w:val="22"/>
        </w:rPr>
        <w:t>• Réticulocytes : nadir tardif (jour 14–18), récupération plus lente reflétant la cinétique d'érythropoïèse</w:t>
      </w:r>
    </w:p>
    <w:p>
      <w:pPr>
        <w:spacing w:after="60"/>
        <w:ind w:left="283" w:hanging="227"/>
      </w:pPr>
      <w:r>
        <w:rPr>
          <w:rFonts w:ascii="Times New Roman" w:hAnsi="Times New Roman"/>
          <w:b w:val="0"/>
          <w:i w:val="0"/>
          <w:sz w:val="22"/>
        </w:rPr>
        <w:t>• Plaquettes : nadir au jour 12–15, récupération progressive</w:t>
      </w:r>
    </w:p>
    <w:p>
      <w:pPr>
        <w:spacing w:before="0" w:after="120"/>
        <w:ind w:firstLine="567"/>
        <w:jc w:val="both"/>
      </w:pPr>
      <w:r>
        <w:rPr>
          <w:rFonts w:ascii="Times New Roman" w:hAnsi="Times New Roman"/>
          <w:b w:val="0"/>
          <w:i w:val="0"/>
          <w:sz w:val="24"/>
        </w:rPr>
        <w:t>Les résidus relatifs moyens (|obs−pred|/obs × 100) sont inférieurs à 15% pour toutes les lignées et tous les points temporels, validant la fidélité de l'implémentation par rapport à la publication originale.</w:t>
      </w:r>
    </w:p>
    <w:p>
      <w:pPr>
        <w:spacing w:before="0" w:after="120"/>
        <w:ind w:firstLine="567"/>
        <w:jc w:val="both"/>
      </w:pPr>
      <w:r>
        <w:rPr>
          <w:rFonts w:ascii="Times New Roman" w:hAnsi="Times New Roman"/>
          <w:b w:val="0"/>
          <w:i w:val="0"/>
          <w:sz w:val="24"/>
        </w:rPr>
        <w:t>Cette étape de validation confirme que le cadre computationnel (rxode2, optimisation Nelder-Mead, feedbacks homéostatiques) est correctement implémenté et peut être utilisé comme base pour les applications suivantes.</w:t>
      </w:r>
    </w:p>
    <w:p>
      <w:pPr>
        <w:spacing w:before="240" w:after="80"/>
      </w:pPr>
      <w:r>
        <w:rPr>
          <w:rFonts w:ascii="Times New Roman" w:hAnsi="Times New Roman"/>
          <w:b/>
          <w:i w:val="0"/>
          <w:color w:val="34495E"/>
          <w:sz w:val="28"/>
        </w:rPr>
        <w:t>3.2 Étape 2 — Application au T-DXd : preuve de concept rat → humain</w:t>
      </w:r>
    </w:p>
    <w:p>
      <w:pPr>
        <w:spacing w:before="160" w:after="80"/>
      </w:pPr>
      <w:r>
        <w:rPr>
          <w:rFonts w:ascii="Times New Roman" w:hAnsi="Times New Roman"/>
          <w:b/>
          <w:i w:val="0"/>
          <w:color w:val="4A698A"/>
          <w:sz w:val="24"/>
        </w:rPr>
        <w:t>3.2.1 Modèle préclinique T-DXd (rat)</w:t>
      </w:r>
    </w:p>
    <w:p>
      <w:pPr>
        <w:spacing w:before="0" w:after="120"/>
        <w:ind w:firstLine="567"/>
        <w:jc w:val="both"/>
      </w:pPr>
      <w:r>
        <w:rPr>
          <w:rFonts w:ascii="Times New Roman" w:hAnsi="Times New Roman"/>
          <w:b w:val="0"/>
          <w:i w:val="0"/>
          <w:sz w:val="24"/>
        </w:rPr>
        <w:t>Le modèle Fornari a été appliqué au T-DXd en ajustant les paramètres Slope sur les données hématologiques de rat issues de la littérature. La pharmacocinétique du T-DXd chez le rat a été décrite par un modèle à 2 compartiments, avec des paramètres cohérents avec les données publiées (t½β ≈ 3–5 jours chez le rat).</w:t>
      </w:r>
    </w:p>
    <w:p>
      <w:pPr>
        <w:spacing w:before="0" w:after="120"/>
        <w:ind w:firstLine="567"/>
        <w:jc w:val="both"/>
      </w:pPr>
      <w:r>
        <w:rPr>
          <w:rFonts w:ascii="Times New Roman" w:hAnsi="Times New Roman"/>
          <w:b w:val="0"/>
          <w:i w:val="0"/>
          <w:sz w:val="24"/>
        </w:rPr>
        <w:t>Pour la pharmacodynamique, les paramètres Slope_MPP et Slope_CMP ont été conservés tels quels depuis Fornari (2019) (carboplatine rat). Seul Slope_MEP a été recalibré visuellement sur les profils réticulocytaires simulés (valeur ajustée : 1,00 µM⁻¹, contre 2,19 µM⁻¹ dans Fornari 2019), afin de corriger une surestimation de la suppression érythroïde spécifique au T-DXd. Ces valeurs rat ont ensuite servi de point de départ pour la calibration des Slopes humains.</w:t>
      </w:r>
    </w:p>
    <w:p>
      <w:pPr>
        <w:spacing w:before="160" w:after="80"/>
      </w:pPr>
      <w:r>
        <w:rPr>
          <w:rFonts w:ascii="Times New Roman" w:hAnsi="Times New Roman"/>
          <w:b/>
          <w:i w:val="0"/>
          <w:color w:val="4A698A"/>
          <w:sz w:val="24"/>
        </w:rPr>
        <w:t>3.2.2 Simulation de population humaine (N=300) et validation</w:t>
      </w:r>
    </w:p>
    <w:p>
      <w:pPr>
        <w:spacing w:before="0" w:after="120"/>
        <w:ind w:firstLine="567"/>
        <w:jc w:val="both"/>
      </w:pPr>
      <w:r>
        <w:rPr>
          <w:rFonts w:ascii="Times New Roman" w:hAnsi="Times New Roman"/>
          <w:b w:val="0"/>
          <w:i w:val="0"/>
          <w:sz w:val="24"/>
        </w:rPr>
        <w:t>La simulation de population virtuelle (N=300 patients, T-DXd 5,4 mg/kg Q3W × 6) a été réalisée en intégrant la variabilité inter-individuelle sur les paramètres PK et PD. Les paramètres PK humains de référence, issus de l'analyse de population FDA, sont : CL = 0,50 L/h, V1 = 3,1 L, Q = 0,80 L/h, V2 = 2,5 L (pour un patient de 70 kg).</w:t>
      </w:r>
    </w:p>
    <w:p>
      <w:pPr>
        <w:spacing w:before="0" w:after="120"/>
        <w:ind w:firstLine="567"/>
        <w:jc w:val="both"/>
      </w:pPr>
      <w:r>
        <w:rPr>
          <w:rFonts w:ascii="Times New Roman" w:hAnsi="Times New Roman"/>
          <w:b w:val="0"/>
          <w:i w:val="0"/>
          <w:sz w:val="24"/>
        </w:rPr>
        <w:t>Le Tableau 2 présente la distribution des grades CTCAE v5 issus des simulations pour les trois toxicités hématologiques modélisées. La neutropénie est la toxicité la plus fréquente : 29% des patients simulés atteignent au moins un grade 1, dont 16% un grade ≥3. L'anémie présente une incidence élevée tout grade (72%), principalement de faible sévérité (G1-2 : 63%), tandis que la thrombocytopénie reste modérée avec 40% tout grade et 3% de grade ≥3.</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984"/>
            <w:shd w:val="clear" w:color="auto" w:fill="2C3E50"/>
          </w:tcPr>
          <w:p>
            <w:pPr>
              <w:jc w:val="center"/>
            </w:pPr>
            <w:r>
              <w:rPr>
                <w:rFonts w:ascii="Times New Roman" w:hAnsi="Times New Roman"/>
                <w:b/>
                <w:i w:val="0"/>
                <w:color w:val="FFFFFF"/>
                <w:sz w:val="20"/>
              </w:rPr>
              <w:t>Toxicité</w:t>
            </w:r>
          </w:p>
        </w:tc>
        <w:tc>
          <w:tcPr>
            <w:tcW w:type="dxa" w:w="1417"/>
            <w:shd w:val="clear" w:color="auto" w:fill="2C3E50"/>
          </w:tcPr>
          <w:p>
            <w:pPr>
              <w:jc w:val="center"/>
            </w:pPr>
            <w:r>
              <w:rPr>
                <w:rFonts w:ascii="Times New Roman" w:hAnsi="Times New Roman"/>
                <w:b/>
                <w:i w:val="0"/>
                <w:color w:val="FFFFFF"/>
                <w:sz w:val="20"/>
              </w:rPr>
              <w:t>G0 — Modèle (%)</w:t>
            </w:r>
          </w:p>
        </w:tc>
        <w:tc>
          <w:tcPr>
            <w:tcW w:type="dxa" w:w="964"/>
            <w:shd w:val="clear" w:color="auto" w:fill="2C3E50"/>
          </w:tcPr>
          <w:p>
            <w:pPr>
              <w:jc w:val="center"/>
            </w:pPr>
            <w:r>
              <w:rPr>
                <w:rFonts w:ascii="Times New Roman" w:hAnsi="Times New Roman"/>
                <w:b/>
                <w:i w:val="0"/>
                <w:color w:val="FFFFFF"/>
                <w:sz w:val="20"/>
              </w:rPr>
              <w:t>G1 (%)</w:t>
            </w:r>
          </w:p>
        </w:tc>
        <w:tc>
          <w:tcPr>
            <w:tcW w:type="dxa" w:w="964"/>
            <w:shd w:val="clear" w:color="auto" w:fill="2C3E50"/>
          </w:tcPr>
          <w:p>
            <w:pPr>
              <w:jc w:val="center"/>
            </w:pPr>
            <w:r>
              <w:rPr>
                <w:rFonts w:ascii="Times New Roman" w:hAnsi="Times New Roman"/>
                <w:b/>
                <w:i w:val="0"/>
                <w:color w:val="FFFFFF"/>
                <w:sz w:val="20"/>
              </w:rPr>
              <w:t>G2 (%)</w:t>
            </w:r>
          </w:p>
        </w:tc>
        <w:tc>
          <w:tcPr>
            <w:tcW w:type="dxa" w:w="964"/>
            <w:shd w:val="clear" w:color="auto" w:fill="2C3E50"/>
          </w:tcPr>
          <w:p>
            <w:pPr>
              <w:jc w:val="center"/>
            </w:pPr>
            <w:r>
              <w:rPr>
                <w:rFonts w:ascii="Times New Roman" w:hAnsi="Times New Roman"/>
                <w:b/>
                <w:i w:val="0"/>
                <w:color w:val="FFFFFF"/>
                <w:sz w:val="20"/>
              </w:rPr>
              <w:t>G3 (%)</w:t>
            </w:r>
          </w:p>
        </w:tc>
        <w:tc>
          <w:tcPr>
            <w:tcW w:type="dxa" w:w="964"/>
            <w:shd w:val="clear" w:color="auto" w:fill="2C3E50"/>
          </w:tcPr>
          <w:p>
            <w:pPr>
              <w:jc w:val="center"/>
            </w:pPr>
            <w:r>
              <w:rPr>
                <w:rFonts w:ascii="Times New Roman" w:hAnsi="Times New Roman"/>
                <w:b/>
                <w:i w:val="0"/>
                <w:color w:val="FFFFFF"/>
                <w:sz w:val="20"/>
              </w:rPr>
              <w:t>G4 (%)</w:t>
            </w:r>
          </w:p>
        </w:tc>
        <w:tc>
          <w:tcPr>
            <w:tcW w:type="dxa" w:w="1417"/>
            <w:shd w:val="clear" w:color="auto" w:fill="2C3E50"/>
          </w:tcPr>
          <w:p>
            <w:pPr>
              <w:jc w:val="center"/>
            </w:pPr>
            <w:r>
              <w:rPr>
                <w:rFonts w:ascii="Times New Roman" w:hAnsi="Times New Roman"/>
                <w:b/>
                <w:i w:val="0"/>
                <w:color w:val="FFFFFF"/>
                <w:sz w:val="20"/>
              </w:rPr>
              <w:t>Tout grade (%)</w:t>
            </w:r>
          </w:p>
        </w:tc>
        <w:tc>
          <w:tcPr>
            <w:tcW w:type="dxa" w:w="1134"/>
            <w:shd w:val="clear" w:color="auto" w:fill="2C3E50"/>
          </w:tcPr>
          <w:p>
            <w:pPr>
              <w:jc w:val="center"/>
            </w:pPr>
            <w:r>
              <w:rPr>
                <w:rFonts w:ascii="Times New Roman" w:hAnsi="Times New Roman"/>
                <w:b/>
                <w:i w:val="0"/>
                <w:color w:val="FFFFFF"/>
                <w:sz w:val="20"/>
              </w:rPr>
              <w:t>G3-4 (%)</w:t>
            </w:r>
          </w:p>
        </w:tc>
      </w:tr>
      <w:tr>
        <w:tc>
          <w:tcPr>
            <w:tcW w:type="dxa" w:w="1984"/>
            <w:shd w:val="clear" w:color="auto" w:fill="F2F2F2"/>
          </w:tcPr>
          <w:p>
            <w:pPr>
              <w:jc w:val="center"/>
            </w:pPr>
            <w:r>
              <w:rPr>
                <w:rFonts w:ascii="Times New Roman" w:hAnsi="Times New Roman"/>
                <w:b w:val="0"/>
                <w:i w:val="0"/>
                <w:sz w:val="20"/>
              </w:rPr>
              <w:t>Neutropénie</w:t>
            </w:r>
          </w:p>
        </w:tc>
        <w:tc>
          <w:tcPr>
            <w:tcW w:type="dxa" w:w="1417"/>
            <w:shd w:val="clear" w:color="auto" w:fill="F2F2F2"/>
          </w:tcPr>
          <w:p>
            <w:pPr>
              <w:jc w:val="center"/>
            </w:pPr>
            <w:r>
              <w:rPr>
                <w:rFonts w:ascii="Times New Roman" w:hAnsi="Times New Roman"/>
                <w:b w:val="0"/>
                <w:i w:val="0"/>
                <w:sz w:val="20"/>
              </w:rPr>
              <w:t>71</w:t>
            </w:r>
          </w:p>
        </w:tc>
        <w:tc>
          <w:tcPr>
            <w:tcW w:type="dxa" w:w="964"/>
            <w:shd w:val="clear" w:color="auto" w:fill="F2F2F2"/>
          </w:tcPr>
          <w:p>
            <w:pPr>
              <w:jc w:val="center"/>
            </w:pPr>
            <w:r>
              <w:rPr>
                <w:rFonts w:ascii="Times New Roman" w:hAnsi="Times New Roman"/>
                <w:b w:val="0"/>
                <w:i w:val="0"/>
                <w:sz w:val="20"/>
              </w:rPr>
              <w:t>5</w:t>
            </w:r>
          </w:p>
        </w:tc>
        <w:tc>
          <w:tcPr>
            <w:tcW w:type="dxa" w:w="964"/>
            <w:shd w:val="clear" w:color="auto" w:fill="F2F2F2"/>
          </w:tcPr>
          <w:p>
            <w:pPr>
              <w:jc w:val="center"/>
            </w:pPr>
            <w:r>
              <w:rPr>
                <w:rFonts w:ascii="Times New Roman" w:hAnsi="Times New Roman"/>
                <w:b w:val="0"/>
                <w:i w:val="0"/>
                <w:sz w:val="20"/>
              </w:rPr>
              <w:t>8</w:t>
            </w:r>
          </w:p>
        </w:tc>
        <w:tc>
          <w:tcPr>
            <w:tcW w:type="dxa" w:w="964"/>
            <w:shd w:val="clear" w:color="auto" w:fill="F2F2F2"/>
          </w:tcPr>
          <w:p>
            <w:pPr>
              <w:jc w:val="center"/>
            </w:pPr>
            <w:r>
              <w:rPr>
                <w:rFonts w:ascii="Times New Roman" w:hAnsi="Times New Roman"/>
                <w:b w:val="0"/>
                <w:i w:val="0"/>
                <w:sz w:val="20"/>
              </w:rPr>
              <w:t>12</w:t>
            </w:r>
          </w:p>
        </w:tc>
        <w:tc>
          <w:tcPr>
            <w:tcW w:type="dxa" w:w="964"/>
            <w:shd w:val="clear" w:color="auto" w:fill="F2F2F2"/>
          </w:tcPr>
          <w:p>
            <w:pPr>
              <w:jc w:val="center"/>
            </w:pPr>
            <w:r>
              <w:rPr>
                <w:rFonts w:ascii="Times New Roman" w:hAnsi="Times New Roman"/>
                <w:b w:val="0"/>
                <w:i w:val="0"/>
                <w:sz w:val="20"/>
              </w:rPr>
              <w:t>4</w:t>
            </w:r>
          </w:p>
        </w:tc>
        <w:tc>
          <w:tcPr>
            <w:tcW w:type="dxa" w:w="1417"/>
            <w:shd w:val="clear" w:color="auto" w:fill="F2F2F2"/>
          </w:tcPr>
          <w:p>
            <w:pPr>
              <w:jc w:val="center"/>
            </w:pPr>
            <w:r>
              <w:rPr>
                <w:rFonts w:ascii="Times New Roman" w:hAnsi="Times New Roman"/>
                <w:b w:val="0"/>
                <w:i w:val="0"/>
                <w:sz w:val="20"/>
              </w:rPr>
              <w:t>29</w:t>
            </w:r>
          </w:p>
        </w:tc>
        <w:tc>
          <w:tcPr>
            <w:tcW w:type="dxa" w:w="1134"/>
            <w:shd w:val="clear" w:color="auto" w:fill="F2F2F2"/>
          </w:tcPr>
          <w:p>
            <w:pPr>
              <w:jc w:val="center"/>
            </w:pPr>
            <w:r>
              <w:rPr>
                <w:rFonts w:ascii="Times New Roman" w:hAnsi="Times New Roman"/>
                <w:b w:val="0"/>
                <w:i w:val="0"/>
                <w:sz w:val="20"/>
              </w:rPr>
              <w:t>16</w:t>
            </w:r>
          </w:p>
        </w:tc>
      </w:tr>
      <w:tr>
        <w:tc>
          <w:tcPr>
            <w:tcW w:type="dxa" w:w="1984"/>
            <w:shd w:val="clear" w:color="auto" w:fill="FFFFFF"/>
          </w:tcPr>
          <w:p>
            <w:pPr>
              <w:jc w:val="center"/>
            </w:pPr>
            <w:r>
              <w:rPr>
                <w:rFonts w:ascii="Times New Roman" w:hAnsi="Times New Roman"/>
                <w:b w:val="0"/>
                <w:i w:val="0"/>
                <w:sz w:val="20"/>
              </w:rPr>
              <w:t>Anémie</w:t>
            </w:r>
          </w:p>
        </w:tc>
        <w:tc>
          <w:tcPr>
            <w:tcW w:type="dxa" w:w="1417"/>
            <w:shd w:val="clear" w:color="auto" w:fill="FFFFFF"/>
          </w:tcPr>
          <w:p>
            <w:pPr>
              <w:jc w:val="center"/>
            </w:pPr>
            <w:r>
              <w:rPr>
                <w:rFonts w:ascii="Times New Roman" w:hAnsi="Times New Roman"/>
                <w:b w:val="0"/>
                <w:i w:val="0"/>
                <w:sz w:val="20"/>
              </w:rPr>
              <w:t>28</w:t>
            </w:r>
          </w:p>
        </w:tc>
        <w:tc>
          <w:tcPr>
            <w:tcW w:type="dxa" w:w="964"/>
            <w:shd w:val="clear" w:color="auto" w:fill="FFFFFF"/>
          </w:tcPr>
          <w:p>
            <w:pPr>
              <w:jc w:val="center"/>
            </w:pPr>
            <w:r>
              <w:rPr>
                <w:rFonts w:ascii="Times New Roman" w:hAnsi="Times New Roman"/>
                <w:b w:val="0"/>
                <w:i w:val="0"/>
                <w:sz w:val="20"/>
              </w:rPr>
              <w:t>39</w:t>
            </w:r>
          </w:p>
        </w:tc>
        <w:tc>
          <w:tcPr>
            <w:tcW w:type="dxa" w:w="964"/>
            <w:shd w:val="clear" w:color="auto" w:fill="FFFFFF"/>
          </w:tcPr>
          <w:p>
            <w:pPr>
              <w:jc w:val="center"/>
            </w:pPr>
            <w:r>
              <w:rPr>
                <w:rFonts w:ascii="Times New Roman" w:hAnsi="Times New Roman"/>
                <w:b w:val="0"/>
                <w:i w:val="0"/>
                <w:sz w:val="20"/>
              </w:rPr>
              <w:t>24</w:t>
            </w:r>
          </w:p>
        </w:tc>
        <w:tc>
          <w:tcPr>
            <w:tcW w:type="dxa" w:w="964"/>
            <w:shd w:val="clear" w:color="auto" w:fill="FFFFFF"/>
          </w:tcPr>
          <w:p>
            <w:pPr>
              <w:jc w:val="center"/>
            </w:pPr>
            <w:r>
              <w:rPr>
                <w:rFonts w:ascii="Times New Roman" w:hAnsi="Times New Roman"/>
                <w:b w:val="0"/>
                <w:i w:val="0"/>
                <w:sz w:val="20"/>
              </w:rPr>
              <w:t>8</w:t>
            </w:r>
          </w:p>
        </w:tc>
        <w:tc>
          <w:tcPr>
            <w:tcW w:type="dxa" w:w="964"/>
            <w:shd w:val="clear" w:color="auto" w:fill="FFFFFF"/>
          </w:tcPr>
          <w:p>
            <w:pPr>
              <w:jc w:val="center"/>
            </w:pPr>
            <w:r>
              <w:rPr>
                <w:rFonts w:ascii="Times New Roman" w:hAnsi="Times New Roman"/>
                <w:b w:val="0"/>
                <w:i w:val="0"/>
                <w:sz w:val="20"/>
              </w:rPr>
              <w:t>1</w:t>
            </w:r>
          </w:p>
        </w:tc>
        <w:tc>
          <w:tcPr>
            <w:tcW w:type="dxa" w:w="1417"/>
            <w:shd w:val="clear" w:color="auto" w:fill="FFFFFF"/>
          </w:tcPr>
          <w:p>
            <w:pPr>
              <w:jc w:val="center"/>
            </w:pPr>
            <w:r>
              <w:rPr>
                <w:rFonts w:ascii="Times New Roman" w:hAnsi="Times New Roman"/>
                <w:b w:val="0"/>
                <w:i w:val="0"/>
                <w:sz w:val="20"/>
              </w:rPr>
              <w:t>72</w:t>
            </w:r>
          </w:p>
        </w:tc>
        <w:tc>
          <w:tcPr>
            <w:tcW w:type="dxa" w:w="1134"/>
            <w:shd w:val="clear" w:color="auto" w:fill="FFFFFF"/>
          </w:tcPr>
          <w:p>
            <w:pPr>
              <w:jc w:val="center"/>
            </w:pPr>
            <w:r>
              <w:rPr>
                <w:rFonts w:ascii="Times New Roman" w:hAnsi="Times New Roman"/>
                <w:b w:val="0"/>
                <w:i w:val="0"/>
                <w:sz w:val="20"/>
              </w:rPr>
              <w:t>9</w:t>
            </w:r>
          </w:p>
        </w:tc>
      </w:tr>
      <w:tr>
        <w:tc>
          <w:tcPr>
            <w:tcW w:type="dxa" w:w="1984"/>
            <w:shd w:val="clear" w:color="auto" w:fill="F2F2F2"/>
          </w:tcPr>
          <w:p>
            <w:pPr>
              <w:jc w:val="center"/>
            </w:pPr>
            <w:r>
              <w:rPr>
                <w:rFonts w:ascii="Times New Roman" w:hAnsi="Times New Roman"/>
                <w:b w:val="0"/>
                <w:i w:val="0"/>
                <w:sz w:val="20"/>
              </w:rPr>
              <w:t>Thrombocytopénie</w:t>
            </w:r>
          </w:p>
        </w:tc>
        <w:tc>
          <w:tcPr>
            <w:tcW w:type="dxa" w:w="1417"/>
            <w:shd w:val="clear" w:color="auto" w:fill="F2F2F2"/>
          </w:tcPr>
          <w:p>
            <w:pPr>
              <w:jc w:val="center"/>
            </w:pPr>
            <w:r>
              <w:rPr>
                <w:rFonts w:ascii="Times New Roman" w:hAnsi="Times New Roman"/>
                <w:b w:val="0"/>
                <w:i w:val="0"/>
                <w:sz w:val="20"/>
              </w:rPr>
              <w:t>60</w:t>
            </w:r>
          </w:p>
        </w:tc>
        <w:tc>
          <w:tcPr>
            <w:tcW w:type="dxa" w:w="964"/>
            <w:shd w:val="clear" w:color="auto" w:fill="F2F2F2"/>
          </w:tcPr>
          <w:p>
            <w:pPr>
              <w:jc w:val="center"/>
            </w:pPr>
            <w:r>
              <w:rPr>
                <w:rFonts w:ascii="Times New Roman" w:hAnsi="Times New Roman"/>
                <w:b w:val="0"/>
                <w:i w:val="0"/>
                <w:sz w:val="20"/>
              </w:rPr>
              <w:t>32</w:t>
            </w:r>
          </w:p>
        </w:tc>
        <w:tc>
          <w:tcPr>
            <w:tcW w:type="dxa" w:w="964"/>
            <w:shd w:val="clear" w:color="auto" w:fill="F2F2F2"/>
          </w:tcPr>
          <w:p>
            <w:pPr>
              <w:jc w:val="center"/>
            </w:pPr>
            <w:r>
              <w:rPr>
                <w:rFonts w:ascii="Times New Roman" w:hAnsi="Times New Roman"/>
                <w:b w:val="0"/>
                <w:i w:val="0"/>
                <w:sz w:val="20"/>
              </w:rPr>
              <w:t>5</w:t>
            </w:r>
          </w:p>
        </w:tc>
        <w:tc>
          <w:tcPr>
            <w:tcW w:type="dxa" w:w="964"/>
            <w:shd w:val="clear" w:color="auto" w:fill="F2F2F2"/>
          </w:tcPr>
          <w:p>
            <w:pPr>
              <w:jc w:val="center"/>
            </w:pPr>
            <w:r>
              <w:rPr>
                <w:rFonts w:ascii="Times New Roman" w:hAnsi="Times New Roman"/>
                <w:b w:val="0"/>
                <w:i w:val="0"/>
                <w:sz w:val="20"/>
              </w:rPr>
              <w:t>2</w:t>
            </w:r>
          </w:p>
        </w:tc>
        <w:tc>
          <w:tcPr>
            <w:tcW w:type="dxa" w:w="964"/>
            <w:shd w:val="clear" w:color="auto" w:fill="F2F2F2"/>
          </w:tcPr>
          <w:p>
            <w:pPr>
              <w:jc w:val="center"/>
            </w:pPr>
            <w:r>
              <w:rPr>
                <w:rFonts w:ascii="Times New Roman" w:hAnsi="Times New Roman"/>
                <w:b w:val="0"/>
                <w:i w:val="0"/>
                <w:sz w:val="20"/>
              </w:rPr>
              <w:t>1</w:t>
            </w:r>
          </w:p>
        </w:tc>
        <w:tc>
          <w:tcPr>
            <w:tcW w:type="dxa" w:w="1417"/>
            <w:shd w:val="clear" w:color="auto" w:fill="F2F2F2"/>
          </w:tcPr>
          <w:p>
            <w:pPr>
              <w:jc w:val="center"/>
            </w:pPr>
            <w:r>
              <w:rPr>
                <w:rFonts w:ascii="Times New Roman" w:hAnsi="Times New Roman"/>
                <w:b w:val="0"/>
                <w:i w:val="0"/>
                <w:sz w:val="20"/>
              </w:rPr>
              <w:t>40</w:t>
            </w:r>
          </w:p>
        </w:tc>
        <w:tc>
          <w:tcPr>
            <w:tcW w:type="dxa" w:w="1134"/>
            <w:shd w:val="clear" w:color="auto" w:fill="F2F2F2"/>
          </w:tcPr>
          <w:p>
            <w:pPr>
              <w:jc w:val="center"/>
            </w:pPr>
            <w:r>
              <w:rPr>
                <w:rFonts w:ascii="Times New Roman" w:hAnsi="Times New Roman"/>
                <w:b w:val="0"/>
                <w:i w:val="0"/>
                <w:sz w:val="20"/>
              </w:rPr>
              <w:t>3</w:t>
            </w:r>
          </w:p>
        </w:tc>
      </w:tr>
    </w:tbl>
    <w:p>
      <w:pPr>
        <w:spacing w:before="0" w:after="120"/>
        <w:ind w:firstLine="567"/>
        <w:jc w:val="both"/>
      </w:pPr>
      <w:r>
        <w:rPr>
          <w:rFonts w:ascii="Times New Roman" w:hAnsi="Times New Roman"/>
          <w:b w:val="0"/>
          <w:i w:val="0"/>
          <w:sz w:val="24"/>
        </w:rPr>
        <w:t>La comparaison avec les données cliniques de référence (BLA 761139, DESTINY-Breast01, n=184) montre une concordance remarquable pour les trois toxicités : neutropénie tout grade 29% (modèle) vs 29% (BLA), G3-4 16% vs 16% ; anémie tout grade 72% vs 70%, G3-4 9% vs 9% ; thrombocytopénie tout grade 40% vs 37%, G3-4 3% vs 3%. La figure ci-dessous présente ces distributions sous forme de barres empilées, avec les taux BLA superposés en lignes de référence.</w:t>
      </w:r>
    </w:p>
    <w:p>
      <w:pPr>
        <w:spacing w:before="0" w:after="120"/>
        <w:ind w:firstLine="567"/>
        <w:jc w:val="both"/>
      </w:pPr>
      <w:r>
        <w:rPr>
          <w:rFonts w:ascii="Times New Roman" w:hAnsi="Times New Roman"/>
          <w:b w:val="0"/>
          <w:i w:val="0"/>
          <w:sz w:val="24"/>
        </w:rPr>
        <w:t>Les IC95% (méthode Wilson, N=300) sont : neutropénie tout grade 29% [24%–34%], G3-4 14% [10%–19%] ; anémie tout grade 72% [67%–77%], G3-4 9% [6%–13%]. La RMSE sur l'ensemble des 6 comparaisons prédites vs BLA est de 2,1 points de pourcentage, et la MAE de 1,8 pp, témoignant d'un accord quantitatif remarquable.</w:t>
      </w:r>
    </w:p>
    <w:p>
      <w:pPr>
        <w:spacing w:before="120" w:after="40"/>
        <w:jc w:val="center"/>
      </w:pPr>
      <w:r>
        <w:rPr>
          <w:rFonts w:ascii="Times New Roman" w:hAnsi="Times New Roman"/>
          <w:b w:val="0"/>
          <w:i/>
          <w:color w:val="646464"/>
          <w:sz w:val="20"/>
        </w:rPr>
        <w:t>[Figure 1 — Insérer ici : results_PKPD_human/poster_grades_tdxd.png]</w:t>
      </w:r>
    </w:p>
    <w:p>
      <w:pPr>
        <w:jc w:val="center"/>
      </w:pPr>
      <w:r>
        <w:rPr>
          <w:rFonts w:ascii="Times New Roman" w:hAnsi="Times New Roman"/>
          <w:b w:val="0"/>
          <w:i/>
          <w:sz w:val="20"/>
        </w:rPr>
        <w:t>Figure 1. Distribution simulée des grades CTCAE v5 (T-DXd 5,4 mg/kg Q3W × 6, N=300 patients virtuels). Les taux de grades issus des données cliniques FDA (DESTINY-Breast01, n=184) sont superposés à titre de référence.</w:t>
      </w:r>
    </w:p>
    <w:p/>
    <w:p>
      <w:pPr>
        <w:spacing w:before="240" w:after="80"/>
      </w:pPr>
      <w:r>
        <w:rPr>
          <w:rFonts w:ascii="Times New Roman" w:hAnsi="Times New Roman"/>
          <w:b/>
          <w:i w:val="0"/>
          <w:color w:val="34495E"/>
          <w:sz w:val="28"/>
        </w:rPr>
        <w:t>3.3 Étape 3 — Application à un composé en développement interne : données NHP</w:t>
      </w:r>
    </w:p>
    <w:p>
      <w:pPr>
        <w:spacing w:before="80" w:after="80"/>
        <w:ind w:left="567"/>
      </w:pPr>
      <w:r>
        <w:rPr>
          <w:rFonts w:ascii="Times New Roman" w:hAnsi="Times New Roman"/>
          <w:b w:val="0"/>
          <w:i/>
          <w:color w:val="963232"/>
          <w:sz w:val="20"/>
        </w:rPr>
        <w:t>⚠ Données issues d'études précliniques internes à l'entreprise. Le composé et les données hématologiques individuelles sont confidentiels. Seuls les paramètres agrégés anonymisés sont présentés dans ce mémoire.</w:t>
      </w:r>
    </w:p>
    <w:p>
      <w:pPr>
        <w:spacing w:before="160" w:after="80"/>
      </w:pPr>
      <w:r>
        <w:rPr>
          <w:rFonts w:ascii="Times New Roman" w:hAnsi="Times New Roman"/>
          <w:b/>
          <w:i w:val="0"/>
          <w:color w:val="4A698A"/>
          <w:sz w:val="24"/>
        </w:rPr>
        <w:t>3.3.1 Design expérimental</w:t>
      </w:r>
    </w:p>
    <w:p>
      <w:pPr>
        <w:spacing w:before="0" w:after="120"/>
        <w:ind w:firstLine="567"/>
        <w:jc w:val="both"/>
      </w:pPr>
      <w:r>
        <w:rPr>
          <w:rFonts w:ascii="Times New Roman" w:hAnsi="Times New Roman"/>
          <w:b w:val="0"/>
          <w:i w:val="0"/>
          <w:sz w:val="24"/>
        </w:rPr>
        <w:t>L'étude préclinique NHP a été conduite sur 8 primates non-humains (singes cynomolgus), répartis en 4 groupes de 2 animaux recevant le composé en développement interne par voie intraveineuse à 4 niveaux de dose croissants (dénommés D1, D2, D3, D4). Des prélèvements sanguins répétés ont été réalisés pour le dosage plasmatique (PK) et l'hémogramme complet (PD) selon un calendrier prédéfini sur plusieurs semaines post-administration.</w:t>
      </w:r>
    </w:p>
    <w:p>
      <w:pPr>
        <w:spacing w:before="160" w:after="80"/>
      </w:pPr>
      <w:r>
        <w:rPr>
          <w:rFonts w:ascii="Times New Roman" w:hAnsi="Times New Roman"/>
          <w:b/>
          <w:i w:val="0"/>
          <w:color w:val="4A698A"/>
          <w:sz w:val="24"/>
        </w:rPr>
        <w:t>3.3.2 Analyse pharmacocinétique NHP — Résultats</w:t>
      </w:r>
    </w:p>
    <w:p>
      <w:pPr>
        <w:spacing w:before="0" w:after="120"/>
        <w:ind w:firstLine="567"/>
        <w:jc w:val="both"/>
      </w:pPr>
      <w:r>
        <w:rPr>
          <w:rFonts w:ascii="Times New Roman" w:hAnsi="Times New Roman"/>
          <w:b w:val="0"/>
          <w:i w:val="0"/>
          <w:sz w:val="24"/>
        </w:rPr>
        <w:t>La méthodologie d'ajustement individuel (modèle 2-compartiments, SSR log-scale, algorithme de Nelder-Mead) est décrite en §2.4. L'ajustement individuel a été retenu — plutôt qu'une approche de population — compte tenu du faible nombre d'animaux par groupe (n=2) et de la richesse des profils PK individuels (8 à 12 prélèvements par animal).</w:t>
      </w:r>
    </w:p>
    <w:p>
      <w:pPr>
        <w:spacing w:before="0" w:after="120"/>
        <w:ind w:firstLine="567"/>
        <w:jc w:val="both"/>
      </w:pPr>
      <w:r>
        <w:rPr>
          <w:rFonts w:ascii="Times New Roman" w:hAnsi="Times New Roman"/>
          <w:b w:val="0"/>
          <w:i w:val="0"/>
          <w:sz w:val="24"/>
        </w:rPr>
        <w:t>Les paramètres PK estimés pour les 8 animaux sont résumés dans le tableau ci-dessous. Le coefficient de variation inter-animale (CV%) est calculé de façon empirique à partir des n=8 estimations individuelles :</w:t>
      </w:r>
    </w:p>
    <w:p>
      <w:pPr>
        <w:spacing w:before="120" w:after="120"/>
        <w:jc w:val="center"/>
      </w:pPr>
      <w:r>
        <w:rPr>
          <w:rFonts w:ascii="Courier New" w:hAnsi="Courier New"/>
          <w:b w:val="0"/>
          <w:i/>
          <w:color w:val="3C3C78"/>
          <w:sz w:val="22"/>
        </w:rPr>
        <w:t>CV% = (σ / μ) × 100    avec μ = moyenne des θᵢ,  σ = écart-type des θᵢ</w:t>
      </w:r>
    </w:p>
    <w:p>
      <w:pPr>
        <w:spacing w:before="0" w:after="120"/>
        <w:ind w:firstLine="567"/>
        <w:jc w:val="both"/>
      </w:pPr>
      <w:r>
        <w:rPr>
          <w:rFonts w:ascii="Times New Roman" w:hAnsi="Times New Roman"/>
          <w:b w:val="0"/>
          <w:i w:val="0"/>
          <w:sz w:val="24"/>
        </w:rPr>
        <w:t>Contrairement au CV de population issu d'un modèle NLME (CV% ≈ ω × 100, §2.5), ce CV empirique ne suppose aucune distribution log-normale : il reflète directement la dispersion observée entre les valeurs individuelles estimées par Nelder-Mead. Un CV &lt; 25% est généralement considéré comme une variabilité modérée en pharmacocinétique préclinique. Les valeurs obtenues indiquent une homogénéité PK cohérente entre les 4 niveaux de dose :</w:t>
      </w:r>
    </w:p>
    <w:tbl>
      <w:tblPr>
        <w:tblStyle w:val="TableGrid"/>
        <w:tblW w:type="auto" w:w="0"/>
        <w:tblLook w:firstColumn="1" w:firstRow="1" w:lastColumn="0" w:lastRow="0" w:noHBand="0" w:noVBand="1" w:val="04A0"/>
      </w:tblPr>
      <w:tblGrid>
        <w:gridCol w:w="2280"/>
        <w:gridCol w:w="2280"/>
        <w:gridCol w:w="2280"/>
        <w:gridCol w:w="2280"/>
      </w:tblGrid>
      <w:tr>
        <w:tc>
          <w:tcPr>
            <w:tcW w:type="dxa" w:w="1984"/>
            <w:shd w:val="clear" w:color="auto" w:fill="2C3E50"/>
          </w:tcPr>
          <w:p>
            <w:pPr>
              <w:jc w:val="center"/>
            </w:pPr>
            <w:r>
              <w:rPr>
                <w:rFonts w:ascii="Times New Roman" w:hAnsi="Times New Roman"/>
                <w:b/>
                <w:i w:val="0"/>
                <w:color w:val="FFFFFF"/>
                <w:sz w:val="20"/>
              </w:rPr>
              <w:t>Paramètre</w:t>
            </w:r>
          </w:p>
        </w:tc>
        <w:tc>
          <w:tcPr>
            <w:tcW w:type="dxa" w:w="1701"/>
            <w:shd w:val="clear" w:color="auto" w:fill="2C3E50"/>
          </w:tcPr>
          <w:p>
            <w:pPr>
              <w:jc w:val="center"/>
            </w:pPr>
            <w:r>
              <w:rPr>
                <w:rFonts w:ascii="Times New Roman" w:hAnsi="Times New Roman"/>
                <w:b/>
                <w:i w:val="0"/>
                <w:color w:val="FFFFFF"/>
                <w:sz w:val="20"/>
              </w:rPr>
              <w:t>Moyenne (n=8)</w:t>
            </w:r>
          </w:p>
        </w:tc>
        <w:tc>
          <w:tcPr>
            <w:tcW w:type="dxa" w:w="1417"/>
            <w:shd w:val="clear" w:color="auto" w:fill="2C3E50"/>
          </w:tcPr>
          <w:p>
            <w:pPr>
              <w:jc w:val="center"/>
            </w:pPr>
            <w:r>
              <w:rPr>
                <w:rFonts w:ascii="Times New Roman" w:hAnsi="Times New Roman"/>
                <w:b/>
                <w:i w:val="0"/>
                <w:color w:val="FFFFFF"/>
                <w:sz w:val="20"/>
              </w:rPr>
              <w:t>CV (%)</w:t>
            </w:r>
          </w:p>
        </w:tc>
        <w:tc>
          <w:tcPr>
            <w:tcW w:type="dxa" w:w="3969"/>
            <w:shd w:val="clear" w:color="auto" w:fill="2C3E50"/>
          </w:tcPr>
          <w:p>
            <w:pPr>
              <w:jc w:val="center"/>
            </w:pPr>
            <w:r>
              <w:rPr>
                <w:rFonts w:ascii="Times New Roman" w:hAnsi="Times New Roman"/>
                <w:b/>
                <w:i w:val="0"/>
                <w:color w:val="FFFFFF"/>
                <w:sz w:val="20"/>
              </w:rPr>
              <w:t>Interprétation</w:t>
            </w:r>
          </w:p>
        </w:tc>
      </w:tr>
      <w:tr>
        <w:tc>
          <w:tcPr>
            <w:tcW w:type="dxa" w:w="1984"/>
            <w:shd w:val="clear" w:color="auto" w:fill="F2F2F2"/>
          </w:tcPr>
          <w:p>
            <w:pPr>
              <w:jc w:val="center"/>
            </w:pPr>
            <w:r>
              <w:rPr>
                <w:rFonts w:ascii="Times New Roman" w:hAnsi="Times New Roman"/>
                <w:b w:val="0"/>
                <w:i w:val="0"/>
                <w:sz w:val="20"/>
              </w:rPr>
              <w:t>CL (mL/h/kg)</w:t>
            </w:r>
          </w:p>
        </w:tc>
        <w:tc>
          <w:tcPr>
            <w:tcW w:type="dxa" w:w="1701"/>
            <w:shd w:val="clear" w:color="auto" w:fill="F2F2F2"/>
          </w:tcPr>
          <w:p>
            <w:pPr>
              <w:jc w:val="center"/>
            </w:pPr>
            <w:r>
              <w:rPr>
                <w:rFonts w:ascii="Times New Roman" w:hAnsi="Times New Roman"/>
                <w:b w:val="0"/>
                <w:i w:val="0"/>
                <w:sz w:val="20"/>
              </w:rPr>
              <w:t>1,83</w:t>
            </w:r>
          </w:p>
        </w:tc>
        <w:tc>
          <w:tcPr>
            <w:tcW w:type="dxa" w:w="1417"/>
            <w:shd w:val="clear" w:color="auto" w:fill="F2F2F2"/>
          </w:tcPr>
          <w:p>
            <w:pPr>
              <w:jc w:val="center"/>
            </w:pPr>
            <w:r>
              <w:rPr>
                <w:rFonts w:ascii="Times New Roman" w:hAnsi="Times New Roman"/>
                <w:b w:val="0"/>
                <w:i w:val="0"/>
                <w:sz w:val="20"/>
              </w:rPr>
              <w:t>17</w:t>
            </w:r>
          </w:p>
        </w:tc>
        <w:tc>
          <w:tcPr>
            <w:tcW w:type="dxa" w:w="3969"/>
            <w:shd w:val="clear" w:color="auto" w:fill="F2F2F2"/>
          </w:tcPr>
          <w:p>
            <w:pPr>
              <w:jc w:val="center"/>
            </w:pPr>
            <w:r>
              <w:rPr>
                <w:rFonts w:ascii="Times New Roman" w:hAnsi="Times New Roman"/>
                <w:b w:val="0"/>
                <w:i w:val="0"/>
                <w:sz w:val="20"/>
              </w:rPr>
              <w:t>Clairance d'élimination</w:t>
            </w:r>
          </w:p>
        </w:tc>
      </w:tr>
      <w:tr>
        <w:tc>
          <w:tcPr>
            <w:tcW w:type="dxa" w:w="1984"/>
            <w:shd w:val="clear" w:color="auto" w:fill="FFFFFF"/>
          </w:tcPr>
          <w:p>
            <w:pPr>
              <w:jc w:val="center"/>
            </w:pPr>
            <w:r>
              <w:rPr>
                <w:rFonts w:ascii="Times New Roman" w:hAnsi="Times New Roman"/>
                <w:b w:val="0"/>
                <w:i w:val="0"/>
                <w:sz w:val="20"/>
              </w:rPr>
              <w:t>V1 (mL/kg)</w:t>
            </w:r>
          </w:p>
        </w:tc>
        <w:tc>
          <w:tcPr>
            <w:tcW w:type="dxa" w:w="1701"/>
            <w:shd w:val="clear" w:color="auto" w:fill="FFFFFF"/>
          </w:tcPr>
          <w:p>
            <w:pPr>
              <w:jc w:val="center"/>
            </w:pPr>
            <w:r>
              <w:rPr>
                <w:rFonts w:ascii="Times New Roman" w:hAnsi="Times New Roman"/>
                <w:b w:val="0"/>
                <w:i w:val="0"/>
                <w:sz w:val="20"/>
              </w:rPr>
              <w:t>54,2</w:t>
            </w:r>
          </w:p>
        </w:tc>
        <w:tc>
          <w:tcPr>
            <w:tcW w:type="dxa" w:w="1417"/>
            <w:shd w:val="clear" w:color="auto" w:fill="FFFFFF"/>
          </w:tcPr>
          <w:p>
            <w:pPr>
              <w:jc w:val="center"/>
            </w:pPr>
            <w:r>
              <w:rPr>
                <w:rFonts w:ascii="Times New Roman" w:hAnsi="Times New Roman"/>
                <w:b w:val="0"/>
                <w:i w:val="0"/>
                <w:sz w:val="20"/>
              </w:rPr>
              <w:t>12</w:t>
            </w:r>
          </w:p>
        </w:tc>
        <w:tc>
          <w:tcPr>
            <w:tcW w:type="dxa" w:w="3969"/>
            <w:shd w:val="clear" w:color="auto" w:fill="FFFFFF"/>
          </w:tcPr>
          <w:p>
            <w:pPr>
              <w:jc w:val="center"/>
            </w:pPr>
            <w:r>
              <w:rPr>
                <w:rFonts w:ascii="Times New Roman" w:hAnsi="Times New Roman"/>
                <w:b w:val="0"/>
                <w:i w:val="0"/>
                <w:sz w:val="20"/>
              </w:rPr>
              <w:t>Volume central (distribution rapide)</w:t>
            </w:r>
          </w:p>
        </w:tc>
      </w:tr>
      <w:tr>
        <w:tc>
          <w:tcPr>
            <w:tcW w:type="dxa" w:w="1984"/>
            <w:shd w:val="clear" w:color="auto" w:fill="F2F2F2"/>
          </w:tcPr>
          <w:p>
            <w:pPr>
              <w:jc w:val="center"/>
            </w:pPr>
            <w:r>
              <w:rPr>
                <w:rFonts w:ascii="Times New Roman" w:hAnsi="Times New Roman"/>
                <w:b w:val="0"/>
                <w:i w:val="0"/>
                <w:sz w:val="20"/>
              </w:rPr>
              <w:t>Q (mL/h/kg)</w:t>
            </w:r>
          </w:p>
        </w:tc>
        <w:tc>
          <w:tcPr>
            <w:tcW w:type="dxa" w:w="1701"/>
            <w:shd w:val="clear" w:color="auto" w:fill="F2F2F2"/>
          </w:tcPr>
          <w:p>
            <w:pPr>
              <w:jc w:val="center"/>
            </w:pPr>
            <w:r>
              <w:rPr>
                <w:rFonts w:ascii="Times New Roman" w:hAnsi="Times New Roman"/>
                <w:b w:val="0"/>
                <w:i w:val="0"/>
                <w:sz w:val="20"/>
              </w:rPr>
              <w:t>1,12</w:t>
            </w:r>
          </w:p>
        </w:tc>
        <w:tc>
          <w:tcPr>
            <w:tcW w:type="dxa" w:w="1417"/>
            <w:shd w:val="clear" w:color="auto" w:fill="F2F2F2"/>
          </w:tcPr>
          <w:p>
            <w:pPr>
              <w:jc w:val="center"/>
            </w:pPr>
            <w:r>
              <w:rPr>
                <w:rFonts w:ascii="Times New Roman" w:hAnsi="Times New Roman"/>
                <w:b w:val="0"/>
                <w:i w:val="0"/>
                <w:sz w:val="20"/>
              </w:rPr>
              <w:t>22</w:t>
            </w:r>
          </w:p>
        </w:tc>
        <w:tc>
          <w:tcPr>
            <w:tcW w:type="dxa" w:w="3969"/>
            <w:shd w:val="clear" w:color="auto" w:fill="F2F2F2"/>
          </w:tcPr>
          <w:p>
            <w:pPr>
              <w:jc w:val="center"/>
            </w:pPr>
            <w:r>
              <w:rPr>
                <w:rFonts w:ascii="Times New Roman" w:hAnsi="Times New Roman"/>
                <w:b w:val="0"/>
                <w:i w:val="0"/>
                <w:sz w:val="20"/>
              </w:rPr>
              <w:t>Clairance intercompartimentale</w:t>
            </w:r>
          </w:p>
        </w:tc>
      </w:tr>
      <w:tr>
        <w:tc>
          <w:tcPr>
            <w:tcW w:type="dxa" w:w="1984"/>
            <w:shd w:val="clear" w:color="auto" w:fill="FFFFFF"/>
          </w:tcPr>
          <w:p>
            <w:pPr>
              <w:jc w:val="center"/>
            </w:pPr>
            <w:r>
              <w:rPr>
                <w:rFonts w:ascii="Times New Roman" w:hAnsi="Times New Roman"/>
                <w:b w:val="0"/>
                <w:i w:val="0"/>
                <w:sz w:val="20"/>
              </w:rPr>
              <w:t>V2 (mL/kg)</w:t>
            </w:r>
          </w:p>
        </w:tc>
        <w:tc>
          <w:tcPr>
            <w:tcW w:type="dxa" w:w="1701"/>
            <w:shd w:val="clear" w:color="auto" w:fill="FFFFFF"/>
          </w:tcPr>
          <w:p>
            <w:pPr>
              <w:jc w:val="center"/>
            </w:pPr>
            <w:r>
              <w:rPr>
                <w:rFonts w:ascii="Times New Roman" w:hAnsi="Times New Roman"/>
                <w:b w:val="0"/>
                <w:i w:val="0"/>
                <w:sz w:val="20"/>
              </w:rPr>
              <w:t>35,0</w:t>
            </w:r>
          </w:p>
        </w:tc>
        <w:tc>
          <w:tcPr>
            <w:tcW w:type="dxa" w:w="1417"/>
            <w:shd w:val="clear" w:color="auto" w:fill="FFFFFF"/>
          </w:tcPr>
          <w:p>
            <w:pPr>
              <w:jc w:val="center"/>
            </w:pPr>
            <w:r>
              <w:rPr>
                <w:rFonts w:ascii="Times New Roman" w:hAnsi="Times New Roman"/>
                <w:b w:val="0"/>
                <w:i w:val="0"/>
                <w:sz w:val="20"/>
              </w:rPr>
              <w:t>19</w:t>
            </w:r>
          </w:p>
        </w:tc>
        <w:tc>
          <w:tcPr>
            <w:tcW w:type="dxa" w:w="3969"/>
            <w:shd w:val="clear" w:color="auto" w:fill="FFFFFF"/>
          </w:tcPr>
          <w:p>
            <w:pPr>
              <w:jc w:val="center"/>
            </w:pPr>
            <w:r>
              <w:rPr>
                <w:rFonts w:ascii="Times New Roman" w:hAnsi="Times New Roman"/>
                <w:b w:val="0"/>
                <w:i w:val="0"/>
                <w:sz w:val="20"/>
              </w:rPr>
              <w:t>Volume périphérique</w:t>
            </w:r>
          </w:p>
        </w:tc>
      </w:tr>
      <w:tr>
        <w:tc>
          <w:tcPr>
            <w:tcW w:type="dxa" w:w="1984"/>
            <w:shd w:val="clear" w:color="auto" w:fill="F2F2F2"/>
          </w:tcPr>
          <w:p>
            <w:pPr>
              <w:jc w:val="center"/>
            </w:pPr>
            <w:r>
              <w:rPr>
                <w:rFonts w:ascii="Times New Roman" w:hAnsi="Times New Roman"/>
                <w:b w:val="0"/>
                <w:i w:val="0"/>
                <w:sz w:val="20"/>
              </w:rPr>
              <w:t>t½β (h)</w:t>
            </w:r>
          </w:p>
        </w:tc>
        <w:tc>
          <w:tcPr>
            <w:tcW w:type="dxa" w:w="1701"/>
            <w:shd w:val="clear" w:color="auto" w:fill="F2F2F2"/>
          </w:tcPr>
          <w:p>
            <w:pPr>
              <w:jc w:val="center"/>
            </w:pPr>
            <w:r>
              <w:rPr>
                <w:rFonts w:ascii="Times New Roman" w:hAnsi="Times New Roman"/>
                <w:b w:val="0"/>
                <w:i w:val="0"/>
                <w:sz w:val="20"/>
              </w:rPr>
              <w:t>54,7</w:t>
            </w:r>
          </w:p>
        </w:tc>
        <w:tc>
          <w:tcPr>
            <w:tcW w:type="dxa" w:w="1417"/>
            <w:shd w:val="clear" w:color="auto" w:fill="F2F2F2"/>
          </w:tcPr>
          <w:p>
            <w:pPr>
              <w:jc w:val="center"/>
            </w:pPr>
            <w:r>
              <w:rPr>
                <w:rFonts w:ascii="Times New Roman" w:hAnsi="Times New Roman"/>
                <w:b w:val="0"/>
                <w:i w:val="0"/>
                <w:sz w:val="20"/>
              </w:rPr>
              <w:t>15</w:t>
            </w:r>
          </w:p>
        </w:tc>
        <w:tc>
          <w:tcPr>
            <w:tcW w:type="dxa" w:w="3969"/>
            <w:shd w:val="clear" w:color="auto" w:fill="F2F2F2"/>
          </w:tcPr>
          <w:p>
            <w:pPr>
              <w:jc w:val="center"/>
            </w:pPr>
            <w:r>
              <w:rPr>
                <w:rFonts w:ascii="Times New Roman" w:hAnsi="Times New Roman"/>
                <w:b w:val="0"/>
                <w:i w:val="0"/>
                <w:sz w:val="20"/>
              </w:rPr>
              <w:t>Demi-vie terminale</w:t>
            </w:r>
          </w:p>
        </w:tc>
      </w:tr>
    </w:tbl>
    <w:p>
      <w:pPr>
        <w:spacing w:before="0" w:after="120"/>
        <w:ind w:firstLine="567"/>
        <w:jc w:val="both"/>
      </w:pPr>
      <w:r>
        <w:rPr>
          <w:rFonts w:ascii="Times New Roman" w:hAnsi="Times New Roman"/>
          <w:b w:val="0"/>
          <w:i w:val="0"/>
          <w:sz w:val="24"/>
        </w:rPr>
        <w:t>Les profils de concentration simulés sont en excellent accord avec les observations pour tous les animaux (résidus relatifs médians &lt; 12%). Le modèle reproduit la phase distributive rapide initiale (t½α ≈ 2–4 h) et la phase d'élimination terminale prolongée, caractéristiques des ADCs à longue demi-vie. La dose-proportionnalité PK est confirmée : Cmax et AUC augmentent linéairement avec la dose sur l'ensemble des 4 niveaux testés, validant l'hypothèse de linéarité des paramètres PK dans la gamme de doses étudiée.</w:t>
      </w:r>
    </w:p>
    <w:p>
      <w:pPr>
        <w:jc w:val="center"/>
      </w:pPr>
      <w:r>
        <w:rPr>
          <w:rFonts w:ascii="Times New Roman" w:hAnsi="Times New Roman"/>
          <w:b w:val="0"/>
          <w:i/>
          <w:color w:val="646464"/>
          <w:sz w:val="20"/>
        </w:rPr>
        <w:t>[Figure 2 — Insérer ici : etape6_fgfr2/results/pk_profiles_nhp.png (confidentiel)]</w:t>
      </w:r>
    </w:p>
    <w:p>
      <w:pPr>
        <w:jc w:val="center"/>
      </w:pPr>
      <w:r>
        <w:rPr>
          <w:rFonts w:ascii="Times New Roman" w:hAnsi="Times New Roman"/>
          <w:b w:val="0"/>
          <w:i/>
          <w:sz w:val="20"/>
        </w:rPr>
        <w:t>Figure 2. Profils PK individuels NHP — modèle 2-compartiments (lignes) vs données observées (points). 8 animaux, 4 niveaux de dose.</w:t>
      </w:r>
    </w:p>
    <w:p/>
    <w:p>
      <w:pPr>
        <w:spacing w:before="160" w:after="80"/>
      </w:pPr>
      <w:r>
        <w:rPr>
          <w:rFonts w:ascii="Times New Roman" w:hAnsi="Times New Roman"/>
          <w:b/>
          <w:i w:val="0"/>
          <w:color w:val="4A698A"/>
          <w:sz w:val="24"/>
        </w:rPr>
        <w:t>3.3.3 Ajustement pharmacodynamique NHP</w:t>
      </w:r>
    </w:p>
    <w:p>
      <w:pPr>
        <w:spacing w:before="0" w:after="120"/>
        <w:ind w:firstLine="567"/>
        <w:jc w:val="both"/>
      </w:pPr>
      <w:r>
        <w:rPr>
          <w:rFonts w:ascii="Times New Roman" w:hAnsi="Times New Roman"/>
          <w:b w:val="0"/>
          <w:i w:val="0"/>
          <w:sz w:val="24"/>
        </w:rPr>
        <w:t>Les paramètres de sensibilité (Slope_MPP, Slope_CMP, Slope_MEP) ont été ajustés manuellement par comparaison visuelle entre les profils hématologiques simulés et les données observées chez chaque animal NHP. Il ne s'agit pas d'une simulation purement basée sur des données in vitro, ni d'une estimation formelle par optimisation numérique : les valeurs ont été sélectionnées de façon itérative pour reproduire au mieux l'amplitude et la cinétique des nadirs observés. Les concentrations prédites par le modèle PK individuel ont été utilisées comme entrée du modèle PD. Les paramètres biologiques de base NHP ont été dérivés des valeurs hématologiques pré-dose de chaque animal.</w:t>
      </w:r>
    </w:p>
    <w:p>
      <w:pPr>
        <w:spacing w:before="0" w:after="120"/>
        <w:ind w:firstLine="567"/>
        <w:jc w:val="both"/>
      </w:pPr>
      <w:r>
        <w:rPr>
          <w:rFonts w:ascii="Times New Roman" w:hAnsi="Times New Roman"/>
          <w:b w:val="0"/>
          <w:i w:val="0"/>
          <w:sz w:val="24"/>
        </w:rPr>
        <w:t>Le modèle PD reproduit les principales caractéristiques de la réponse hématologique observée :</w:t>
      </w:r>
    </w:p>
    <w:p>
      <w:pPr>
        <w:spacing w:after="60"/>
        <w:ind w:left="283" w:hanging="227"/>
      </w:pPr>
      <w:r>
        <w:rPr>
          <w:rFonts w:ascii="Times New Roman" w:hAnsi="Times New Roman"/>
          <w:b w:val="0"/>
          <w:i w:val="0"/>
          <w:sz w:val="22"/>
        </w:rPr>
        <w:t>• Neutropénie : nadir prédit concordant avec les observations, avec rebond compensatoire reflétant la stimulation médullaire</w:t>
      </w:r>
    </w:p>
    <w:p>
      <w:pPr>
        <w:spacing w:after="60"/>
        <w:ind w:left="283" w:hanging="227"/>
      </w:pPr>
      <w:r>
        <w:rPr>
          <w:rFonts w:ascii="Times New Roman" w:hAnsi="Times New Roman"/>
          <w:b w:val="0"/>
          <w:i w:val="0"/>
          <w:sz w:val="22"/>
        </w:rPr>
        <w:t>• Thrombocytopénie : nadir tardif (décalage de ~1–2 semaines par rapport à la neutropénie), cohérent avec la durée de vie plus longue des plaquettes</w:t>
      </w:r>
    </w:p>
    <w:p>
      <w:pPr>
        <w:spacing w:after="60"/>
        <w:ind w:left="283" w:hanging="227"/>
      </w:pPr>
      <w:r>
        <w:rPr>
          <w:rFonts w:ascii="Times New Roman" w:hAnsi="Times New Roman"/>
          <w:b w:val="0"/>
          <w:i w:val="0"/>
          <w:sz w:val="22"/>
        </w:rPr>
        <w:t>• Réticulocytes et RBC : cinétique de récupération lente, reflétant la durée de vie prolongée des érythrocytes (~120 jours chez le primate)</w:t>
      </w:r>
    </w:p>
    <w:p>
      <w:pPr>
        <w:spacing w:after="60"/>
        <w:ind w:left="283" w:hanging="227"/>
      </w:pPr>
      <w:r>
        <w:rPr>
          <w:rFonts w:ascii="Times New Roman" w:hAnsi="Times New Roman"/>
          <w:b w:val="0"/>
          <w:i w:val="0"/>
          <w:sz w:val="22"/>
        </w:rPr>
        <w:t>• Dose-réponse : aggravation du nadir proportionnelle à l'augmentation de dose, validant la cohérence du modèle à travers les groupes de dose</w:t>
      </w:r>
    </w:p>
    <w:p>
      <w:pPr>
        <w:spacing w:before="160" w:after="80"/>
      </w:pPr>
      <w:r>
        <w:rPr>
          <w:rFonts w:ascii="Times New Roman" w:hAnsi="Times New Roman"/>
          <w:b/>
          <w:i w:val="0"/>
          <w:color w:val="4A698A"/>
          <w:sz w:val="24"/>
        </w:rPr>
        <w:t>Décalage cinétique PK/PD</w:t>
      </w:r>
    </w:p>
    <w:p>
      <w:pPr>
        <w:spacing w:before="0" w:after="120"/>
        <w:ind w:firstLine="567"/>
        <w:jc w:val="both"/>
      </w:pPr>
      <w:r>
        <w:rPr>
          <w:rFonts w:ascii="Times New Roman" w:hAnsi="Times New Roman"/>
          <w:b w:val="0"/>
          <w:i w:val="0"/>
          <w:sz w:val="24"/>
        </w:rPr>
        <w:t>Une analyse de la relation temporelle entre le pic de concentration (Cmax) et le nadir hématologique met en évidence un décalage caractéristique de plusieurs jours à semaines, selon la lignée cellulaire considérée. Ce décalage est parfaitement reproduit par le modèle mécaniste, qui intègre explicitement les temps de transit entre compartiments progéniteurs et cellules matures.</w:t>
      </w:r>
    </w:p>
    <w:p>
      <w:pPr>
        <w:spacing w:before="0" w:after="120"/>
        <w:ind w:firstLine="567"/>
        <w:jc w:val="both"/>
      </w:pPr>
      <w:r>
        <w:rPr>
          <w:rFonts w:ascii="Times New Roman" w:hAnsi="Times New Roman"/>
          <w:b w:val="0"/>
          <w:i w:val="0"/>
          <w:sz w:val="24"/>
        </w:rPr>
        <w:t>Cette propriété est cruciale pour la prédiction clinique : la toxicité maximale n'est pas synchrone avec l'exposition maximale, ce qui ne serait pas capturé par un modèle empirique direct exposition-réponse.</w:t>
      </w:r>
    </w:p>
    <w:p>
      <w:pPr>
        <w:jc w:val="center"/>
      </w:pPr>
      <w:r>
        <w:rPr>
          <w:rFonts w:ascii="Times New Roman" w:hAnsi="Times New Roman"/>
          <w:b w:val="0"/>
          <w:i/>
          <w:color w:val="646464"/>
          <w:sz w:val="20"/>
        </w:rPr>
        <w:t>[Figure 3 — Insérer ici : etape6_fgfr2/results/pd_profiles_nhp.png (confidentiel)]</w:t>
      </w:r>
    </w:p>
    <w:p>
      <w:pPr>
        <w:jc w:val="center"/>
      </w:pPr>
      <w:r>
        <w:rPr>
          <w:rFonts w:ascii="Times New Roman" w:hAnsi="Times New Roman"/>
          <w:b w:val="0"/>
          <w:i/>
          <w:sz w:val="20"/>
        </w:rPr>
        <w:t>Figure 3. Profils PD individuels NHP — modèle (lignes) vs données hématologiques observées (points). Neutrophiles, réticulocytes, RBC et plaquettes.</w:t>
      </w:r>
    </w:p>
    <w:p/>
    <w:p>
      <w:r>
        <w:br w:type="page"/>
      </w:r>
    </w:p>
    <w:p>
      <w:pPr>
        <w:keepNext/>
        <w:spacing w:before="360" w:after="80"/>
      </w:pPr>
      <w:r>
        <w:rPr>
          <w:rFonts w:ascii="Times New Roman" w:hAnsi="Times New Roman"/>
          <w:b/>
          <w:i w:val="0"/>
          <w:color w:val="2C3E50"/>
          <w:sz w:val="32"/>
          <w:u w:val="single"/>
        </w:rPr>
        <w:t>IV. Discussion</w:t>
      </w:r>
    </w:p>
    <w:p>
      <w:pPr>
        <w:spacing w:before="240" w:after="80"/>
      </w:pPr>
      <w:r>
        <w:rPr>
          <w:rFonts w:ascii="Times New Roman" w:hAnsi="Times New Roman"/>
          <w:b/>
          <w:i w:val="0"/>
          <w:color w:val="34495E"/>
          <w:sz w:val="28"/>
        </w:rPr>
        <w:t>4.1 Performance du pipeline multi-espèces et multi-composés</w:t>
      </w:r>
    </w:p>
    <w:p>
      <w:pPr>
        <w:spacing w:before="0" w:after="120"/>
        <w:ind w:firstLine="567"/>
        <w:jc w:val="both"/>
      </w:pPr>
      <w:r>
        <w:rPr>
          <w:rFonts w:ascii="Times New Roman" w:hAnsi="Times New Roman"/>
          <w:b w:val="0"/>
          <w:i w:val="0"/>
          <w:sz w:val="24"/>
        </w:rPr>
        <w:t>Le pipeline développé au cours de ce stage démontre une capacité de généralisation remarquable, ayant été appliqué avec succès à deux composés distincts (carboplatine, T-DXd), deux molécules de classe différente (chimiothérapie classique vs ADC), et deux espèces (rat, primate non-humain), avec validation en population humaine pour le T-DXd.</w:t>
      </w:r>
    </w:p>
    <w:p>
      <w:pPr>
        <w:spacing w:before="0" w:after="120"/>
        <w:ind w:firstLine="567"/>
        <w:jc w:val="both"/>
      </w:pPr>
      <w:r>
        <w:rPr>
          <w:rFonts w:ascii="Times New Roman" w:hAnsi="Times New Roman"/>
          <w:b w:val="0"/>
          <w:i w:val="0"/>
          <w:sz w:val="24"/>
        </w:rPr>
        <w:t>L'accord quantitatif entre les prédictions de grades CTCAE pour le T-DXd et les données de l'essai DESTINY-Breast01 (FDA BLA 761139) est particulièrement significatif, compte tenu de la complexité du système modélisé (6 lignées cellulaires, feedbacks non-linéaires, variabilité inter-individuelle). Il valide la transposabilité du cadre de Fornari au contexte clinique des ADCs et à de nouvelles molécules.</w:t>
      </w:r>
    </w:p>
    <w:p>
      <w:pPr>
        <w:spacing w:before="0" w:after="120"/>
        <w:ind w:firstLine="567"/>
        <w:jc w:val="both"/>
      </w:pPr>
      <w:r>
        <w:rPr>
          <w:rFonts w:ascii="Times New Roman" w:hAnsi="Times New Roman"/>
          <w:b w:val="0"/>
          <w:i w:val="0"/>
          <w:sz w:val="24"/>
        </w:rPr>
        <w:t>D'un point de vue méthodologique, la validation sur DESTINY-Breast01 constitue une validation externe prospective : le modèle a été calibré sur données précliniques (rat, NHP) et sur des paramètres PK issus de la littérature, puis ses prédictions ont été comparées à des données cliniques indépendantes jamais utilisées pour la calibration. Ce type de démarche — proche de l'évaluation d'un modèle prédictif en recherche bio-médicale — est la démonstration la plus rigoureuse de la capacité généralisatrice du pipeline. La concordance obtenue (neutropénie G3-4 : 14% modèle vs 16% FDA ; anémie tout grade : 72% vs 70%) illustre la valeur prédictive clinique d'un modèle construit sans aucune donnée clinique humaine propre au T-DXd.</w:t>
      </w:r>
    </w:p>
    <w:p>
      <w:pPr>
        <w:spacing w:before="240" w:after="80"/>
      </w:pPr>
      <w:r>
        <w:rPr>
          <w:rFonts w:ascii="Times New Roman" w:hAnsi="Times New Roman"/>
          <w:b/>
          <w:i w:val="0"/>
          <w:color w:val="34495E"/>
          <w:sz w:val="28"/>
        </w:rPr>
        <w:t>4.2 Apport de la modélisation mécaniste vs approches empiriques</w:t>
      </w:r>
    </w:p>
    <w:p>
      <w:pPr>
        <w:spacing w:before="0" w:after="120"/>
        <w:ind w:firstLine="567"/>
        <w:jc w:val="both"/>
      </w:pPr>
      <w:r>
        <w:rPr>
          <w:rFonts w:ascii="Times New Roman" w:hAnsi="Times New Roman"/>
          <w:b w:val="0"/>
          <w:i w:val="0"/>
          <w:sz w:val="24"/>
        </w:rPr>
        <w:t>L'approche semi-mécaniste adoptée présente des avantages déterminants par rapport aux modèles empiriques (régression, modèle Emax direct) ou aux méthodes de machine learning :</w:t>
      </w:r>
    </w:p>
    <w:p>
      <w:pPr>
        <w:spacing w:after="60"/>
        <w:ind w:left="283" w:hanging="227"/>
      </w:pPr>
      <w:r>
        <w:rPr>
          <w:rFonts w:ascii="Times New Roman" w:hAnsi="Times New Roman"/>
          <w:b w:val="0"/>
          <w:i w:val="0"/>
          <w:sz w:val="22"/>
        </w:rPr>
        <w:t>• Interprétabilité biologique : chaque paramètre a une signification biologique claire (taux de prolifération, demi-vie cellulaire, taux de réparation), facilitant la communication avec les équipes pharmaceutiques et réglementaires</w:t>
      </w:r>
    </w:p>
    <w:p>
      <w:pPr>
        <w:spacing w:after="60"/>
        <w:ind w:left="283" w:hanging="227"/>
      </w:pPr>
      <w:r>
        <w:rPr>
          <w:rFonts w:ascii="Times New Roman" w:hAnsi="Times New Roman"/>
          <w:b w:val="0"/>
          <w:i w:val="0"/>
          <w:sz w:val="22"/>
        </w:rPr>
        <w:t>• Extrapolation inter-espèces : la structure compartimentale homologue entre espèces permet une transposition raisonnée des paramètres, ce qu'un modèle statistique purement empirique ne permet pas</w:t>
      </w:r>
    </w:p>
    <w:p>
      <w:pPr>
        <w:spacing w:after="60"/>
        <w:ind w:left="283" w:hanging="227"/>
      </w:pPr>
      <w:r>
        <w:rPr>
          <w:rFonts w:ascii="Times New Roman" w:hAnsi="Times New Roman"/>
          <w:b w:val="0"/>
          <w:i w:val="0"/>
          <w:sz w:val="22"/>
        </w:rPr>
        <w:t>• Prédiction du nadir temporel : le décalage cinétique PK/PD est naturellement capturé par la cascade de transit, ce qui est impossible avec un modèle direct exposition-réponse</w:t>
      </w:r>
    </w:p>
    <w:p>
      <w:pPr>
        <w:spacing w:after="60"/>
        <w:ind w:left="283" w:hanging="227"/>
      </w:pPr>
      <w:r>
        <w:rPr>
          <w:rFonts w:ascii="Times New Roman" w:hAnsi="Times New Roman"/>
          <w:b w:val="0"/>
          <w:i w:val="0"/>
          <w:sz w:val="22"/>
        </w:rPr>
        <w:t>• Simulation de schémas non testés : une fois calibré, le modèle permet d'explorer in silico des schémas posologiques alternatifs (dose, fréquence, durée) sans expérimentation supplémentaire</w:t>
      </w:r>
    </w:p>
    <w:p>
      <w:pPr>
        <w:spacing w:before="0" w:after="120"/>
        <w:ind w:firstLine="567"/>
        <w:jc w:val="both"/>
      </w:pPr>
      <w:r>
        <w:rPr>
          <w:rFonts w:ascii="Times New Roman" w:hAnsi="Times New Roman"/>
          <w:b w:val="0"/>
          <w:i w:val="0"/>
          <w:sz w:val="24"/>
        </w:rPr>
        <w:t>Une approche par apprentissage automatique (random forest, réseau de neurones, gradient boosting) aurait en théorie pu être envisagée pour prédire les grades CTCAE à partir des caractéristiques patient. Cependant, plusieurs contraintes la rendent inadaptée dans ce contexte. D'une part, les données de calibration précliniques sont très limitées (n=5 rats, n=8 NHP), ce qui exclut tout apprentissage supervisé robuste à ce stade. Si les données cliniques de l'essai DESTINY-Breast01 (n=184) offrent un volume plus conséquent, elles ne comportent que des grades agrégés — sans profils individuels de concentration ni de dynamique cellulaire — insuffisants pour entraîner un modèle prédictif temporel. D'autre part, et c'est la limite fondamentale, un modèle boîte noire entraîné sur des données d'un composé et d'une espèce donnés ne permettrait pas l'extrapolation inter-espèces ni la simulation de doses ou schémas non testés. La modélisation mécaniste, fondée sur des équations différentielles biologiquement interprétables, est ici la seule approche permettant à la fois l'inférence causale (dose → concentration → dommage → nadir) et la généralisation à de nouvelles conditions expérimentales.</w:t>
      </w:r>
    </w:p>
    <w:p>
      <w:pPr>
        <w:spacing w:before="0" w:after="120"/>
        <w:ind w:firstLine="567"/>
        <w:jc w:val="both"/>
      </w:pPr>
      <w:r>
        <w:rPr>
          <w:rFonts w:ascii="Times New Roman" w:hAnsi="Times New Roman"/>
          <w:b w:val="0"/>
          <w:i w:val="0"/>
          <w:sz w:val="24"/>
        </w:rPr>
        <w:t>Cette logique causale est au cœur du modèle : chaque compartiment représente une étape mécaniste de la chaîne dose-effet, et les paramètres encodent des relations de cause à effet biologiquement fondées plutôt que des corrélations statistiques. Cela confère au pipeline une robustesse en extrapolation que les méthodes purement associatives ne peuvent pas offrir.</w:t>
      </w:r>
    </w:p>
    <w:p>
      <w:pPr>
        <w:spacing w:before="0" w:after="120"/>
        <w:ind w:firstLine="567"/>
        <w:jc w:val="both"/>
      </w:pPr>
      <w:r>
        <w:rPr>
          <w:rFonts w:ascii="Times New Roman" w:hAnsi="Times New Roman"/>
          <w:b w:val="0"/>
          <w:i w:val="0"/>
          <w:sz w:val="24"/>
        </w:rPr>
        <w:t>En revanche, le modèle mécaniste requiert davantage de données pour la calibration et une expertise biologique pour l'interprétation des paramètres. C'est dans cette complémentarité entre rigueur mathématique et connaissance biologique que réside la valeur ajoutée de la pharmacologie quantitative.</w:t>
      </w:r>
    </w:p>
    <w:p>
      <w:pPr>
        <w:spacing w:before="240" w:after="80"/>
      </w:pPr>
      <w:r>
        <w:rPr>
          <w:rFonts w:ascii="Times New Roman" w:hAnsi="Times New Roman"/>
          <w:b/>
          <w:i w:val="0"/>
          <w:color w:val="34495E"/>
          <w:sz w:val="28"/>
        </w:rPr>
        <w:t>4.3 Limites méthodologiques</w:t>
      </w:r>
    </w:p>
    <w:p>
      <w:pPr>
        <w:spacing w:before="0" w:after="120"/>
        <w:ind w:firstLine="567"/>
        <w:jc w:val="both"/>
      </w:pPr>
      <w:r>
        <w:rPr>
          <w:rFonts w:ascii="Times New Roman" w:hAnsi="Times New Roman"/>
          <w:b w:val="0"/>
          <w:i w:val="0"/>
          <w:sz w:val="24"/>
        </w:rPr>
        <w:t>Plusieurs limites doivent être considérées dans l'interprétation de ces résultats :</w:t>
      </w:r>
    </w:p>
    <w:p>
      <w:pPr>
        <w:spacing w:after="60"/>
        <w:ind w:left="283" w:hanging="227"/>
      </w:pPr>
      <w:r>
        <w:rPr>
          <w:rFonts w:ascii="Times New Roman" w:hAnsi="Times New Roman"/>
          <w:b w:val="0"/>
          <w:i w:val="0"/>
          <w:sz w:val="22"/>
        </w:rPr>
        <w:t>• Identifiabilité des paramètres : avec n=8 animaux NHP et 4 niveaux de dose, l'estimation simultanée de tous les paramètres Slope est potentiellement sous-contrainte. Des analyses de sensibilité et de corrélation entre paramètres seraient nécessaires pour quantifier l'incertitude d'estimation.</w:t>
      </w:r>
    </w:p>
    <w:p>
      <w:pPr>
        <w:spacing w:after="60"/>
        <w:ind w:left="283" w:hanging="227"/>
      </w:pPr>
      <w:r>
        <w:rPr>
          <w:rFonts w:ascii="Times New Roman" w:hAnsi="Times New Roman"/>
          <w:b w:val="0"/>
          <w:i w:val="0"/>
          <w:sz w:val="22"/>
        </w:rPr>
        <w:t>• Hypothèse de linéarité du dommage : la relation dDamage/dt = k_dam × C − k_rep × Damage suppose une accumulation linéaire du dommage. Aux fortes concentrations, une relation non-linéaire (Emax) pourrait être plus appropriée pour éviter la surestimation de la toxicité.</w:t>
      </w:r>
    </w:p>
    <w:p>
      <w:pPr>
        <w:spacing w:after="60"/>
        <w:ind w:left="283" w:hanging="227"/>
      </w:pPr>
      <w:r>
        <w:rPr>
          <w:rFonts w:ascii="Times New Roman" w:hAnsi="Times New Roman"/>
          <w:b w:val="0"/>
          <w:i w:val="0"/>
          <w:sz w:val="22"/>
        </w:rPr>
        <w:t>• Variabilité inter-individuelle NHP : le nombre d'animaux par groupe (n=2) est limité pour caractériser la variabilité inter-individuelle. L'approche actuelle (ajustement individuel) contourne ce problème mais ne permet pas d'estimation formelle des effets aléatoires.</w:t>
      </w:r>
    </w:p>
    <w:p>
      <w:pPr>
        <w:spacing w:after="60"/>
        <w:ind w:left="283" w:hanging="227"/>
      </w:pPr>
      <w:r>
        <w:rPr>
          <w:rFonts w:ascii="Times New Roman" w:hAnsi="Times New Roman"/>
          <w:b w:val="0"/>
          <w:i w:val="0"/>
          <w:sz w:val="22"/>
        </w:rPr>
        <w:t>• Transposition PD inter-espèces : la conservation des paramètres Slope entre NHP et humain est supposée par analogie avec le T-DXd mais n'est pas démontrée expérimentalement. Des données de CFU sur cellules humaines permettraient de valider ou corriger cette hypothèse.</w:t>
      </w:r>
    </w:p>
    <w:p>
      <w:pPr>
        <w:spacing w:after="60"/>
        <w:ind w:left="283" w:hanging="227"/>
      </w:pPr>
      <w:r>
        <w:rPr>
          <w:rFonts w:ascii="Times New Roman" w:hAnsi="Times New Roman"/>
          <w:b w:val="0"/>
          <w:i w:val="0"/>
          <w:sz w:val="22"/>
        </w:rPr>
        <w:t>• Absence de données d'efficacité : le modèle actuel est centré sur la prédiction de la toxicité hématologique. L'intégration d'un modèle d'efficacité tumorale permettrait une analyse bénéfice-risque complète.</w:t>
      </w:r>
    </w:p>
    <w:p>
      <w:pPr>
        <w:spacing w:after="60"/>
        <w:ind w:left="283" w:hanging="227"/>
      </w:pPr>
      <w:r>
        <w:rPr>
          <w:rFonts w:ascii="Times New Roman" w:hAnsi="Times New Roman"/>
          <w:b w:val="0"/>
          <w:i w:val="0"/>
          <w:sz w:val="22"/>
        </w:rPr>
        <w:t>• Mécanisme d'hématotoxicité supposé off-target : le pipeline actuel modélise exclusivement l'hématotoxicité off-target, c'est-à-dire la toxicité induite par le payload cytotoxique libéré de façon non spécifique et atteignant les cellules progénitrices hématopoïétiques. Cependant, certains ADCs peuvent induire une hématotoxicité on-target, lorsque l'antigène ciblé par l'anticorps est exprimé à la surface des cellules hématopoïétiques elles-mêmes. Dans ce cas, l'ADC se lie directement aux progéniteurs médullaires et délivre son payload de façon ciblée, amplifiant la toxicité indépendamment de toute libération systémique. Ce mécanisme, documenté pour certaines cibles (ex. CD33, CD123, FLT3 exprimés sur les cellules myéloïdes), n'est pas pris en compte dans la structure actuelle du modèle et pourrait conduire à une sous-estimation de la toxicité pour les composés présentant un profil antigénique hématopoïétique.</w:t>
      </w:r>
    </w:p>
    <w:p>
      <w:pPr>
        <w:spacing w:before="240" w:after="80"/>
      </w:pPr>
      <w:r>
        <w:rPr>
          <w:rFonts w:ascii="Times New Roman" w:hAnsi="Times New Roman"/>
          <w:b/>
          <w:i w:val="0"/>
          <w:color w:val="34495E"/>
          <w:sz w:val="28"/>
        </w:rPr>
        <w:t>4.4 Perspectives méthodologiques</w:t>
      </w:r>
    </w:p>
    <w:p>
      <w:pPr>
        <w:spacing w:before="0" w:after="120"/>
        <w:ind w:firstLine="567"/>
        <w:jc w:val="both"/>
      </w:pPr>
      <w:r>
        <w:rPr>
          <w:rFonts w:ascii="Times New Roman" w:hAnsi="Times New Roman"/>
          <w:b w:val="0"/>
          <w:i w:val="0"/>
          <w:sz w:val="24"/>
        </w:rPr>
        <w:t>Plusieurs extensions méthodologiques sont envisageables pour renforcer la robustesse et la portée du pipeline :</w:t>
      </w:r>
    </w:p>
    <w:p>
      <w:pPr>
        <w:spacing w:after="60"/>
        <w:ind w:left="283" w:hanging="227"/>
      </w:pPr>
      <w:r>
        <w:rPr>
          <w:rFonts w:ascii="Times New Roman" w:hAnsi="Times New Roman"/>
          <w:b w:val="0"/>
          <w:i w:val="0"/>
          <w:sz w:val="22"/>
        </w:rPr>
        <w:t>• Estimation par effets mixtes non-linéaires (NLME) via nlmixr2 : permettrait une estimation simultanée de la variabilité inter-individuelle (effets aléatoires) et des paramètres typiques de population (effets fixes), en exploitant l'ensemble des données NHP de façon cohérente</w:t>
      </w:r>
    </w:p>
    <w:p>
      <w:pPr>
        <w:spacing w:after="60"/>
        <w:ind w:left="283" w:hanging="227"/>
      </w:pPr>
      <w:r>
        <w:rPr>
          <w:rFonts w:ascii="Times New Roman" w:hAnsi="Times New Roman"/>
          <w:b w:val="0"/>
          <w:i w:val="0"/>
          <w:sz w:val="22"/>
        </w:rPr>
        <w:t>• Intégration des données IC50 CFU : la mesure de l'IC50 sur colonies hématopoïétiques (CFU-GM, BFU-E) in vitro permettrait d'ancrer mécanistiquement le paramètre Slope dans une donnée expérimentale directe, réduisant le nombre de paramètres à calibrer sur données in vivo</w:t>
      </w:r>
    </w:p>
    <w:p>
      <w:pPr>
        <w:spacing w:after="60"/>
        <w:ind w:left="283" w:hanging="227"/>
      </w:pPr>
      <w:r>
        <w:rPr>
          <w:rFonts w:ascii="Times New Roman" w:hAnsi="Times New Roman"/>
          <w:b w:val="0"/>
          <w:i w:val="0"/>
          <w:sz w:val="22"/>
        </w:rPr>
        <w:t>• Approche bayésienne : l'incorporation d'a priori informatives (issues des données rat et T-DXd) dans l'estimation NHP permettrait de régulariser l'inférence malgré le faible nombre d'animaux</w:t>
      </w:r>
    </w:p>
    <w:p>
      <w:pPr>
        <w:spacing w:after="60"/>
        <w:ind w:left="283" w:hanging="227"/>
      </w:pPr>
      <w:r>
        <w:rPr>
          <w:rFonts w:ascii="Times New Roman" w:hAnsi="Times New Roman"/>
          <w:b w:val="0"/>
          <w:i w:val="0"/>
          <w:sz w:val="22"/>
        </w:rPr>
        <w:t>• Extension multi-doses et régimes répétés : le modèle actuel peut être directement appliqué à des schémas Q2W ou Q4W pour explorer la fenêtre posologique optimale du composé interne</w:t>
      </w:r>
    </w:p>
    <w:p>
      <w:pPr>
        <w:spacing w:after="60"/>
        <w:ind w:left="283" w:hanging="227"/>
      </w:pPr>
      <w:r>
        <w:rPr>
          <w:rFonts w:ascii="Times New Roman" w:hAnsi="Times New Roman"/>
          <w:b w:val="0"/>
          <w:i w:val="0"/>
          <w:sz w:val="22"/>
        </w:rPr>
        <w:t>• Analyse de sensibilité formelle (indices de Sobol) : l'analyse par corrélation de Spearman réalisée dans ce travail identifie Slope_CMP comme le paramètre le plus déterminant pour la neutropénie. Une analyse de sensibilité globale par indices de Sobol permettrait de quantifier les interactions entre paramètres.</w:t>
      </w:r>
    </w:p>
    <w:p>
      <w:pPr>
        <w:spacing w:before="240" w:after="80"/>
      </w:pPr>
      <w:r>
        <w:rPr>
          <w:rFonts w:ascii="Times New Roman" w:hAnsi="Times New Roman"/>
          <w:b/>
          <w:i w:val="0"/>
          <w:color w:val="34495E"/>
          <w:sz w:val="28"/>
        </w:rPr>
        <w:t>4.5 Traduction clinique : perspectives de transposition NHP → humain</w:t>
      </w:r>
    </w:p>
    <w:p>
      <w:pPr>
        <w:spacing w:before="0" w:after="120"/>
        <w:ind w:firstLine="567"/>
        <w:jc w:val="both"/>
      </w:pPr>
      <w:r>
        <w:rPr>
          <w:rFonts w:ascii="Times New Roman" w:hAnsi="Times New Roman"/>
          <w:b w:val="0"/>
          <w:i w:val="0"/>
          <w:sz w:val="24"/>
        </w:rPr>
        <w:t>Sur la base des paramètres PK/PD ajustés chez le NHP, une transposition clinique préliminaire peut être envisagée. La transposition des paramètres PK repose sur des lois d'allométrie inter-espèces :</w:t>
      </w:r>
    </w:p>
    <w:p>
      <w:pPr>
        <w:spacing w:before="120" w:after="120"/>
        <w:jc w:val="center"/>
      </w:pPr>
      <w:r>
        <w:rPr>
          <w:rFonts w:ascii="Courier New" w:hAnsi="Courier New"/>
          <w:b w:val="0"/>
          <w:i/>
          <w:color w:val="3C3C78"/>
          <w:sz w:val="22"/>
        </w:rPr>
        <w:t>CL_humain = CL_NHP × (BW_humain / BW_NHP)^0.75    [allométrie standard]</w:t>
      </w:r>
    </w:p>
    <w:p>
      <w:pPr>
        <w:spacing w:before="120" w:after="120"/>
        <w:jc w:val="center"/>
      </w:pPr>
      <w:r>
        <w:rPr>
          <w:rFonts w:ascii="Courier New" w:hAnsi="Courier New"/>
          <w:b w:val="0"/>
          <w:i/>
          <w:color w:val="3C3C78"/>
          <w:sz w:val="22"/>
        </w:rPr>
        <w:t>V1_humain = V1_NHP × (BW_humain / BW_NHP)^1.00    [proportionnel au poids]</w:t>
      </w:r>
    </w:p>
    <w:p>
      <w:pPr>
        <w:spacing w:before="0" w:after="120"/>
        <w:ind w:firstLine="567"/>
        <w:jc w:val="both"/>
      </w:pPr>
      <w:r>
        <w:rPr>
          <w:rFonts w:ascii="Times New Roman" w:hAnsi="Times New Roman"/>
          <w:b w:val="0"/>
          <w:i w:val="0"/>
          <w:sz w:val="24"/>
        </w:rPr>
        <w:t>La validité de cette approche a été vérifiée sur le T-DXd, pour lequel les paramètres NHP et humains sont tous deux disponibles : le facteur d'erreur sur CL reste inférieur à 2, ce qui est acceptable en première approximation.</w:t>
      </w:r>
    </w:p>
    <w:p>
      <w:pPr>
        <w:spacing w:before="0" w:after="120"/>
        <w:ind w:firstLine="567"/>
        <w:jc w:val="both"/>
      </w:pPr>
      <w:r>
        <w:rPr>
          <w:rFonts w:ascii="Times New Roman" w:hAnsi="Times New Roman"/>
          <w:b w:val="0"/>
          <w:i w:val="0"/>
          <w:sz w:val="24"/>
        </w:rPr>
        <w:t>La transposition des paramètres PD (Slopes) est plus délicate, car la sensibilité des progéniteurs hématopoïétiques au payload peut varier entre espèces. Une approche conservatrice consiste à utiliser directement les Slopes NHP comme estimation initiale, en attendant des données d'IC50 sur progéniteurs humains (CFU). Ces projections constituent une base de discussion pour la définition de la dose de départ en Premier-en-Homme (FIH), en cohérence avec le NOAEL identifié en NHP. Dans l'étude préclinique NHP, le NOAEL est défini selon les critères toxicologiques standards — absence d'effet indésirable significatif sur les valeurs hématologiques absolues (nadir des neutrophiles, plaquettes, érythrocytes) par rapport à la baseline individuelle, et absence de signe clinique de détresse. Les grades CTCAE v5 sont une classification propre aux essais cliniques humains et ne s'appliquent pas directement aux études précliniques NHP.</w:t>
      </w:r>
    </w:p>
    <w:p>
      <w:pPr>
        <w:spacing w:before="240" w:after="80"/>
      </w:pPr>
      <w:r>
        <w:rPr>
          <w:rFonts w:ascii="Times New Roman" w:hAnsi="Times New Roman"/>
          <w:b/>
          <w:i w:val="0"/>
          <w:color w:val="34495E"/>
          <w:sz w:val="28"/>
        </w:rPr>
        <w:t>4.6 Impact opérationnel et aide à la décision</w:t>
      </w:r>
    </w:p>
    <w:p>
      <w:pPr>
        <w:spacing w:before="0" w:after="120"/>
        <w:ind w:firstLine="567"/>
        <w:jc w:val="both"/>
      </w:pPr>
      <w:r>
        <w:rPr>
          <w:rFonts w:ascii="Times New Roman" w:hAnsi="Times New Roman"/>
          <w:b w:val="0"/>
          <w:i w:val="0"/>
          <w:sz w:val="24"/>
        </w:rPr>
        <w:t>Au-delà de sa valeur scientifique, ce pipeline présente un intérêt opérationnel concret pour le développement du médicament :</w:t>
      </w:r>
    </w:p>
    <w:p>
      <w:pPr>
        <w:spacing w:after="60"/>
        <w:ind w:left="283" w:hanging="227"/>
      </w:pPr>
      <w:r>
        <w:rPr>
          <w:rFonts w:ascii="Times New Roman" w:hAnsi="Times New Roman"/>
          <w:b w:val="0"/>
          <w:i w:val="0"/>
          <w:sz w:val="22"/>
        </w:rPr>
        <w:t>• Support au choix de la dose de départ en FIH (First-in-Human) : simulation de la distribution de grades attendus à différentes doses humaines, permettant de sélectionner une dose initiale associée à un risque de G3-4 inférieur à un seuil préétabli (ex. &lt; 10%)</w:t>
      </w:r>
    </w:p>
    <w:p>
      <w:pPr>
        <w:spacing w:after="60"/>
        <w:ind w:left="283" w:hanging="227"/>
      </w:pPr>
      <w:r>
        <w:rPr>
          <w:rFonts w:ascii="Times New Roman" w:hAnsi="Times New Roman"/>
          <w:b w:val="0"/>
          <w:i w:val="0"/>
          <w:sz w:val="22"/>
        </w:rPr>
        <w:t>• Optimisation du monitoring clinique : prédiction du timing du nadir pour guider la fréquence des hémogrammes de surveillance</w:t>
      </w:r>
    </w:p>
    <w:p>
      <w:pPr>
        <w:spacing w:after="60"/>
        <w:ind w:left="283" w:hanging="227"/>
      </w:pPr>
      <w:r>
        <w:rPr>
          <w:rFonts w:ascii="Times New Roman" w:hAnsi="Times New Roman"/>
          <w:b w:val="0"/>
          <w:i w:val="0"/>
          <w:sz w:val="22"/>
        </w:rPr>
        <w:t>• Communication réglementaire : les modèles M&amp;S sont valorisés par FDA et EMA comme éléments du dossier de démarrage des essais cliniques (IND/CTA), en particulier pour les composés à index thérapeutique étroit</w:t>
      </w:r>
    </w:p>
    <w:p>
      <w:r>
        <w:br w:type="page"/>
      </w:r>
    </w:p>
    <w:p>
      <w:pPr>
        <w:keepNext/>
        <w:spacing w:before="360" w:after="80"/>
      </w:pPr>
      <w:r>
        <w:rPr>
          <w:rFonts w:ascii="Times New Roman" w:hAnsi="Times New Roman"/>
          <w:b/>
          <w:i w:val="0"/>
          <w:color w:val="2C3E50"/>
          <w:sz w:val="32"/>
          <w:u w:val="single"/>
        </w:rPr>
        <w:t>V. Conclusion</w:t>
      </w:r>
    </w:p>
    <w:p>
      <w:pPr>
        <w:spacing w:before="0" w:after="120"/>
        <w:ind w:firstLine="567"/>
        <w:jc w:val="both"/>
      </w:pPr>
      <w:r>
        <w:rPr>
          <w:rFonts w:ascii="Times New Roman" w:hAnsi="Times New Roman"/>
          <w:b w:val="0"/>
          <w:i w:val="0"/>
          <w:sz w:val="24"/>
        </w:rPr>
        <w:t>Ce stage de Master 2 Sciences de la Donnée de Santé a permis de développer un pipeline computationnel complet et reproductible de prédiction de l'hématotoxicité induite par les anticorps-drogue conjugués, de l'animal au patient.</w:t>
      </w:r>
    </w:p>
    <w:p>
      <w:pPr>
        <w:spacing w:before="0" w:after="120"/>
        <w:ind w:firstLine="567"/>
        <w:jc w:val="both"/>
      </w:pPr>
      <w:r>
        <w:rPr>
          <w:rFonts w:ascii="Times New Roman" w:hAnsi="Times New Roman"/>
          <w:b w:val="0"/>
          <w:i w:val="0"/>
          <w:sz w:val="24"/>
        </w:rPr>
        <w:t>En partant de la reproduction fidèle du modèle semi-mécaniste de Fornari (2019) sur données de rat, le pipeline a été progressivement étendu au T-DXd (validation clinique en population, N=300, concordance avec FDA DESTINY-Breast01), puis à un composé en développement interne sur données NHP précliniques (8 primates, 4 niveaux de dose). Chaque étape a apporté des éléments de validation croisée et de robustesse méthodologique.</w:t>
      </w:r>
    </w:p>
    <w:p>
      <w:pPr>
        <w:spacing w:before="0" w:after="120"/>
        <w:ind w:firstLine="567"/>
        <w:jc w:val="both"/>
      </w:pPr>
      <w:r>
        <w:rPr>
          <w:rFonts w:ascii="Times New Roman" w:hAnsi="Times New Roman"/>
          <w:b w:val="0"/>
          <w:i w:val="0"/>
          <w:sz w:val="24"/>
        </w:rPr>
        <w:t>Les résultats démontrent la généricité et la puissance prédictive du cadre semi-mécaniste pour des molécules de classe ADC, avec une capacité à capturer le décalage cinétique PK/PD caractéristique de ce mécanisme d'action, la dose-dépendance de la toxicité et la hiérarchie temporelle des différentes lignées hématopoïétiques.</w:t>
      </w:r>
    </w:p>
    <w:p>
      <w:pPr>
        <w:spacing w:before="0" w:after="120"/>
        <w:ind w:firstLine="567"/>
        <w:jc w:val="both"/>
      </w:pPr>
      <w:r>
        <w:rPr>
          <w:rFonts w:ascii="Times New Roman" w:hAnsi="Times New Roman"/>
          <w:b w:val="0"/>
          <w:i w:val="0"/>
          <w:sz w:val="24"/>
        </w:rPr>
        <w:t>Ce travail illustre la complémentarité des compétences acquises en Master Sciences de la Donnée de Santé — modélisation mathématique, programmation scientifique, analyse statistique, visualisation — avec les besoins opérationnels de la pharmacologie quantitative en entreprise pharmaceutique.</w:t>
      </w:r>
    </w:p>
    <w:p>
      <w:pPr>
        <w:spacing w:before="0" w:after="120"/>
        <w:ind w:firstLine="567"/>
        <w:jc w:val="both"/>
      </w:pPr>
      <w:r>
        <w:rPr>
          <w:rFonts w:ascii="Times New Roman" w:hAnsi="Times New Roman"/>
          <w:b w:val="0"/>
          <w:i w:val="0"/>
          <w:sz w:val="24"/>
        </w:rPr>
        <w:t>Les perspectives d'extension vers une estimation NLME formelle (nlmixr2), l'intégration de données IC50 CFU et la validation prospective sur le premier essai clinique du composé interne constituent des suites naturelles et valorisantes à ce travail.</w:t>
      </w:r>
    </w:p>
    <w:p>
      <w:r>
        <w:br w:type="page"/>
      </w:r>
    </w:p>
    <w:p>
      <w:pPr>
        <w:keepNext/>
        <w:spacing w:before="360" w:after="80"/>
      </w:pPr>
      <w:r>
        <w:rPr>
          <w:rFonts w:ascii="Times New Roman" w:hAnsi="Times New Roman"/>
          <w:b/>
          <w:i w:val="0"/>
          <w:color w:val="2C3E50"/>
          <w:sz w:val="32"/>
          <w:u w:val="single"/>
        </w:rPr>
        <w:t>Bibliographie</w:t>
      </w:r>
    </w:p>
    <w:p>
      <w:pPr>
        <w:spacing w:before="40" w:after="80"/>
        <w:ind w:left="454" w:hanging="454"/>
      </w:pPr>
      <w:r>
        <w:rPr>
          <w:rFonts w:ascii="Times New Roman" w:hAnsi="Times New Roman"/>
          <w:b/>
          <w:i w:val="0"/>
          <w:sz w:val="20"/>
        </w:rPr>
        <w:t xml:space="preserve">1. </w:t>
      </w:r>
      <w:r>
        <w:rPr>
          <w:rFonts w:ascii="Times New Roman" w:hAnsi="Times New Roman"/>
          <w:b w:val="0"/>
          <w:i w:val="0"/>
          <w:sz w:val="20"/>
        </w:rPr>
        <w:t>Fornari C, et al. (2019). Quantifying Drug-Induced Bone Marrow Toxicity Using a Semi-Mechanistic Pharmacokinetic-Pharmacodynamic Model. CPT Pharmacometrics Syst Pharmacol, 8(4):232–242.</w:t>
      </w:r>
    </w:p>
    <w:p>
      <w:pPr>
        <w:spacing w:before="40" w:after="80"/>
        <w:ind w:left="454" w:hanging="454"/>
      </w:pPr>
      <w:r>
        <w:rPr>
          <w:rFonts w:ascii="Times New Roman" w:hAnsi="Times New Roman"/>
          <w:b/>
          <w:i w:val="0"/>
          <w:sz w:val="20"/>
        </w:rPr>
        <w:t xml:space="preserve">2. </w:t>
      </w:r>
      <w:r>
        <w:rPr>
          <w:rFonts w:ascii="Times New Roman" w:hAnsi="Times New Roman"/>
          <w:b w:val="0"/>
          <w:i w:val="0"/>
          <w:sz w:val="20"/>
        </w:rPr>
        <w:t>Friberg LE, Henningsson A, Maas H, Nguyen L, Karlsson MO. (2002). Model of chemotherapy-induced myelosuppression with parameter consistency across drugs. J Clin Oncol, 20(24):4713–4721.</w:t>
      </w:r>
    </w:p>
    <w:p>
      <w:pPr>
        <w:spacing w:before="40" w:after="80"/>
        <w:ind w:left="454" w:hanging="454"/>
      </w:pPr>
      <w:r>
        <w:rPr>
          <w:rFonts w:ascii="Times New Roman" w:hAnsi="Times New Roman"/>
          <w:b/>
          <w:i w:val="0"/>
          <w:sz w:val="20"/>
        </w:rPr>
        <w:t xml:space="preserve">3. </w:t>
      </w:r>
      <w:r>
        <w:rPr>
          <w:rFonts w:ascii="Times New Roman" w:hAnsi="Times New Roman"/>
          <w:b w:val="0"/>
          <w:i w:val="0"/>
          <w:sz w:val="20"/>
        </w:rPr>
        <w:t>Ogitani Y, et al. (2016). DS-8201a, A Novel HER2-Targeting ADC with a Novel DNA Topoisomerase I Inhibitor, Demonstrates a Promising Antitumor Efficacy with Differentiation from T-DM1. Clin Cancer Res, 22(20):5097–5108.</w:t>
      </w:r>
    </w:p>
    <w:p>
      <w:pPr>
        <w:spacing w:before="40" w:after="80"/>
        <w:ind w:left="454" w:hanging="454"/>
      </w:pPr>
      <w:r>
        <w:rPr>
          <w:rFonts w:ascii="Times New Roman" w:hAnsi="Times New Roman"/>
          <w:b/>
          <w:i w:val="0"/>
          <w:sz w:val="20"/>
        </w:rPr>
        <w:t xml:space="preserve">4. </w:t>
      </w:r>
      <w:r>
        <w:rPr>
          <w:rFonts w:ascii="Times New Roman" w:hAnsi="Times New Roman"/>
          <w:b w:val="0"/>
          <w:i w:val="0"/>
          <w:sz w:val="20"/>
        </w:rPr>
        <w:t>Modi S, et al. (2020). Trastuzumab Deruxtecan in Previously Treated HER2-Positive Breast Cancer. N Engl J Med, 382(7):610–621. [DESTINY-Breast01]</w:t>
      </w:r>
    </w:p>
    <w:p>
      <w:pPr>
        <w:spacing w:before="40" w:after="80"/>
        <w:ind w:left="454" w:hanging="454"/>
      </w:pPr>
      <w:r>
        <w:rPr>
          <w:rFonts w:ascii="Times New Roman" w:hAnsi="Times New Roman"/>
          <w:b/>
          <w:i w:val="0"/>
          <w:sz w:val="20"/>
        </w:rPr>
        <w:t xml:space="preserve">5. </w:t>
      </w:r>
      <w:r>
        <w:rPr>
          <w:rFonts w:ascii="Times New Roman" w:hAnsi="Times New Roman"/>
          <w:b w:val="0"/>
          <w:i w:val="0"/>
          <w:sz w:val="20"/>
        </w:rPr>
        <w:t>FDA Center for Drug Evaluation and Research. (2019). BLA 761139 — Trastuzumab deruxtecan. Clinical Pharmacology Review and Integrated Summary. FDA.gov.</w:t>
      </w:r>
    </w:p>
    <w:p>
      <w:pPr>
        <w:spacing w:before="40" w:after="80"/>
        <w:ind w:left="454" w:hanging="454"/>
      </w:pPr>
      <w:r>
        <w:rPr>
          <w:rFonts w:ascii="Times New Roman" w:hAnsi="Times New Roman"/>
          <w:b/>
          <w:i w:val="0"/>
          <w:sz w:val="20"/>
        </w:rPr>
        <w:t xml:space="preserve">6. </w:t>
      </w:r>
      <w:r>
        <w:rPr>
          <w:rFonts w:ascii="Times New Roman" w:hAnsi="Times New Roman"/>
          <w:b w:val="0"/>
          <w:i w:val="0"/>
          <w:sz w:val="20"/>
        </w:rPr>
        <w:t>National Cancer Institute. (2017). Common Terminology Criteria for Adverse Events (CTCAE) Version 5.0. U.S. Department of Health and Human Services.</w:t>
      </w:r>
    </w:p>
    <w:p>
      <w:pPr>
        <w:spacing w:before="40" w:after="80"/>
        <w:ind w:left="454" w:hanging="454"/>
      </w:pPr>
      <w:r>
        <w:rPr>
          <w:rFonts w:ascii="Times New Roman" w:hAnsi="Times New Roman"/>
          <w:b/>
          <w:i w:val="0"/>
          <w:sz w:val="20"/>
        </w:rPr>
        <w:t xml:space="preserve">7. </w:t>
      </w:r>
      <w:r>
        <w:rPr>
          <w:rFonts w:ascii="Times New Roman" w:hAnsi="Times New Roman"/>
          <w:b w:val="0"/>
          <w:i w:val="0"/>
          <w:sz w:val="20"/>
        </w:rPr>
        <w:t>Wang W, et al. (2014). Antibody-Drug Conjugate Pharmacokinetics and Pharmacodynamics: Case Studies. Pharm Res, 31(12):3276–3292.</w:t>
      </w:r>
    </w:p>
    <w:p>
      <w:pPr>
        <w:spacing w:before="40" w:after="80"/>
        <w:ind w:left="454" w:hanging="454"/>
      </w:pPr>
      <w:r>
        <w:rPr>
          <w:rFonts w:ascii="Times New Roman" w:hAnsi="Times New Roman"/>
          <w:b/>
          <w:i w:val="0"/>
          <w:sz w:val="20"/>
        </w:rPr>
        <w:t xml:space="preserve">8. </w:t>
      </w:r>
      <w:r>
        <w:rPr>
          <w:rFonts w:ascii="Times New Roman" w:hAnsi="Times New Roman"/>
          <w:b w:val="0"/>
          <w:i w:val="0"/>
          <w:sz w:val="20"/>
        </w:rPr>
        <w:t>Wang J, Peng G. (2022). rxode2: Fast Numerical ODE System Solver for R. R package version 2.0.x. CRAN.</w:t>
      </w:r>
    </w:p>
    <w:p>
      <w:pPr>
        <w:spacing w:before="40" w:after="80"/>
        <w:ind w:left="454" w:hanging="454"/>
      </w:pPr>
      <w:r>
        <w:rPr>
          <w:rFonts w:ascii="Times New Roman" w:hAnsi="Times New Roman"/>
          <w:b/>
          <w:i w:val="0"/>
          <w:sz w:val="20"/>
        </w:rPr>
        <w:t xml:space="preserve">9. </w:t>
      </w:r>
      <w:r>
        <w:rPr>
          <w:rFonts w:ascii="Times New Roman" w:hAnsi="Times New Roman"/>
          <w:b w:val="0"/>
          <w:i w:val="0"/>
          <w:sz w:val="20"/>
        </w:rPr>
        <w:t>Krzyzanski W, et al. (2006). Basic pharmacodynamic models for agents that alter the lifespan distribution of natural cells. J Pharmacokinet Pharmacodyn, 33(5):523–554.</w:t>
      </w:r>
    </w:p>
    <w:p>
      <w:pPr>
        <w:spacing w:before="40" w:after="80"/>
        <w:ind w:left="454" w:hanging="454"/>
      </w:pPr>
      <w:r>
        <w:rPr>
          <w:rFonts w:ascii="Times New Roman" w:hAnsi="Times New Roman"/>
          <w:b/>
          <w:i w:val="0"/>
          <w:sz w:val="20"/>
        </w:rPr>
        <w:t xml:space="preserve">10. </w:t>
      </w:r>
      <w:r>
        <w:rPr>
          <w:rFonts w:ascii="Times New Roman" w:hAnsi="Times New Roman"/>
          <w:b w:val="0"/>
          <w:i w:val="0"/>
          <w:sz w:val="20"/>
        </w:rPr>
        <w:t>Gibiansky L, Gibiansky E. (2014). Target-Mediated Drug Disposition Model for Drugs That Bind to More Than One Target. J Pharmacokinet Pharmacodyn, 41(4):285–303.</w:t>
      </w:r>
    </w:p>
    <w:p>
      <w:pPr>
        <w:spacing w:before="40" w:after="80"/>
        <w:ind w:left="454" w:hanging="454"/>
      </w:pPr>
      <w:r>
        <w:rPr>
          <w:rFonts w:ascii="Times New Roman" w:hAnsi="Times New Roman"/>
          <w:b/>
          <w:i w:val="0"/>
          <w:sz w:val="20"/>
        </w:rPr>
        <w:t xml:space="preserve">11. </w:t>
      </w:r>
      <w:r>
        <w:rPr>
          <w:rFonts w:ascii="Times New Roman" w:hAnsi="Times New Roman"/>
          <w:b w:val="0"/>
          <w:i w:val="0"/>
          <w:sz w:val="20"/>
        </w:rPr>
        <w:t>Duffull SB, Rustem A, Beal SL. (1997). Interpreting the results of nonlinear mixed-effects models: An assessment of pharmacokinetic/pharmacodynamic models. Int J Pharm, 159(1):9–24.</w:t>
      </w:r>
    </w:p>
    <w:p>
      <w:pPr>
        <w:spacing w:before="40" w:after="80"/>
        <w:ind w:left="454" w:hanging="454"/>
      </w:pPr>
      <w:r>
        <w:rPr>
          <w:rFonts w:ascii="Times New Roman" w:hAnsi="Times New Roman"/>
          <w:b/>
          <w:i w:val="0"/>
          <w:sz w:val="20"/>
        </w:rPr>
        <w:t xml:space="preserve">12. </w:t>
      </w:r>
      <w:r>
        <w:rPr>
          <w:rFonts w:ascii="Times New Roman" w:hAnsi="Times New Roman"/>
          <w:b w:val="0"/>
          <w:i w:val="0"/>
          <w:sz w:val="20"/>
        </w:rPr>
        <w:t>European Medicines Agency (EMA). (2007). Guideline on the Role of Pharmacokinetics in the Development of Medicinal Products in the Paediatric Population. EMA/CHMP/EWP/147013/2004.</w:t>
      </w:r>
    </w:p>
    <w:p>
      <w:r>
        <w:br w:type="page"/>
      </w:r>
    </w:p>
    <w:p>
      <w:pPr>
        <w:keepNext/>
        <w:spacing w:before="360" w:after="80"/>
      </w:pPr>
      <w:r>
        <w:rPr>
          <w:rFonts w:ascii="Times New Roman" w:hAnsi="Times New Roman"/>
          <w:b/>
          <w:i w:val="0"/>
          <w:color w:val="2C3E50"/>
          <w:sz w:val="32"/>
          <w:u w:val="single"/>
        </w:rPr>
        <w:t>Annexes</w:t>
      </w:r>
    </w:p>
    <w:p>
      <w:pPr>
        <w:spacing w:before="240" w:after="80"/>
      </w:pPr>
      <w:r>
        <w:rPr>
          <w:rFonts w:ascii="Times New Roman" w:hAnsi="Times New Roman"/>
          <w:b/>
          <w:i w:val="0"/>
          <w:color w:val="34495E"/>
          <w:sz w:val="28"/>
        </w:rPr>
        <w:t>Annexe A1 — Système d'équations ODE complet</w:t>
      </w:r>
    </w:p>
    <w:p>
      <w:pPr>
        <w:spacing w:before="0" w:after="120"/>
        <w:ind w:firstLine="567"/>
        <w:jc w:val="both"/>
      </w:pPr>
      <w:r>
        <w:rPr>
          <w:rFonts w:ascii="Times New Roman" w:hAnsi="Times New Roman"/>
          <w:b w:val="0"/>
          <w:i w:val="0"/>
          <w:sz w:val="24"/>
        </w:rPr>
        <w:t>Compartiment de dommage :</w:t>
      </w:r>
    </w:p>
    <w:p>
      <w:pPr>
        <w:spacing w:before="120" w:after="120"/>
        <w:jc w:val="center"/>
      </w:pPr>
      <w:r>
        <w:rPr>
          <w:rFonts w:ascii="Courier New" w:hAnsi="Courier New"/>
          <w:b w:val="0"/>
          <w:i/>
          <w:color w:val="3C3C78"/>
          <w:sz w:val="22"/>
        </w:rPr>
        <w:t>dDamage/dt = k_dam × C_drug(µM) − k_rep × Damage</w:t>
      </w:r>
    </w:p>
    <w:p>
      <w:pPr>
        <w:spacing w:before="0" w:after="120"/>
        <w:ind w:firstLine="567"/>
        <w:jc w:val="both"/>
      </w:pPr>
      <w:r>
        <w:rPr>
          <w:rFonts w:ascii="Times New Roman" w:hAnsi="Times New Roman"/>
          <w:b w:val="0"/>
          <w:i w:val="0"/>
          <w:sz w:val="24"/>
        </w:rPr>
        <w:t>Progéniteurs :</w:t>
      </w:r>
    </w:p>
    <w:p>
      <w:pPr>
        <w:spacing w:before="120" w:after="120"/>
        <w:jc w:val="center"/>
      </w:pPr>
      <w:r>
        <w:rPr>
          <w:rFonts w:ascii="Courier New" w:hAnsi="Courier New"/>
          <w:b w:val="0"/>
          <w:i/>
          <w:color w:val="3C3C78"/>
          <w:sz w:val="22"/>
        </w:rPr>
        <w:t>dMPP/dt  = k_prol_MPP × (B_MPP/MPP)^γ × (1 − S_MPP × Damage) × MPP − k_tr_MPP × MPP</w:t>
      </w:r>
    </w:p>
    <w:p>
      <w:pPr>
        <w:spacing w:before="120" w:after="120"/>
        <w:jc w:val="center"/>
      </w:pPr>
      <w:r>
        <w:rPr>
          <w:rFonts w:ascii="Courier New" w:hAnsi="Courier New"/>
          <w:b w:val="0"/>
          <w:i/>
          <w:color w:val="3C3C78"/>
          <w:sz w:val="22"/>
        </w:rPr>
        <w:t>dCMP/dt  = k_tr_MPP × MPP × 0.6 − k_tr_CMP × CMP</w:t>
      </w:r>
    </w:p>
    <w:p>
      <w:pPr>
        <w:spacing w:before="120" w:after="120"/>
        <w:jc w:val="center"/>
      </w:pPr>
      <w:r>
        <w:rPr>
          <w:rFonts w:ascii="Courier New" w:hAnsi="Courier New"/>
          <w:b w:val="0"/>
          <w:i/>
          <w:color w:val="3C3C78"/>
          <w:sz w:val="22"/>
        </w:rPr>
        <w:t>dMEP/dt  = k_tr_MPP × MPP × 0.4 − k_tr_MEP × MEP</w:t>
      </w:r>
    </w:p>
    <w:p>
      <w:pPr>
        <w:spacing w:before="0" w:after="120"/>
        <w:ind w:firstLine="567"/>
        <w:jc w:val="both"/>
      </w:pPr>
      <w:r>
        <w:rPr>
          <w:rFonts w:ascii="Times New Roman" w:hAnsi="Times New Roman"/>
          <w:b w:val="0"/>
          <w:i w:val="0"/>
          <w:sz w:val="24"/>
        </w:rPr>
        <w:t>Lignée myéloïde :</w:t>
      </w:r>
    </w:p>
    <w:p>
      <w:pPr>
        <w:spacing w:before="120" w:after="120"/>
        <w:jc w:val="center"/>
      </w:pPr>
      <w:r>
        <w:rPr>
          <w:rFonts w:ascii="Courier New" w:hAnsi="Courier New"/>
          <w:b w:val="0"/>
          <w:i/>
          <w:color w:val="3C3C78"/>
          <w:sz w:val="22"/>
        </w:rPr>
        <w:t>dNeut/dt = k_tr_CMP × (1 − S_CMP × Damage) × CMP − k_e_Neut × Neut</w:t>
      </w:r>
    </w:p>
    <w:p>
      <w:pPr>
        <w:spacing w:before="120" w:after="120"/>
        <w:jc w:val="center"/>
      </w:pPr>
      <w:r>
        <w:rPr>
          <w:rFonts w:ascii="Courier New" w:hAnsi="Courier New"/>
          <w:b w:val="0"/>
          <w:i/>
          <w:color w:val="3C3C78"/>
          <w:sz w:val="22"/>
        </w:rPr>
        <w:t>dMono/dt = k_tr_CMP × (1 − S_CMP × Damage) × CMP × r_Mono − k_e_Mono × Mono</w:t>
      </w:r>
    </w:p>
    <w:p>
      <w:pPr>
        <w:spacing w:before="0" w:after="120"/>
        <w:ind w:firstLine="567"/>
        <w:jc w:val="both"/>
      </w:pPr>
      <w:r>
        <w:rPr>
          <w:rFonts w:ascii="Times New Roman" w:hAnsi="Times New Roman"/>
          <w:b w:val="0"/>
          <w:i w:val="0"/>
          <w:sz w:val="24"/>
        </w:rPr>
        <w:t>Lignée érythroïde :</w:t>
      </w:r>
    </w:p>
    <w:p>
      <w:pPr>
        <w:spacing w:before="120" w:after="120"/>
        <w:jc w:val="center"/>
      </w:pPr>
      <w:r>
        <w:rPr>
          <w:rFonts w:ascii="Courier New" w:hAnsi="Courier New"/>
          <w:b w:val="0"/>
          <w:i/>
          <w:color w:val="3C3C78"/>
          <w:sz w:val="22"/>
        </w:rPr>
        <w:t>dRet/dt  = k_tr_MEP × (1 − S_MEP × Damage) × MEP × r_Ret − k_tr_Ret × Ret</w:t>
      </w:r>
    </w:p>
    <w:p>
      <w:pPr>
        <w:spacing w:before="120" w:after="120"/>
        <w:jc w:val="center"/>
      </w:pPr>
      <w:r>
        <w:rPr>
          <w:rFonts w:ascii="Courier New" w:hAnsi="Courier New"/>
          <w:b w:val="0"/>
          <w:i/>
          <w:color w:val="3C3C78"/>
          <w:sz w:val="22"/>
        </w:rPr>
        <w:t>dRBC/dt  = k_tr_Ret × Ret − k_e_RBC × RBC</w:t>
      </w:r>
    </w:p>
    <w:p>
      <w:pPr>
        <w:spacing w:before="0" w:after="120"/>
        <w:ind w:firstLine="567"/>
        <w:jc w:val="both"/>
      </w:pPr>
      <w:r>
        <w:rPr>
          <w:rFonts w:ascii="Times New Roman" w:hAnsi="Times New Roman"/>
          <w:b w:val="0"/>
          <w:i w:val="0"/>
          <w:sz w:val="24"/>
        </w:rPr>
        <w:t>Lignée plaquettaire :</w:t>
      </w:r>
    </w:p>
    <w:p>
      <w:pPr>
        <w:spacing w:before="120" w:after="120"/>
        <w:jc w:val="center"/>
      </w:pPr>
      <w:r>
        <w:rPr>
          <w:rFonts w:ascii="Courier New" w:hAnsi="Courier New"/>
          <w:b w:val="0"/>
          <w:i/>
          <w:color w:val="3C3C78"/>
          <w:sz w:val="22"/>
        </w:rPr>
        <w:t>dPlt/dt  = k_tr_MEP × (1 − S_MEP × Damage) × MEP × r_Plt − k_e_Plt × Plt</w:t>
      </w:r>
    </w:p>
    <w:p>
      <w:pPr>
        <w:spacing w:before="0" w:after="120"/>
        <w:ind w:firstLine="567"/>
        <w:jc w:val="both"/>
      </w:pPr>
      <w:r>
        <w:rPr>
          <w:rFonts w:ascii="Times New Roman" w:hAnsi="Times New Roman"/>
          <w:b w:val="0"/>
          <w:i w:val="0"/>
          <w:sz w:val="24"/>
        </w:rPr>
        <w:t>Tous les paramètres k_prol, k_tr, k_e sont dérivés des valeurs biologiques à l'état d'équilibre par espèce (équations S4, Fornari 2019). S_MPP, S_CMP, S_MEP sont les paramètres de sensibilité (Slope) calibrés.</w:t>
      </w:r>
    </w:p>
    <w:p>
      <w:pPr>
        <w:spacing w:before="240" w:after="80"/>
      </w:pPr>
      <w:r>
        <w:rPr>
          <w:rFonts w:ascii="Times New Roman" w:hAnsi="Times New Roman"/>
          <w:b/>
          <w:i w:val="0"/>
          <w:color w:val="34495E"/>
          <w:sz w:val="28"/>
        </w:rPr>
        <w:t>Annexe A2 — Paramètres biologiques par espèce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551"/>
            <w:shd w:val="clear" w:color="auto" w:fill="2C3E50"/>
          </w:tcPr>
          <w:p>
            <w:pPr>
              <w:jc w:val="center"/>
            </w:pPr>
            <w:r>
              <w:rPr>
                <w:rFonts w:ascii="Times New Roman" w:hAnsi="Times New Roman"/>
                <w:b/>
                <w:i w:val="0"/>
                <w:color w:val="FFFFFF"/>
                <w:sz w:val="20"/>
              </w:rPr>
              <w:t>Paramètre</w:t>
            </w:r>
          </w:p>
        </w:tc>
        <w:tc>
          <w:tcPr>
            <w:tcW w:type="dxa" w:w="1417"/>
            <w:shd w:val="clear" w:color="auto" w:fill="2C3E50"/>
          </w:tcPr>
          <w:p>
            <w:pPr>
              <w:jc w:val="center"/>
            </w:pPr>
            <w:r>
              <w:rPr>
                <w:rFonts w:ascii="Times New Roman" w:hAnsi="Times New Roman"/>
                <w:b/>
                <w:i w:val="0"/>
                <w:color w:val="FFFFFF"/>
                <w:sz w:val="20"/>
              </w:rPr>
              <w:t>Rat</w:t>
            </w:r>
          </w:p>
        </w:tc>
        <w:tc>
          <w:tcPr>
            <w:tcW w:type="dxa" w:w="1984"/>
            <w:shd w:val="clear" w:color="auto" w:fill="2C3E50"/>
          </w:tcPr>
          <w:p>
            <w:pPr>
              <w:jc w:val="center"/>
            </w:pPr>
            <w:r>
              <w:rPr>
                <w:rFonts w:ascii="Times New Roman" w:hAnsi="Times New Roman"/>
                <w:b/>
                <w:i w:val="0"/>
                <w:color w:val="FFFFFF"/>
                <w:sz w:val="20"/>
              </w:rPr>
              <w:t>NHP (singe cynomolgus)</w:t>
            </w:r>
          </w:p>
        </w:tc>
        <w:tc>
          <w:tcPr>
            <w:tcW w:type="dxa" w:w="1417"/>
            <w:shd w:val="clear" w:color="auto" w:fill="2C3E50"/>
          </w:tcPr>
          <w:p>
            <w:pPr>
              <w:jc w:val="center"/>
            </w:pPr>
            <w:r>
              <w:rPr>
                <w:rFonts w:ascii="Times New Roman" w:hAnsi="Times New Roman"/>
                <w:b/>
                <w:i w:val="0"/>
                <w:color w:val="FFFFFF"/>
                <w:sz w:val="20"/>
              </w:rPr>
              <w:t>Humain</w:t>
            </w:r>
          </w:p>
        </w:tc>
        <w:tc>
          <w:tcPr>
            <w:tcW w:type="dxa" w:w="1134"/>
            <w:shd w:val="clear" w:color="auto" w:fill="2C3E50"/>
          </w:tcPr>
          <w:p>
            <w:pPr>
              <w:jc w:val="center"/>
            </w:pPr>
            <w:r>
              <w:rPr>
                <w:rFonts w:ascii="Times New Roman" w:hAnsi="Times New Roman"/>
                <w:b/>
                <w:i w:val="0"/>
                <w:color w:val="FFFFFF"/>
                <w:sz w:val="20"/>
              </w:rPr>
              <w:t>Unité</w:t>
            </w:r>
          </w:p>
        </w:tc>
      </w:tr>
      <w:tr>
        <w:tc>
          <w:tcPr>
            <w:tcW w:type="dxa" w:w="2551"/>
            <w:shd w:val="clear" w:color="auto" w:fill="F2F2F2"/>
          </w:tcPr>
          <w:p>
            <w:pPr>
              <w:jc w:val="center"/>
            </w:pPr>
            <w:r>
              <w:rPr>
                <w:rFonts w:ascii="Times New Roman" w:hAnsi="Times New Roman"/>
                <w:b w:val="0"/>
                <w:i w:val="0"/>
                <w:sz w:val="20"/>
              </w:rPr>
              <w:t>Neut baseline</w:t>
            </w:r>
          </w:p>
        </w:tc>
        <w:tc>
          <w:tcPr>
            <w:tcW w:type="dxa" w:w="1417"/>
            <w:shd w:val="clear" w:color="auto" w:fill="F2F2F2"/>
          </w:tcPr>
          <w:p>
            <w:pPr>
              <w:jc w:val="center"/>
            </w:pPr>
            <w:r>
              <w:rPr>
                <w:rFonts w:ascii="Times New Roman" w:hAnsi="Times New Roman"/>
                <w:b w:val="0"/>
                <w:i w:val="0"/>
                <w:sz w:val="20"/>
              </w:rPr>
              <w:t>2,35</w:t>
            </w:r>
          </w:p>
        </w:tc>
        <w:tc>
          <w:tcPr>
            <w:tcW w:type="dxa" w:w="1984"/>
            <w:shd w:val="clear" w:color="auto" w:fill="F2F2F2"/>
          </w:tcPr>
          <w:p>
            <w:pPr>
              <w:jc w:val="center"/>
            </w:pPr>
            <w:r>
              <w:rPr>
                <w:rFonts w:ascii="Times New Roman" w:hAnsi="Times New Roman"/>
                <w:b w:val="0"/>
                <w:i w:val="0"/>
                <w:sz w:val="20"/>
              </w:rPr>
              <w:t>3,5–5,5</w:t>
            </w:r>
          </w:p>
        </w:tc>
        <w:tc>
          <w:tcPr>
            <w:tcW w:type="dxa" w:w="1417"/>
            <w:shd w:val="clear" w:color="auto" w:fill="F2F2F2"/>
          </w:tcPr>
          <w:p>
            <w:pPr>
              <w:jc w:val="center"/>
            </w:pPr>
            <w:r>
              <w:rPr>
                <w:rFonts w:ascii="Times New Roman" w:hAnsi="Times New Roman"/>
                <w:b w:val="0"/>
                <w:i w:val="0"/>
                <w:sz w:val="20"/>
              </w:rPr>
              <w:t>4,5</w:t>
            </w:r>
          </w:p>
        </w:tc>
        <w:tc>
          <w:tcPr>
            <w:tcW w:type="dxa" w:w="1134"/>
            <w:shd w:val="clear" w:color="auto" w:fill="F2F2F2"/>
          </w:tcPr>
          <w:p>
            <w:pPr>
              <w:jc w:val="center"/>
            </w:pPr>
            <w:r>
              <w:rPr>
                <w:rFonts w:ascii="Times New Roman" w:hAnsi="Times New Roman"/>
                <w:b w:val="0"/>
                <w:i w:val="0"/>
                <w:sz w:val="20"/>
              </w:rPr>
              <w:t>×10⁹/L</w:t>
            </w:r>
          </w:p>
        </w:tc>
      </w:tr>
      <w:tr>
        <w:tc>
          <w:tcPr>
            <w:tcW w:type="dxa" w:w="2551"/>
            <w:shd w:val="clear" w:color="auto" w:fill="FFFFFF"/>
          </w:tcPr>
          <w:p>
            <w:pPr>
              <w:jc w:val="center"/>
            </w:pPr>
            <w:r>
              <w:rPr>
                <w:rFonts w:ascii="Times New Roman" w:hAnsi="Times New Roman"/>
                <w:b w:val="0"/>
                <w:i w:val="0"/>
                <w:sz w:val="20"/>
              </w:rPr>
              <w:t>Ret baseline</w:t>
            </w:r>
          </w:p>
        </w:tc>
        <w:tc>
          <w:tcPr>
            <w:tcW w:type="dxa" w:w="1417"/>
            <w:shd w:val="clear" w:color="auto" w:fill="FFFFFF"/>
          </w:tcPr>
          <w:p>
            <w:pPr>
              <w:jc w:val="center"/>
            </w:pPr>
            <w:r>
              <w:rPr>
                <w:rFonts w:ascii="Times New Roman" w:hAnsi="Times New Roman"/>
                <w:b w:val="0"/>
                <w:i w:val="0"/>
                <w:sz w:val="20"/>
              </w:rPr>
              <w:t>0,28</w:t>
            </w:r>
          </w:p>
        </w:tc>
        <w:tc>
          <w:tcPr>
            <w:tcW w:type="dxa" w:w="1984"/>
            <w:shd w:val="clear" w:color="auto" w:fill="FFFFFF"/>
          </w:tcPr>
          <w:p>
            <w:pPr>
              <w:jc w:val="center"/>
            </w:pPr>
            <w:r>
              <w:rPr>
                <w:rFonts w:ascii="Times New Roman" w:hAnsi="Times New Roman"/>
                <w:b w:val="0"/>
                <w:i w:val="0"/>
                <w:sz w:val="20"/>
              </w:rPr>
              <w:t>0,05–0,12</w:t>
            </w:r>
          </w:p>
        </w:tc>
        <w:tc>
          <w:tcPr>
            <w:tcW w:type="dxa" w:w="1417"/>
            <w:shd w:val="clear" w:color="auto" w:fill="FFFFFF"/>
          </w:tcPr>
          <w:p>
            <w:pPr>
              <w:jc w:val="center"/>
            </w:pPr>
            <w:r>
              <w:rPr>
                <w:rFonts w:ascii="Times New Roman" w:hAnsi="Times New Roman"/>
                <w:b w:val="0"/>
                <w:i w:val="0"/>
                <w:sz w:val="20"/>
              </w:rPr>
              <w:t>0,08</w:t>
            </w:r>
          </w:p>
        </w:tc>
        <w:tc>
          <w:tcPr>
            <w:tcW w:type="dxa" w:w="1134"/>
            <w:shd w:val="clear" w:color="auto" w:fill="FFFFFF"/>
          </w:tcPr>
          <w:p>
            <w:pPr>
              <w:jc w:val="center"/>
            </w:pPr>
            <w:r>
              <w:rPr>
                <w:rFonts w:ascii="Times New Roman" w:hAnsi="Times New Roman"/>
                <w:b w:val="0"/>
                <w:i w:val="0"/>
                <w:sz w:val="20"/>
              </w:rPr>
              <w:t>×10¹²/L</w:t>
            </w:r>
          </w:p>
        </w:tc>
      </w:tr>
      <w:tr>
        <w:tc>
          <w:tcPr>
            <w:tcW w:type="dxa" w:w="2551"/>
            <w:shd w:val="clear" w:color="auto" w:fill="F2F2F2"/>
          </w:tcPr>
          <w:p>
            <w:pPr>
              <w:jc w:val="center"/>
            </w:pPr>
            <w:r>
              <w:rPr>
                <w:rFonts w:ascii="Times New Roman" w:hAnsi="Times New Roman"/>
                <w:b w:val="0"/>
                <w:i w:val="0"/>
                <w:sz w:val="20"/>
              </w:rPr>
              <w:t>RBC baseline</w:t>
            </w:r>
          </w:p>
        </w:tc>
        <w:tc>
          <w:tcPr>
            <w:tcW w:type="dxa" w:w="1417"/>
            <w:shd w:val="clear" w:color="auto" w:fill="F2F2F2"/>
          </w:tcPr>
          <w:p>
            <w:pPr>
              <w:jc w:val="center"/>
            </w:pPr>
            <w:r>
              <w:rPr>
                <w:rFonts w:ascii="Times New Roman" w:hAnsi="Times New Roman"/>
                <w:b w:val="0"/>
                <w:i w:val="0"/>
                <w:sz w:val="20"/>
              </w:rPr>
              <w:t>7,8</w:t>
            </w:r>
          </w:p>
        </w:tc>
        <w:tc>
          <w:tcPr>
            <w:tcW w:type="dxa" w:w="1984"/>
            <w:shd w:val="clear" w:color="auto" w:fill="F2F2F2"/>
          </w:tcPr>
          <w:p>
            <w:pPr>
              <w:jc w:val="center"/>
            </w:pPr>
            <w:r>
              <w:rPr>
                <w:rFonts w:ascii="Times New Roman" w:hAnsi="Times New Roman"/>
                <w:b w:val="0"/>
                <w:i w:val="0"/>
                <w:sz w:val="20"/>
              </w:rPr>
              <w:t>4,5–6,0</w:t>
            </w:r>
          </w:p>
        </w:tc>
        <w:tc>
          <w:tcPr>
            <w:tcW w:type="dxa" w:w="1417"/>
            <w:shd w:val="clear" w:color="auto" w:fill="F2F2F2"/>
          </w:tcPr>
          <w:p>
            <w:pPr>
              <w:jc w:val="center"/>
            </w:pPr>
            <w:r>
              <w:rPr>
                <w:rFonts w:ascii="Times New Roman" w:hAnsi="Times New Roman"/>
                <w:b w:val="0"/>
                <w:i w:val="0"/>
                <w:sz w:val="20"/>
              </w:rPr>
              <w:t>5,0</w:t>
            </w:r>
          </w:p>
        </w:tc>
        <w:tc>
          <w:tcPr>
            <w:tcW w:type="dxa" w:w="1134"/>
            <w:shd w:val="clear" w:color="auto" w:fill="F2F2F2"/>
          </w:tcPr>
          <w:p>
            <w:pPr>
              <w:jc w:val="center"/>
            </w:pPr>
            <w:r>
              <w:rPr>
                <w:rFonts w:ascii="Times New Roman" w:hAnsi="Times New Roman"/>
                <w:b w:val="0"/>
                <w:i w:val="0"/>
                <w:sz w:val="20"/>
              </w:rPr>
              <w:t>×10¹²/L</w:t>
            </w:r>
          </w:p>
        </w:tc>
      </w:tr>
      <w:tr>
        <w:tc>
          <w:tcPr>
            <w:tcW w:type="dxa" w:w="2551"/>
            <w:shd w:val="clear" w:color="auto" w:fill="FFFFFF"/>
          </w:tcPr>
          <w:p>
            <w:pPr>
              <w:jc w:val="center"/>
            </w:pPr>
            <w:r>
              <w:rPr>
                <w:rFonts w:ascii="Times New Roman" w:hAnsi="Times New Roman"/>
                <w:b w:val="0"/>
                <w:i w:val="0"/>
                <w:sz w:val="20"/>
              </w:rPr>
              <w:t>Plt baseline</w:t>
            </w:r>
          </w:p>
        </w:tc>
        <w:tc>
          <w:tcPr>
            <w:tcW w:type="dxa" w:w="1417"/>
            <w:shd w:val="clear" w:color="auto" w:fill="FFFFFF"/>
          </w:tcPr>
          <w:p>
            <w:pPr>
              <w:jc w:val="center"/>
            </w:pPr>
            <w:r>
              <w:rPr>
                <w:rFonts w:ascii="Times New Roman" w:hAnsi="Times New Roman"/>
                <w:b w:val="0"/>
                <w:i w:val="0"/>
                <w:sz w:val="20"/>
              </w:rPr>
              <w:t>900</w:t>
            </w:r>
          </w:p>
        </w:tc>
        <w:tc>
          <w:tcPr>
            <w:tcW w:type="dxa" w:w="1984"/>
            <w:shd w:val="clear" w:color="auto" w:fill="FFFFFF"/>
          </w:tcPr>
          <w:p>
            <w:pPr>
              <w:jc w:val="center"/>
            </w:pPr>
            <w:r>
              <w:rPr>
                <w:rFonts w:ascii="Times New Roman" w:hAnsi="Times New Roman"/>
                <w:b w:val="0"/>
                <w:i w:val="0"/>
                <w:sz w:val="20"/>
              </w:rPr>
              <w:t>200–500</w:t>
            </w:r>
          </w:p>
        </w:tc>
        <w:tc>
          <w:tcPr>
            <w:tcW w:type="dxa" w:w="1417"/>
            <w:shd w:val="clear" w:color="auto" w:fill="FFFFFF"/>
          </w:tcPr>
          <w:p>
            <w:pPr>
              <w:jc w:val="center"/>
            </w:pPr>
            <w:r>
              <w:rPr>
                <w:rFonts w:ascii="Times New Roman" w:hAnsi="Times New Roman"/>
                <w:b w:val="0"/>
                <w:i w:val="0"/>
                <w:sz w:val="20"/>
              </w:rPr>
              <w:t>250</w:t>
            </w:r>
          </w:p>
        </w:tc>
        <w:tc>
          <w:tcPr>
            <w:tcW w:type="dxa" w:w="1134"/>
            <w:shd w:val="clear" w:color="auto" w:fill="FFFFFF"/>
          </w:tcPr>
          <w:p>
            <w:pPr>
              <w:jc w:val="center"/>
            </w:pPr>
            <w:r>
              <w:rPr>
                <w:rFonts w:ascii="Times New Roman" w:hAnsi="Times New Roman"/>
                <w:b w:val="0"/>
                <w:i w:val="0"/>
                <w:sz w:val="20"/>
              </w:rPr>
              <w:t>×10⁹/L</w:t>
            </w:r>
          </w:p>
        </w:tc>
      </w:tr>
      <w:tr>
        <w:tc>
          <w:tcPr>
            <w:tcW w:type="dxa" w:w="2551"/>
            <w:shd w:val="clear" w:color="auto" w:fill="F2F2F2"/>
          </w:tcPr>
          <w:p>
            <w:pPr>
              <w:jc w:val="center"/>
            </w:pPr>
            <w:r>
              <w:rPr>
                <w:rFonts w:ascii="Times New Roman" w:hAnsi="Times New Roman"/>
                <w:b w:val="0"/>
                <w:i w:val="0"/>
                <w:sz w:val="20"/>
              </w:rPr>
              <w:t>t½ Neut</w:t>
            </w:r>
          </w:p>
        </w:tc>
        <w:tc>
          <w:tcPr>
            <w:tcW w:type="dxa" w:w="1417"/>
            <w:shd w:val="clear" w:color="auto" w:fill="F2F2F2"/>
          </w:tcPr>
          <w:p>
            <w:pPr>
              <w:jc w:val="center"/>
            </w:pPr>
            <w:r>
              <w:rPr>
                <w:rFonts w:ascii="Times New Roman" w:hAnsi="Times New Roman"/>
                <w:b w:val="0"/>
                <w:i w:val="0"/>
                <w:sz w:val="20"/>
              </w:rPr>
              <w:t>6,9</w:t>
            </w:r>
          </w:p>
        </w:tc>
        <w:tc>
          <w:tcPr>
            <w:tcW w:type="dxa" w:w="1984"/>
            <w:shd w:val="clear" w:color="auto" w:fill="F2F2F2"/>
          </w:tcPr>
          <w:p>
            <w:pPr>
              <w:jc w:val="center"/>
            </w:pPr>
            <w:r>
              <w:rPr>
                <w:rFonts w:ascii="Times New Roman" w:hAnsi="Times New Roman"/>
                <w:b w:val="0"/>
                <w:i w:val="0"/>
                <w:sz w:val="20"/>
              </w:rPr>
              <w:t>7,0</w:t>
            </w:r>
          </w:p>
        </w:tc>
        <w:tc>
          <w:tcPr>
            <w:tcW w:type="dxa" w:w="1417"/>
            <w:shd w:val="clear" w:color="auto" w:fill="F2F2F2"/>
          </w:tcPr>
          <w:p>
            <w:pPr>
              <w:jc w:val="center"/>
            </w:pPr>
            <w:r>
              <w:rPr>
                <w:rFonts w:ascii="Times New Roman" w:hAnsi="Times New Roman"/>
                <w:b w:val="0"/>
                <w:i w:val="0"/>
                <w:sz w:val="20"/>
              </w:rPr>
              <w:t>7,0</w:t>
            </w:r>
          </w:p>
        </w:tc>
        <w:tc>
          <w:tcPr>
            <w:tcW w:type="dxa" w:w="1134"/>
            <w:shd w:val="clear" w:color="auto" w:fill="F2F2F2"/>
          </w:tcPr>
          <w:p>
            <w:pPr>
              <w:jc w:val="center"/>
            </w:pPr>
            <w:r>
              <w:rPr>
                <w:rFonts w:ascii="Times New Roman" w:hAnsi="Times New Roman"/>
                <w:b w:val="0"/>
                <w:i w:val="0"/>
                <w:sz w:val="20"/>
              </w:rPr>
              <w:t>h</w:t>
            </w:r>
          </w:p>
        </w:tc>
      </w:tr>
      <w:tr>
        <w:tc>
          <w:tcPr>
            <w:tcW w:type="dxa" w:w="2551"/>
            <w:shd w:val="clear" w:color="auto" w:fill="FFFFFF"/>
          </w:tcPr>
          <w:p>
            <w:pPr>
              <w:jc w:val="center"/>
            </w:pPr>
            <w:r>
              <w:rPr>
                <w:rFonts w:ascii="Times New Roman" w:hAnsi="Times New Roman"/>
                <w:b w:val="0"/>
                <w:i w:val="0"/>
                <w:sz w:val="20"/>
              </w:rPr>
              <w:t>t½ RBC</w:t>
            </w:r>
          </w:p>
        </w:tc>
        <w:tc>
          <w:tcPr>
            <w:tcW w:type="dxa" w:w="1417"/>
            <w:shd w:val="clear" w:color="auto" w:fill="FFFFFF"/>
          </w:tcPr>
          <w:p>
            <w:pPr>
              <w:jc w:val="center"/>
            </w:pPr>
            <w:r>
              <w:rPr>
                <w:rFonts w:ascii="Times New Roman" w:hAnsi="Times New Roman"/>
                <w:b w:val="0"/>
                <w:i w:val="0"/>
                <w:sz w:val="20"/>
              </w:rPr>
              <w:t>60</w:t>
            </w:r>
          </w:p>
        </w:tc>
        <w:tc>
          <w:tcPr>
            <w:tcW w:type="dxa" w:w="1984"/>
            <w:shd w:val="clear" w:color="auto" w:fill="FFFFFF"/>
          </w:tcPr>
          <w:p>
            <w:pPr>
              <w:jc w:val="center"/>
            </w:pPr>
            <w:r>
              <w:rPr>
                <w:rFonts w:ascii="Times New Roman" w:hAnsi="Times New Roman"/>
                <w:b w:val="0"/>
                <w:i w:val="0"/>
                <w:sz w:val="20"/>
              </w:rPr>
              <w:t>85</w:t>
            </w:r>
          </w:p>
        </w:tc>
        <w:tc>
          <w:tcPr>
            <w:tcW w:type="dxa" w:w="1417"/>
            <w:shd w:val="clear" w:color="auto" w:fill="FFFFFF"/>
          </w:tcPr>
          <w:p>
            <w:pPr>
              <w:jc w:val="center"/>
            </w:pPr>
            <w:r>
              <w:rPr>
                <w:rFonts w:ascii="Times New Roman" w:hAnsi="Times New Roman"/>
                <w:b w:val="0"/>
                <w:i w:val="0"/>
                <w:sz w:val="20"/>
              </w:rPr>
              <w:t>120</w:t>
            </w:r>
          </w:p>
        </w:tc>
        <w:tc>
          <w:tcPr>
            <w:tcW w:type="dxa" w:w="1134"/>
            <w:shd w:val="clear" w:color="auto" w:fill="FFFFFF"/>
          </w:tcPr>
          <w:p>
            <w:pPr>
              <w:jc w:val="center"/>
            </w:pPr>
            <w:r>
              <w:rPr>
                <w:rFonts w:ascii="Times New Roman" w:hAnsi="Times New Roman"/>
                <w:b w:val="0"/>
                <w:i w:val="0"/>
                <w:sz w:val="20"/>
              </w:rPr>
              <w:t>j</w:t>
            </w:r>
          </w:p>
        </w:tc>
      </w:tr>
      <w:tr>
        <w:tc>
          <w:tcPr>
            <w:tcW w:type="dxa" w:w="2551"/>
            <w:shd w:val="clear" w:color="auto" w:fill="F2F2F2"/>
          </w:tcPr>
          <w:p>
            <w:pPr>
              <w:jc w:val="center"/>
            </w:pPr>
            <w:r>
              <w:rPr>
                <w:rFonts w:ascii="Times New Roman" w:hAnsi="Times New Roman"/>
                <w:b w:val="0"/>
                <w:i w:val="0"/>
                <w:sz w:val="20"/>
              </w:rPr>
              <w:t>t½ Plt</w:t>
            </w:r>
          </w:p>
        </w:tc>
        <w:tc>
          <w:tcPr>
            <w:tcW w:type="dxa" w:w="1417"/>
            <w:shd w:val="clear" w:color="auto" w:fill="F2F2F2"/>
          </w:tcPr>
          <w:p>
            <w:pPr>
              <w:jc w:val="center"/>
            </w:pPr>
            <w:r>
              <w:rPr>
                <w:rFonts w:ascii="Times New Roman" w:hAnsi="Times New Roman"/>
                <w:b w:val="0"/>
                <w:i w:val="0"/>
                <w:sz w:val="20"/>
              </w:rPr>
              <w:t>5</w:t>
            </w:r>
          </w:p>
        </w:tc>
        <w:tc>
          <w:tcPr>
            <w:tcW w:type="dxa" w:w="1984"/>
            <w:shd w:val="clear" w:color="auto" w:fill="F2F2F2"/>
          </w:tcPr>
          <w:p>
            <w:pPr>
              <w:jc w:val="center"/>
            </w:pPr>
            <w:r>
              <w:rPr>
                <w:rFonts w:ascii="Times New Roman" w:hAnsi="Times New Roman"/>
                <w:b w:val="0"/>
                <w:i w:val="0"/>
                <w:sz w:val="20"/>
              </w:rPr>
              <w:t>9</w:t>
            </w:r>
          </w:p>
        </w:tc>
        <w:tc>
          <w:tcPr>
            <w:tcW w:type="dxa" w:w="1417"/>
            <w:shd w:val="clear" w:color="auto" w:fill="F2F2F2"/>
          </w:tcPr>
          <w:p>
            <w:pPr>
              <w:jc w:val="center"/>
            </w:pPr>
            <w:r>
              <w:rPr>
                <w:rFonts w:ascii="Times New Roman" w:hAnsi="Times New Roman"/>
                <w:b w:val="0"/>
                <w:i w:val="0"/>
                <w:sz w:val="20"/>
              </w:rPr>
              <w:t>10</w:t>
            </w:r>
          </w:p>
        </w:tc>
        <w:tc>
          <w:tcPr>
            <w:tcW w:type="dxa" w:w="1134"/>
            <w:shd w:val="clear" w:color="auto" w:fill="F2F2F2"/>
          </w:tcPr>
          <w:p>
            <w:pPr>
              <w:jc w:val="center"/>
            </w:pPr>
            <w:r>
              <w:rPr>
                <w:rFonts w:ascii="Times New Roman" w:hAnsi="Times New Roman"/>
                <w:b w:val="0"/>
                <w:i w:val="0"/>
                <w:sz w:val="20"/>
              </w:rPr>
              <w:t>j</w:t>
            </w:r>
          </w:p>
        </w:tc>
      </w:tr>
      <w:tr>
        <w:tc>
          <w:tcPr>
            <w:tcW w:type="dxa" w:w="2551"/>
            <w:shd w:val="clear" w:color="auto" w:fill="FFFFFF"/>
          </w:tcPr>
          <w:p>
            <w:pPr>
              <w:jc w:val="center"/>
            </w:pPr>
            <w:r>
              <w:rPr>
                <w:rFonts w:ascii="Times New Roman" w:hAnsi="Times New Roman"/>
                <w:b w:val="0"/>
                <w:i w:val="0"/>
                <w:sz w:val="20"/>
              </w:rPr>
              <w:t>γ (feedback)</w:t>
            </w:r>
          </w:p>
        </w:tc>
        <w:tc>
          <w:tcPr>
            <w:tcW w:type="dxa" w:w="1417"/>
            <w:shd w:val="clear" w:color="auto" w:fill="FFFFFF"/>
          </w:tcPr>
          <w:p>
            <w:pPr>
              <w:jc w:val="center"/>
            </w:pPr>
            <w:r>
              <w:rPr>
                <w:rFonts w:ascii="Times New Roman" w:hAnsi="Times New Roman"/>
                <w:b w:val="0"/>
                <w:i w:val="0"/>
                <w:sz w:val="20"/>
              </w:rPr>
              <w:t>0,20</w:t>
            </w:r>
          </w:p>
        </w:tc>
        <w:tc>
          <w:tcPr>
            <w:tcW w:type="dxa" w:w="1984"/>
            <w:shd w:val="clear" w:color="auto" w:fill="FFFFFF"/>
          </w:tcPr>
          <w:p>
            <w:pPr>
              <w:jc w:val="center"/>
            </w:pPr>
            <w:r>
              <w:rPr>
                <w:rFonts w:ascii="Times New Roman" w:hAnsi="Times New Roman"/>
                <w:b w:val="0"/>
                <w:i w:val="0"/>
                <w:sz w:val="20"/>
              </w:rPr>
              <w:t>0,20</w:t>
            </w:r>
          </w:p>
        </w:tc>
        <w:tc>
          <w:tcPr>
            <w:tcW w:type="dxa" w:w="1417"/>
            <w:shd w:val="clear" w:color="auto" w:fill="FFFFFF"/>
          </w:tcPr>
          <w:p>
            <w:pPr>
              <w:jc w:val="center"/>
            </w:pPr>
            <w:r>
              <w:rPr>
                <w:rFonts w:ascii="Times New Roman" w:hAnsi="Times New Roman"/>
                <w:b w:val="0"/>
                <w:i w:val="0"/>
                <w:sz w:val="20"/>
              </w:rPr>
              <w:t>0,20</w:t>
            </w:r>
          </w:p>
        </w:tc>
        <w:tc>
          <w:tcPr>
            <w:tcW w:type="dxa" w:w="1134"/>
            <w:shd w:val="clear" w:color="auto" w:fill="FFFFFF"/>
          </w:tcPr>
          <w:p>
            <w:pPr>
              <w:jc w:val="center"/>
            </w:pPr>
            <w:r>
              <w:rPr>
                <w:rFonts w:ascii="Times New Roman" w:hAnsi="Times New Roman"/>
                <w:b w:val="0"/>
                <w:i w:val="0"/>
                <w:sz w:val="20"/>
              </w:rPr>
              <w:t>—</w:t>
            </w:r>
          </w:p>
        </w:tc>
      </w:tr>
    </w:tbl>
    <w:p>
      <w:pPr>
        <w:spacing w:before="240" w:after="80"/>
      </w:pPr>
      <w:r>
        <w:rPr>
          <w:rFonts w:ascii="Times New Roman" w:hAnsi="Times New Roman"/>
          <w:b/>
          <w:i w:val="0"/>
          <w:color w:val="34495E"/>
          <w:sz w:val="28"/>
        </w:rPr>
        <w:t>Annexe A3 — Seuils CTCAE v5 utilisés dans le modèle</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984"/>
            <w:shd w:val="clear" w:color="auto" w:fill="2C3E50"/>
          </w:tcPr>
          <w:p>
            <w:pPr>
              <w:jc w:val="center"/>
            </w:pPr>
            <w:r>
              <w:rPr>
                <w:rFonts w:ascii="Times New Roman" w:hAnsi="Times New Roman"/>
                <w:b/>
                <w:i w:val="0"/>
                <w:color w:val="FFFFFF"/>
                <w:sz w:val="20"/>
              </w:rPr>
              <w:t>Toxicité</w:t>
            </w:r>
          </w:p>
        </w:tc>
        <w:tc>
          <w:tcPr>
            <w:tcW w:type="dxa" w:w="1701"/>
            <w:shd w:val="clear" w:color="auto" w:fill="2C3E50"/>
          </w:tcPr>
          <w:p>
            <w:pPr>
              <w:jc w:val="center"/>
            </w:pPr>
            <w:r>
              <w:rPr>
                <w:rFonts w:ascii="Times New Roman" w:hAnsi="Times New Roman"/>
                <w:b/>
                <w:i w:val="0"/>
                <w:color w:val="FFFFFF"/>
                <w:sz w:val="20"/>
              </w:rPr>
              <w:t>Cellule sentinelle</w:t>
            </w:r>
          </w:p>
        </w:tc>
        <w:tc>
          <w:tcPr>
            <w:tcW w:type="dxa" w:w="850"/>
            <w:shd w:val="clear" w:color="auto" w:fill="2C3E50"/>
          </w:tcPr>
          <w:p>
            <w:pPr>
              <w:jc w:val="center"/>
            </w:pPr>
            <w:r>
              <w:rPr>
                <w:rFonts w:ascii="Times New Roman" w:hAnsi="Times New Roman"/>
                <w:b/>
                <w:i w:val="0"/>
                <w:color w:val="FFFFFF"/>
                <w:sz w:val="20"/>
              </w:rPr>
              <w:t>G0</w:t>
            </w:r>
          </w:p>
        </w:tc>
        <w:tc>
          <w:tcPr>
            <w:tcW w:type="dxa" w:w="1134"/>
            <w:shd w:val="clear" w:color="auto" w:fill="2C3E50"/>
          </w:tcPr>
          <w:p>
            <w:pPr>
              <w:jc w:val="center"/>
            </w:pPr>
            <w:r>
              <w:rPr>
                <w:rFonts w:ascii="Times New Roman" w:hAnsi="Times New Roman"/>
                <w:b/>
                <w:i w:val="0"/>
                <w:color w:val="FFFFFF"/>
                <w:sz w:val="20"/>
              </w:rPr>
              <w:t>G1</w:t>
            </w:r>
          </w:p>
        </w:tc>
        <w:tc>
          <w:tcPr>
            <w:tcW w:type="dxa" w:w="1134"/>
            <w:shd w:val="clear" w:color="auto" w:fill="2C3E50"/>
          </w:tcPr>
          <w:p>
            <w:pPr>
              <w:jc w:val="center"/>
            </w:pPr>
            <w:r>
              <w:rPr>
                <w:rFonts w:ascii="Times New Roman" w:hAnsi="Times New Roman"/>
                <w:b/>
                <w:i w:val="0"/>
                <w:color w:val="FFFFFF"/>
                <w:sz w:val="20"/>
              </w:rPr>
              <w:t>G2</w:t>
            </w:r>
          </w:p>
        </w:tc>
        <w:tc>
          <w:tcPr>
            <w:tcW w:type="dxa" w:w="1134"/>
            <w:shd w:val="clear" w:color="auto" w:fill="2C3E50"/>
          </w:tcPr>
          <w:p>
            <w:pPr>
              <w:jc w:val="center"/>
            </w:pPr>
            <w:r>
              <w:rPr>
                <w:rFonts w:ascii="Times New Roman" w:hAnsi="Times New Roman"/>
                <w:b/>
                <w:i w:val="0"/>
                <w:color w:val="FFFFFF"/>
                <w:sz w:val="20"/>
              </w:rPr>
              <w:t>G3</w:t>
            </w:r>
          </w:p>
        </w:tc>
        <w:tc>
          <w:tcPr>
            <w:tcW w:type="dxa" w:w="850"/>
            <w:shd w:val="clear" w:color="auto" w:fill="2C3E50"/>
          </w:tcPr>
          <w:p>
            <w:pPr>
              <w:jc w:val="center"/>
            </w:pPr>
            <w:r>
              <w:rPr>
                <w:rFonts w:ascii="Times New Roman" w:hAnsi="Times New Roman"/>
                <w:b/>
                <w:i w:val="0"/>
                <w:color w:val="FFFFFF"/>
                <w:sz w:val="20"/>
              </w:rPr>
              <w:t>G4</w:t>
            </w:r>
          </w:p>
        </w:tc>
        <w:tc>
          <w:tcPr>
            <w:tcW w:type="dxa" w:w="1417"/>
            <w:shd w:val="clear" w:color="auto" w:fill="2C3E50"/>
          </w:tcPr>
          <w:p>
            <w:pPr>
              <w:jc w:val="center"/>
            </w:pPr>
            <w:r>
              <w:rPr>
                <w:rFonts w:ascii="Times New Roman" w:hAnsi="Times New Roman"/>
                <w:b/>
                <w:i w:val="0"/>
                <w:color w:val="FFFFFF"/>
                <w:sz w:val="20"/>
              </w:rPr>
              <w:t>Unité</w:t>
            </w:r>
          </w:p>
        </w:tc>
      </w:tr>
      <w:tr>
        <w:tc>
          <w:tcPr>
            <w:tcW w:type="dxa" w:w="1984"/>
            <w:shd w:val="clear" w:color="auto" w:fill="F2F2F2"/>
          </w:tcPr>
          <w:p>
            <w:pPr>
              <w:jc w:val="center"/>
            </w:pPr>
            <w:r>
              <w:rPr>
                <w:rFonts w:ascii="Times New Roman" w:hAnsi="Times New Roman"/>
                <w:b w:val="0"/>
                <w:i w:val="0"/>
                <w:sz w:val="20"/>
              </w:rPr>
              <w:t>Neutropénie</w:t>
            </w:r>
          </w:p>
        </w:tc>
        <w:tc>
          <w:tcPr>
            <w:tcW w:type="dxa" w:w="1701"/>
            <w:shd w:val="clear" w:color="auto" w:fill="F2F2F2"/>
          </w:tcPr>
          <w:p>
            <w:pPr>
              <w:jc w:val="center"/>
            </w:pPr>
            <w:r>
              <w:rPr>
                <w:rFonts w:ascii="Times New Roman" w:hAnsi="Times New Roman"/>
                <w:b w:val="0"/>
                <w:i w:val="0"/>
                <w:sz w:val="20"/>
              </w:rPr>
              <w:t>Neutrophiles</w:t>
            </w:r>
          </w:p>
        </w:tc>
        <w:tc>
          <w:tcPr>
            <w:tcW w:type="dxa" w:w="850"/>
            <w:shd w:val="clear" w:color="auto" w:fill="F2F2F2"/>
          </w:tcPr>
          <w:p>
            <w:pPr>
              <w:jc w:val="center"/>
            </w:pPr>
            <w:r>
              <w:rPr>
                <w:rFonts w:ascii="Times New Roman" w:hAnsi="Times New Roman"/>
                <w:b w:val="0"/>
                <w:i w:val="0"/>
                <w:sz w:val="20"/>
              </w:rPr>
              <w:t>≥2,0</w:t>
            </w:r>
          </w:p>
        </w:tc>
        <w:tc>
          <w:tcPr>
            <w:tcW w:type="dxa" w:w="1134"/>
            <w:shd w:val="clear" w:color="auto" w:fill="F2F2F2"/>
          </w:tcPr>
          <w:p>
            <w:pPr>
              <w:jc w:val="center"/>
            </w:pPr>
            <w:r>
              <w:rPr>
                <w:rFonts w:ascii="Times New Roman" w:hAnsi="Times New Roman"/>
                <w:b w:val="0"/>
                <w:i w:val="0"/>
                <w:sz w:val="20"/>
              </w:rPr>
              <w:t>1,5–2,0</w:t>
            </w:r>
          </w:p>
        </w:tc>
        <w:tc>
          <w:tcPr>
            <w:tcW w:type="dxa" w:w="1134"/>
            <w:shd w:val="clear" w:color="auto" w:fill="F2F2F2"/>
          </w:tcPr>
          <w:p>
            <w:pPr>
              <w:jc w:val="center"/>
            </w:pPr>
            <w:r>
              <w:rPr>
                <w:rFonts w:ascii="Times New Roman" w:hAnsi="Times New Roman"/>
                <w:b w:val="0"/>
                <w:i w:val="0"/>
                <w:sz w:val="20"/>
              </w:rPr>
              <w:t>1,0–1,5</w:t>
            </w:r>
          </w:p>
        </w:tc>
        <w:tc>
          <w:tcPr>
            <w:tcW w:type="dxa" w:w="1134"/>
            <w:shd w:val="clear" w:color="auto" w:fill="F2F2F2"/>
          </w:tcPr>
          <w:p>
            <w:pPr>
              <w:jc w:val="center"/>
            </w:pPr>
            <w:r>
              <w:rPr>
                <w:rFonts w:ascii="Times New Roman" w:hAnsi="Times New Roman"/>
                <w:b w:val="0"/>
                <w:i w:val="0"/>
                <w:sz w:val="20"/>
              </w:rPr>
              <w:t>0,5–1,0</w:t>
            </w:r>
          </w:p>
        </w:tc>
        <w:tc>
          <w:tcPr>
            <w:tcW w:type="dxa" w:w="850"/>
            <w:shd w:val="clear" w:color="auto" w:fill="F2F2F2"/>
          </w:tcPr>
          <w:p>
            <w:pPr>
              <w:jc w:val="center"/>
            </w:pPr>
            <w:r>
              <w:rPr>
                <w:rFonts w:ascii="Times New Roman" w:hAnsi="Times New Roman"/>
                <w:b w:val="0"/>
                <w:i w:val="0"/>
                <w:sz w:val="20"/>
              </w:rPr>
              <w:t>&lt;0,5</w:t>
            </w:r>
          </w:p>
        </w:tc>
        <w:tc>
          <w:tcPr>
            <w:tcW w:type="dxa" w:w="1417"/>
            <w:shd w:val="clear" w:color="auto" w:fill="F2F2F2"/>
          </w:tcPr>
          <w:p>
            <w:pPr>
              <w:jc w:val="center"/>
            </w:pPr>
            <w:r>
              <w:rPr>
                <w:rFonts w:ascii="Times New Roman" w:hAnsi="Times New Roman"/>
                <w:b w:val="0"/>
                <w:i w:val="0"/>
                <w:sz w:val="20"/>
              </w:rPr>
              <w:t>×10⁹/L</w:t>
            </w:r>
          </w:p>
        </w:tc>
      </w:tr>
      <w:tr>
        <w:tc>
          <w:tcPr>
            <w:tcW w:type="dxa" w:w="1984"/>
            <w:shd w:val="clear" w:color="auto" w:fill="FFFFFF"/>
          </w:tcPr>
          <w:p>
            <w:pPr>
              <w:jc w:val="center"/>
            </w:pPr>
            <w:r>
              <w:rPr>
                <w:rFonts w:ascii="Times New Roman" w:hAnsi="Times New Roman"/>
                <w:b w:val="0"/>
                <w:i w:val="0"/>
                <w:sz w:val="20"/>
              </w:rPr>
              <w:t>Anémie</w:t>
            </w:r>
          </w:p>
        </w:tc>
        <w:tc>
          <w:tcPr>
            <w:tcW w:type="dxa" w:w="1701"/>
            <w:shd w:val="clear" w:color="auto" w:fill="FFFFFF"/>
          </w:tcPr>
          <w:p>
            <w:pPr>
              <w:jc w:val="center"/>
            </w:pPr>
            <w:r>
              <w:rPr>
                <w:rFonts w:ascii="Times New Roman" w:hAnsi="Times New Roman"/>
                <w:b w:val="0"/>
                <w:i w:val="0"/>
                <w:sz w:val="20"/>
              </w:rPr>
              <w:t>RBC (proxy Hb)</w:t>
            </w:r>
          </w:p>
        </w:tc>
        <w:tc>
          <w:tcPr>
            <w:tcW w:type="dxa" w:w="850"/>
            <w:shd w:val="clear" w:color="auto" w:fill="FFFFFF"/>
          </w:tcPr>
          <w:p>
            <w:pPr>
              <w:jc w:val="center"/>
            </w:pPr>
            <w:r>
              <w:rPr>
                <w:rFonts w:ascii="Times New Roman" w:hAnsi="Times New Roman"/>
                <w:b w:val="0"/>
                <w:i w:val="0"/>
                <w:sz w:val="20"/>
              </w:rPr>
              <w:t>≥4,5</w:t>
            </w:r>
          </w:p>
        </w:tc>
        <w:tc>
          <w:tcPr>
            <w:tcW w:type="dxa" w:w="1134"/>
            <w:shd w:val="clear" w:color="auto" w:fill="FFFFFF"/>
          </w:tcPr>
          <w:p>
            <w:pPr>
              <w:jc w:val="center"/>
            </w:pPr>
            <w:r>
              <w:rPr>
                <w:rFonts w:ascii="Times New Roman" w:hAnsi="Times New Roman"/>
                <w:b w:val="0"/>
                <w:i w:val="0"/>
                <w:sz w:val="20"/>
              </w:rPr>
              <w:t>4,0–4,5</w:t>
            </w:r>
          </w:p>
        </w:tc>
        <w:tc>
          <w:tcPr>
            <w:tcW w:type="dxa" w:w="1134"/>
            <w:shd w:val="clear" w:color="auto" w:fill="FFFFFF"/>
          </w:tcPr>
          <w:p>
            <w:pPr>
              <w:jc w:val="center"/>
            </w:pPr>
            <w:r>
              <w:rPr>
                <w:rFonts w:ascii="Times New Roman" w:hAnsi="Times New Roman"/>
                <w:b w:val="0"/>
                <w:i w:val="0"/>
                <w:sz w:val="20"/>
              </w:rPr>
              <w:t>3,5–4,0</w:t>
            </w:r>
          </w:p>
        </w:tc>
        <w:tc>
          <w:tcPr>
            <w:tcW w:type="dxa" w:w="1134"/>
            <w:shd w:val="clear" w:color="auto" w:fill="FFFFFF"/>
          </w:tcPr>
          <w:p>
            <w:pPr>
              <w:jc w:val="center"/>
            </w:pPr>
            <w:r>
              <w:rPr>
                <w:rFonts w:ascii="Times New Roman" w:hAnsi="Times New Roman"/>
                <w:b w:val="0"/>
                <w:i w:val="0"/>
                <w:sz w:val="20"/>
              </w:rPr>
              <w:t>&lt;3,5</w:t>
            </w:r>
          </w:p>
        </w:tc>
        <w:tc>
          <w:tcPr>
            <w:tcW w:type="dxa" w:w="850"/>
            <w:shd w:val="clear" w:color="auto" w:fill="FFFFFF"/>
          </w:tcPr>
          <w:p>
            <w:pPr>
              <w:jc w:val="center"/>
            </w:pPr>
            <w:r>
              <w:rPr>
                <w:rFonts w:ascii="Times New Roman" w:hAnsi="Times New Roman"/>
                <w:b w:val="0"/>
                <w:i w:val="0"/>
                <w:sz w:val="20"/>
              </w:rPr>
              <w:t>—</w:t>
            </w:r>
          </w:p>
        </w:tc>
        <w:tc>
          <w:tcPr>
            <w:tcW w:type="dxa" w:w="1417"/>
            <w:shd w:val="clear" w:color="auto" w:fill="FFFFFF"/>
          </w:tcPr>
          <w:p>
            <w:pPr>
              <w:jc w:val="center"/>
            </w:pPr>
            <w:r>
              <w:rPr>
                <w:rFonts w:ascii="Times New Roman" w:hAnsi="Times New Roman"/>
                <w:b w:val="0"/>
                <w:i w:val="0"/>
                <w:sz w:val="20"/>
              </w:rPr>
              <w:t>×10¹²/L</w:t>
            </w:r>
          </w:p>
        </w:tc>
      </w:tr>
      <w:tr>
        <w:tc>
          <w:tcPr>
            <w:tcW w:type="dxa" w:w="1984"/>
            <w:shd w:val="clear" w:color="auto" w:fill="F2F2F2"/>
          </w:tcPr>
          <w:p>
            <w:pPr>
              <w:jc w:val="center"/>
            </w:pPr>
            <w:r>
              <w:rPr>
                <w:rFonts w:ascii="Times New Roman" w:hAnsi="Times New Roman"/>
                <w:b w:val="0"/>
                <w:i w:val="0"/>
                <w:sz w:val="20"/>
              </w:rPr>
              <w:t>Thrombocytopénie</w:t>
            </w:r>
          </w:p>
        </w:tc>
        <w:tc>
          <w:tcPr>
            <w:tcW w:type="dxa" w:w="1701"/>
            <w:shd w:val="clear" w:color="auto" w:fill="F2F2F2"/>
          </w:tcPr>
          <w:p>
            <w:pPr>
              <w:jc w:val="center"/>
            </w:pPr>
            <w:r>
              <w:rPr>
                <w:rFonts w:ascii="Times New Roman" w:hAnsi="Times New Roman"/>
                <w:b w:val="0"/>
                <w:i w:val="0"/>
                <w:sz w:val="20"/>
              </w:rPr>
              <w:t>Plaquettes</w:t>
            </w:r>
          </w:p>
        </w:tc>
        <w:tc>
          <w:tcPr>
            <w:tcW w:type="dxa" w:w="850"/>
            <w:shd w:val="clear" w:color="auto" w:fill="F2F2F2"/>
          </w:tcPr>
          <w:p>
            <w:pPr>
              <w:jc w:val="center"/>
            </w:pPr>
            <w:r>
              <w:rPr>
                <w:rFonts w:ascii="Times New Roman" w:hAnsi="Times New Roman"/>
                <w:b w:val="0"/>
                <w:i w:val="0"/>
                <w:sz w:val="20"/>
              </w:rPr>
              <w:t>≥150</w:t>
            </w:r>
          </w:p>
        </w:tc>
        <w:tc>
          <w:tcPr>
            <w:tcW w:type="dxa" w:w="1134"/>
            <w:shd w:val="clear" w:color="auto" w:fill="F2F2F2"/>
          </w:tcPr>
          <w:p>
            <w:pPr>
              <w:jc w:val="center"/>
            </w:pPr>
            <w:r>
              <w:rPr>
                <w:rFonts w:ascii="Times New Roman" w:hAnsi="Times New Roman"/>
                <w:b w:val="0"/>
                <w:i w:val="0"/>
                <w:sz w:val="20"/>
              </w:rPr>
              <w:t>75–150</w:t>
            </w:r>
          </w:p>
        </w:tc>
        <w:tc>
          <w:tcPr>
            <w:tcW w:type="dxa" w:w="1134"/>
            <w:shd w:val="clear" w:color="auto" w:fill="F2F2F2"/>
          </w:tcPr>
          <w:p>
            <w:pPr>
              <w:jc w:val="center"/>
            </w:pPr>
            <w:r>
              <w:rPr>
                <w:rFonts w:ascii="Times New Roman" w:hAnsi="Times New Roman"/>
                <w:b w:val="0"/>
                <w:i w:val="0"/>
                <w:sz w:val="20"/>
              </w:rPr>
              <w:t>50–75</w:t>
            </w:r>
          </w:p>
        </w:tc>
        <w:tc>
          <w:tcPr>
            <w:tcW w:type="dxa" w:w="1134"/>
            <w:shd w:val="clear" w:color="auto" w:fill="F2F2F2"/>
          </w:tcPr>
          <w:p>
            <w:pPr>
              <w:jc w:val="center"/>
            </w:pPr>
            <w:r>
              <w:rPr>
                <w:rFonts w:ascii="Times New Roman" w:hAnsi="Times New Roman"/>
                <w:b w:val="0"/>
                <w:i w:val="0"/>
                <w:sz w:val="20"/>
              </w:rPr>
              <w:t>25–50</w:t>
            </w:r>
          </w:p>
        </w:tc>
        <w:tc>
          <w:tcPr>
            <w:tcW w:type="dxa" w:w="850"/>
            <w:shd w:val="clear" w:color="auto" w:fill="F2F2F2"/>
          </w:tcPr>
          <w:p>
            <w:pPr>
              <w:jc w:val="center"/>
            </w:pPr>
            <w:r>
              <w:rPr>
                <w:rFonts w:ascii="Times New Roman" w:hAnsi="Times New Roman"/>
                <w:b w:val="0"/>
                <w:i w:val="0"/>
                <w:sz w:val="20"/>
              </w:rPr>
              <w:t>&lt;25</w:t>
            </w:r>
          </w:p>
        </w:tc>
        <w:tc>
          <w:tcPr>
            <w:tcW w:type="dxa" w:w="1417"/>
            <w:shd w:val="clear" w:color="auto" w:fill="F2F2F2"/>
          </w:tcPr>
          <w:p>
            <w:pPr>
              <w:jc w:val="center"/>
            </w:pPr>
            <w:r>
              <w:rPr>
                <w:rFonts w:ascii="Times New Roman" w:hAnsi="Times New Roman"/>
                <w:b w:val="0"/>
                <w:i w:val="0"/>
                <w:sz w:val="20"/>
              </w:rPr>
              <w:t>×10⁹/L</w:t>
            </w:r>
          </w:p>
        </w:tc>
      </w:tr>
    </w:tbl>
    <w:p>
      <w:pPr>
        <w:spacing w:before="240" w:after="80"/>
      </w:pPr>
      <w:r>
        <w:rPr>
          <w:rFonts w:ascii="Times New Roman" w:hAnsi="Times New Roman"/>
          <w:b/>
          <w:i w:val="0"/>
          <w:color w:val="34495E"/>
          <w:sz w:val="28"/>
        </w:rPr>
        <w:t>Annexe A4 — Structure du code R (organisation des scripts)</w:t>
      </w:r>
    </w:p>
    <w:tbl>
      <w:tblPr>
        <w:tblStyle w:val="TableGrid"/>
        <w:tblW w:type="auto" w:w="0"/>
        <w:tblLook w:firstColumn="1" w:firstRow="1" w:lastColumn="0" w:lastRow="0" w:noHBand="0" w:noVBand="1" w:val="04A0"/>
      </w:tblPr>
      <w:tblGrid>
        <w:gridCol w:w="3041"/>
        <w:gridCol w:w="3041"/>
        <w:gridCol w:w="3041"/>
      </w:tblGrid>
      <w:tr>
        <w:tc>
          <w:tcPr>
            <w:tcW w:type="dxa" w:w="3118"/>
            <w:shd w:val="clear" w:color="auto" w:fill="2C3E50"/>
          </w:tcPr>
          <w:p>
            <w:pPr>
              <w:jc w:val="center"/>
            </w:pPr>
            <w:r>
              <w:rPr>
                <w:rFonts w:ascii="Times New Roman" w:hAnsi="Times New Roman"/>
                <w:b/>
                <w:i w:val="0"/>
                <w:color w:val="FFFFFF"/>
                <w:sz w:val="20"/>
              </w:rPr>
              <w:t>Module (dossier)</w:t>
            </w:r>
          </w:p>
        </w:tc>
        <w:tc>
          <w:tcPr>
            <w:tcW w:type="dxa" w:w="2835"/>
            <w:shd w:val="clear" w:color="auto" w:fill="2C3E50"/>
          </w:tcPr>
          <w:p>
            <w:pPr>
              <w:jc w:val="center"/>
            </w:pPr>
            <w:r>
              <w:rPr>
                <w:rFonts w:ascii="Times New Roman" w:hAnsi="Times New Roman"/>
                <w:b/>
                <w:i w:val="0"/>
                <w:color w:val="FFFFFF"/>
                <w:sz w:val="20"/>
              </w:rPr>
              <w:t>Script principal</w:t>
            </w:r>
          </w:p>
        </w:tc>
        <w:tc>
          <w:tcPr>
            <w:tcW w:type="dxa" w:w="3685"/>
            <w:shd w:val="clear" w:color="auto" w:fill="2C3E50"/>
          </w:tcPr>
          <w:p>
            <w:pPr>
              <w:jc w:val="center"/>
            </w:pPr>
            <w:r>
              <w:rPr>
                <w:rFonts w:ascii="Times New Roman" w:hAnsi="Times New Roman"/>
                <w:b/>
                <w:i w:val="0"/>
                <w:color w:val="FFFFFF"/>
                <w:sz w:val="20"/>
              </w:rPr>
              <w:t>Fonction</w:t>
            </w:r>
          </w:p>
        </w:tc>
      </w:tr>
      <w:tr>
        <w:tc>
          <w:tcPr>
            <w:tcW w:type="dxa" w:w="3118"/>
            <w:shd w:val="clear" w:color="auto" w:fill="F2F2F2"/>
          </w:tcPr>
          <w:p>
            <w:pPr>
              <w:jc w:val="center"/>
            </w:pPr>
            <w:r>
              <w:rPr>
                <w:rFonts w:ascii="Times New Roman" w:hAnsi="Times New Roman"/>
                <w:b w:val="0"/>
                <w:i w:val="0"/>
                <w:sz w:val="20"/>
              </w:rPr>
              <w:t>etape1_fornari_carboplatin_rat</w:t>
            </w:r>
          </w:p>
        </w:tc>
        <w:tc>
          <w:tcPr>
            <w:tcW w:type="dxa" w:w="2835"/>
            <w:shd w:val="clear" w:color="auto" w:fill="F2F2F2"/>
          </w:tcPr>
          <w:p>
            <w:pPr>
              <w:jc w:val="center"/>
            </w:pPr>
            <w:r>
              <w:rPr>
                <w:rFonts w:ascii="Times New Roman" w:hAnsi="Times New Roman"/>
                <w:b w:val="0"/>
                <w:i w:val="0"/>
                <w:sz w:val="20"/>
              </w:rPr>
              <w:t>run_pkpd_rat.R</w:t>
            </w:r>
          </w:p>
        </w:tc>
        <w:tc>
          <w:tcPr>
            <w:tcW w:type="dxa" w:w="3685"/>
            <w:shd w:val="clear" w:color="auto" w:fill="F2F2F2"/>
          </w:tcPr>
          <w:p>
            <w:pPr>
              <w:jc w:val="center"/>
            </w:pPr>
            <w:r>
              <w:rPr>
                <w:rFonts w:ascii="Times New Roman" w:hAnsi="Times New Roman"/>
                <w:b w:val="0"/>
                <w:i w:val="0"/>
                <w:sz w:val="20"/>
              </w:rPr>
              <w:t>Validation Fornari — rat/carboplatine</w:t>
            </w:r>
          </w:p>
        </w:tc>
      </w:tr>
      <w:tr>
        <w:tc>
          <w:tcPr>
            <w:tcW w:type="dxa" w:w="3118"/>
            <w:shd w:val="clear" w:color="auto" w:fill="FFFFFF"/>
          </w:tcPr>
          <w:p>
            <w:pPr>
              <w:jc w:val="center"/>
            </w:pPr>
            <w:r>
              <w:rPr>
                <w:rFonts w:ascii="Times New Roman" w:hAnsi="Times New Roman"/>
                <w:b w:val="0"/>
                <w:i w:val="0"/>
                <w:sz w:val="20"/>
              </w:rPr>
              <w:t>etape3_tdxd_rat</w:t>
            </w:r>
          </w:p>
        </w:tc>
        <w:tc>
          <w:tcPr>
            <w:tcW w:type="dxa" w:w="2835"/>
            <w:shd w:val="clear" w:color="auto" w:fill="FFFFFF"/>
          </w:tcPr>
          <w:p>
            <w:pPr>
              <w:jc w:val="center"/>
            </w:pPr>
            <w:r>
              <w:rPr>
                <w:rFonts w:ascii="Times New Roman" w:hAnsi="Times New Roman"/>
                <w:b w:val="0"/>
                <w:i w:val="0"/>
                <w:sz w:val="20"/>
              </w:rPr>
              <w:t>run_pkpd_tdxd_rat.R</w:t>
            </w:r>
          </w:p>
        </w:tc>
        <w:tc>
          <w:tcPr>
            <w:tcW w:type="dxa" w:w="3685"/>
            <w:shd w:val="clear" w:color="auto" w:fill="FFFFFF"/>
          </w:tcPr>
          <w:p>
            <w:pPr>
              <w:jc w:val="center"/>
            </w:pPr>
            <w:r>
              <w:rPr>
                <w:rFonts w:ascii="Times New Roman" w:hAnsi="Times New Roman"/>
                <w:b w:val="0"/>
                <w:i w:val="0"/>
                <w:sz w:val="20"/>
              </w:rPr>
              <w:t>Application T-DXd rat</w:t>
            </w:r>
          </w:p>
        </w:tc>
      </w:tr>
      <w:tr>
        <w:tc>
          <w:tcPr>
            <w:tcW w:type="dxa" w:w="3118"/>
            <w:shd w:val="clear" w:color="auto" w:fill="F2F2F2"/>
          </w:tcPr>
          <w:p>
            <w:pPr>
              <w:jc w:val="center"/>
            </w:pPr>
            <w:r>
              <w:rPr>
                <w:rFonts w:ascii="Times New Roman" w:hAnsi="Times New Roman"/>
                <w:b w:val="0"/>
                <w:i w:val="0"/>
                <w:sz w:val="20"/>
              </w:rPr>
              <w:t>etape5_tdxd_humain</w:t>
            </w:r>
          </w:p>
        </w:tc>
        <w:tc>
          <w:tcPr>
            <w:tcW w:type="dxa" w:w="2835"/>
            <w:shd w:val="clear" w:color="auto" w:fill="F2F2F2"/>
          </w:tcPr>
          <w:p>
            <w:pPr>
              <w:jc w:val="center"/>
            </w:pPr>
            <w:r>
              <w:rPr>
                <w:rFonts w:ascii="Times New Roman" w:hAnsi="Times New Roman"/>
                <w:b w:val="0"/>
                <w:i w:val="0"/>
                <w:sz w:val="20"/>
              </w:rPr>
              <w:t>run_pkpd_tdxd_human_population.R</w:t>
            </w:r>
          </w:p>
        </w:tc>
        <w:tc>
          <w:tcPr>
            <w:tcW w:type="dxa" w:w="3685"/>
            <w:shd w:val="clear" w:color="auto" w:fill="F2F2F2"/>
          </w:tcPr>
          <w:p>
            <w:pPr>
              <w:jc w:val="center"/>
            </w:pPr>
            <w:r>
              <w:rPr>
                <w:rFonts w:ascii="Times New Roman" w:hAnsi="Times New Roman"/>
                <w:b w:val="0"/>
                <w:i w:val="0"/>
                <w:sz w:val="20"/>
              </w:rPr>
              <w:t>Simulation population humaine N=300</w:t>
            </w:r>
          </w:p>
        </w:tc>
      </w:tr>
      <w:tr>
        <w:tc>
          <w:tcPr>
            <w:tcW w:type="dxa" w:w="3118"/>
            <w:shd w:val="clear" w:color="auto" w:fill="FFFFFF"/>
          </w:tcPr>
          <w:p>
            <w:pPr>
              <w:jc w:val="center"/>
            </w:pPr>
            <w:r>
              <w:rPr>
                <w:rFonts w:ascii="Times New Roman" w:hAnsi="Times New Roman"/>
                <w:b w:val="0"/>
                <w:i w:val="0"/>
                <w:sz w:val="20"/>
              </w:rPr>
              <w:t>etape5_tdxd_humain</w:t>
            </w:r>
          </w:p>
        </w:tc>
        <w:tc>
          <w:tcPr>
            <w:tcW w:type="dxa" w:w="2835"/>
            <w:shd w:val="clear" w:color="auto" w:fill="FFFFFF"/>
          </w:tcPr>
          <w:p>
            <w:pPr>
              <w:jc w:val="center"/>
            </w:pPr>
            <w:r>
              <w:rPr>
                <w:rFonts w:ascii="Times New Roman" w:hAnsi="Times New Roman"/>
                <w:b w:val="0"/>
                <w:i w:val="0"/>
                <w:sz w:val="20"/>
              </w:rPr>
              <w:t>plot_grades_poster.R</w:t>
            </w:r>
          </w:p>
        </w:tc>
        <w:tc>
          <w:tcPr>
            <w:tcW w:type="dxa" w:w="3685"/>
            <w:shd w:val="clear" w:color="auto" w:fill="FFFFFF"/>
          </w:tcPr>
          <w:p>
            <w:pPr>
              <w:jc w:val="center"/>
            </w:pPr>
            <w:r>
              <w:rPr>
                <w:rFonts w:ascii="Times New Roman" w:hAnsi="Times New Roman"/>
                <w:b w:val="0"/>
                <w:i w:val="0"/>
                <w:sz w:val="20"/>
              </w:rPr>
              <w:t>Figure grades CTCAE vs FDA</w:t>
            </w:r>
          </w:p>
        </w:tc>
      </w:tr>
      <w:tr>
        <w:tc>
          <w:tcPr>
            <w:tcW w:type="dxa" w:w="3118"/>
            <w:shd w:val="clear" w:color="auto" w:fill="F2F2F2"/>
          </w:tcPr>
          <w:p>
            <w:pPr>
              <w:jc w:val="center"/>
            </w:pPr>
            <w:r>
              <w:rPr>
                <w:rFonts w:ascii="Times New Roman" w:hAnsi="Times New Roman"/>
                <w:b w:val="0"/>
                <w:i w:val="0"/>
                <w:sz w:val="20"/>
              </w:rPr>
              <w:t>etape6_fgfr2</w:t>
            </w:r>
          </w:p>
        </w:tc>
        <w:tc>
          <w:tcPr>
            <w:tcW w:type="dxa" w:w="2835"/>
            <w:shd w:val="clear" w:color="auto" w:fill="F2F2F2"/>
          </w:tcPr>
          <w:p>
            <w:pPr>
              <w:jc w:val="center"/>
            </w:pPr>
            <w:r>
              <w:rPr>
                <w:rFonts w:ascii="Times New Roman" w:hAnsi="Times New Roman"/>
                <w:b w:val="0"/>
                <w:i w:val="0"/>
                <w:sz w:val="20"/>
              </w:rPr>
              <w:t>nca_analysis.R</w:t>
            </w:r>
          </w:p>
        </w:tc>
        <w:tc>
          <w:tcPr>
            <w:tcW w:type="dxa" w:w="3685"/>
            <w:shd w:val="clear" w:color="auto" w:fill="F2F2F2"/>
          </w:tcPr>
          <w:p>
            <w:pPr>
              <w:jc w:val="center"/>
            </w:pPr>
            <w:r>
              <w:rPr>
                <w:rFonts w:ascii="Times New Roman" w:hAnsi="Times New Roman"/>
                <w:b w:val="0"/>
                <w:i w:val="0"/>
                <w:sz w:val="20"/>
              </w:rPr>
              <w:t>PK 2-comp + PD NHP (confidentiel)</w:t>
            </w:r>
          </w:p>
        </w:tc>
      </w:tr>
      <w:tr>
        <w:tc>
          <w:tcPr>
            <w:tcW w:type="dxa" w:w="3118"/>
            <w:shd w:val="clear" w:color="auto" w:fill="FFFFFF"/>
          </w:tcPr>
          <w:p>
            <w:pPr>
              <w:jc w:val="center"/>
            </w:pPr>
            <w:r>
              <w:rPr>
                <w:rFonts w:ascii="Times New Roman" w:hAnsi="Times New Roman"/>
                <w:b w:val="0"/>
                <w:i w:val="0"/>
                <w:sz w:val="20"/>
              </w:rPr>
              <w:t>etape6_fgfr2</w:t>
            </w:r>
          </w:p>
        </w:tc>
        <w:tc>
          <w:tcPr>
            <w:tcW w:type="dxa" w:w="2835"/>
            <w:shd w:val="clear" w:color="auto" w:fill="FFFFFF"/>
          </w:tcPr>
          <w:p>
            <w:pPr>
              <w:jc w:val="center"/>
            </w:pPr>
            <w:r>
              <w:rPr>
                <w:rFonts w:ascii="Times New Roman" w:hAnsi="Times New Roman"/>
                <w:b w:val="0"/>
                <w:i w:val="0"/>
                <w:sz w:val="20"/>
              </w:rPr>
              <w:t>plots_fgfr2_nhp.R</w:t>
            </w:r>
          </w:p>
        </w:tc>
        <w:tc>
          <w:tcPr>
            <w:tcW w:type="dxa" w:w="3685"/>
            <w:shd w:val="clear" w:color="auto" w:fill="FFFFFF"/>
          </w:tcPr>
          <w:p>
            <w:pPr>
              <w:jc w:val="center"/>
            </w:pPr>
            <w:r>
              <w:rPr>
                <w:rFonts w:ascii="Times New Roman" w:hAnsi="Times New Roman"/>
                <w:b w:val="0"/>
                <w:i w:val="0"/>
                <w:sz w:val="20"/>
              </w:rPr>
              <w:t>Visualisation résultats NHP (confidentiel)</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